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4B95A" w14:textId="285290FD" w:rsidR="002863D5" w:rsidRPr="007830C3" w:rsidRDefault="00230165" w:rsidP="00F90D7E">
      <w:pPr>
        <w:pStyle w:val="Title"/>
        <w:spacing w:before="1440" w:line="360" w:lineRule="auto"/>
        <w:rPr>
          <w:sz w:val="64"/>
          <w:szCs w:val="64"/>
        </w:rPr>
      </w:pPr>
      <w:r>
        <w:rPr>
          <w:sz w:val="64"/>
          <w:szCs w:val="64"/>
        </w:rPr>
        <w:t>B</w:t>
      </w:r>
      <w:r w:rsidR="005613DB" w:rsidRPr="007830C3">
        <w:rPr>
          <w:sz w:val="64"/>
          <w:szCs w:val="64"/>
        </w:rPr>
        <w:t>asildon and Brentwood</w:t>
      </w:r>
      <w:r w:rsidR="005E652B" w:rsidRPr="007830C3">
        <w:rPr>
          <w:sz w:val="64"/>
          <w:szCs w:val="64"/>
        </w:rPr>
        <w:t xml:space="preserve"> </w:t>
      </w:r>
      <w:r w:rsidR="00B17FF6" w:rsidRPr="007830C3">
        <w:rPr>
          <w:sz w:val="64"/>
          <w:szCs w:val="64"/>
        </w:rPr>
        <w:t>CCG Annual Report</w:t>
      </w:r>
      <w:r w:rsidR="00910C7F" w:rsidRPr="007830C3">
        <w:rPr>
          <w:sz w:val="64"/>
          <w:szCs w:val="64"/>
        </w:rPr>
        <w:t xml:space="preserve"> </w:t>
      </w:r>
      <w:r w:rsidR="00DE4D5F" w:rsidRPr="007830C3">
        <w:rPr>
          <w:sz w:val="64"/>
          <w:szCs w:val="64"/>
        </w:rPr>
        <w:t>20</w:t>
      </w:r>
      <w:r w:rsidR="009F433E" w:rsidRPr="007830C3">
        <w:rPr>
          <w:sz w:val="64"/>
          <w:szCs w:val="64"/>
        </w:rPr>
        <w:t>2</w:t>
      </w:r>
      <w:r w:rsidR="008210D6" w:rsidRPr="007830C3">
        <w:rPr>
          <w:sz w:val="64"/>
          <w:szCs w:val="64"/>
        </w:rPr>
        <w:t>1</w:t>
      </w:r>
      <w:r w:rsidR="00DE4D5F" w:rsidRPr="007830C3">
        <w:rPr>
          <w:sz w:val="64"/>
          <w:szCs w:val="64"/>
        </w:rPr>
        <w:t>/2</w:t>
      </w:r>
      <w:r w:rsidR="008210D6" w:rsidRPr="007830C3">
        <w:rPr>
          <w:sz w:val="64"/>
          <w:szCs w:val="64"/>
        </w:rPr>
        <w:t>2</w:t>
      </w:r>
    </w:p>
    <w:p w14:paraId="26E77296" w14:textId="3D9741F2" w:rsidR="00797C92" w:rsidRPr="007830C3" w:rsidRDefault="00797C92" w:rsidP="00E404BB"/>
    <w:p w14:paraId="039E92AA" w14:textId="77777777" w:rsidR="004D4C2A" w:rsidRPr="007830C3" w:rsidRDefault="004D4C2A" w:rsidP="00E404BB">
      <w:pPr>
        <w:pStyle w:val="NHSCBNoParagraghNumber"/>
      </w:pPr>
      <w:r w:rsidRPr="007830C3">
        <w:tab/>
      </w:r>
    </w:p>
    <w:p w14:paraId="756D3FB3" w14:textId="77777777" w:rsidR="00703EA7" w:rsidRPr="007830C3" w:rsidRDefault="00703EA7" w:rsidP="00E404BB"/>
    <w:p w14:paraId="7B319BDA" w14:textId="77777777" w:rsidR="00290636" w:rsidRPr="007830C3" w:rsidRDefault="00290636" w:rsidP="00E404BB"/>
    <w:p w14:paraId="3934F4B4" w14:textId="77777777" w:rsidR="00B17FF6" w:rsidRPr="007830C3" w:rsidRDefault="00B17FF6" w:rsidP="00E404BB"/>
    <w:p w14:paraId="3F9C76A1" w14:textId="77777777" w:rsidR="009E67EA" w:rsidRPr="007830C3" w:rsidRDefault="009E67EA" w:rsidP="00E404BB">
      <w:pPr>
        <w:rPr>
          <w:lang w:eastAsia="en-GB"/>
        </w:rPr>
      </w:pPr>
    </w:p>
    <w:p w14:paraId="5B73670B" w14:textId="77777777" w:rsidR="005613DB" w:rsidRPr="007830C3" w:rsidRDefault="005613DB" w:rsidP="005613DB">
      <w:pPr>
        <w:rPr>
          <w:sz w:val="32"/>
        </w:rPr>
      </w:pPr>
      <w:bookmarkStart w:id="0" w:name="_Hlk94791100"/>
    </w:p>
    <w:p w14:paraId="71CC3013" w14:textId="77777777" w:rsidR="005613DB" w:rsidRPr="007830C3" w:rsidRDefault="005613DB" w:rsidP="005613DB">
      <w:pPr>
        <w:rPr>
          <w:sz w:val="32"/>
        </w:rPr>
      </w:pPr>
    </w:p>
    <w:p w14:paraId="2E91932F" w14:textId="77777777" w:rsidR="005613DB" w:rsidRPr="007830C3" w:rsidRDefault="005613DB" w:rsidP="005613DB">
      <w:pPr>
        <w:rPr>
          <w:sz w:val="32"/>
        </w:rPr>
      </w:pPr>
    </w:p>
    <w:p w14:paraId="198E5EC8" w14:textId="77777777" w:rsidR="005613DB" w:rsidRPr="007830C3" w:rsidRDefault="005613DB" w:rsidP="005613DB">
      <w:pPr>
        <w:rPr>
          <w:sz w:val="32"/>
        </w:rPr>
      </w:pPr>
    </w:p>
    <w:p w14:paraId="1E31098D" w14:textId="77777777" w:rsidR="005613DB" w:rsidRPr="007830C3" w:rsidRDefault="005613DB" w:rsidP="005613DB">
      <w:pPr>
        <w:rPr>
          <w:sz w:val="32"/>
        </w:rPr>
      </w:pPr>
    </w:p>
    <w:p w14:paraId="1CB546B1" w14:textId="77777777" w:rsidR="005613DB" w:rsidRPr="007830C3" w:rsidRDefault="005613DB" w:rsidP="005613DB">
      <w:pPr>
        <w:rPr>
          <w:sz w:val="32"/>
        </w:rPr>
      </w:pPr>
    </w:p>
    <w:p w14:paraId="6504A1E7" w14:textId="77777777" w:rsidR="005613DB" w:rsidRPr="007830C3" w:rsidRDefault="005613DB" w:rsidP="005613DB">
      <w:pPr>
        <w:rPr>
          <w:sz w:val="32"/>
        </w:rPr>
      </w:pPr>
    </w:p>
    <w:p w14:paraId="7D36D468" w14:textId="38DE8BFA" w:rsidR="005613DB" w:rsidRPr="007830C3" w:rsidRDefault="005613DB" w:rsidP="005613DB">
      <w:pPr>
        <w:rPr>
          <w:sz w:val="32"/>
        </w:rPr>
      </w:pPr>
      <w:r w:rsidRPr="007830C3">
        <w:rPr>
          <w:sz w:val="32"/>
        </w:rPr>
        <w:t>This document can be provided in alternative formats upon</w:t>
      </w:r>
      <w:r w:rsidR="009C1E46">
        <w:rPr>
          <w:sz w:val="32"/>
        </w:rPr>
        <w:t xml:space="preserve"> </w:t>
      </w:r>
      <w:r w:rsidRPr="007830C3">
        <w:rPr>
          <w:sz w:val="32"/>
        </w:rPr>
        <w:t>request, such as larger print, easy read, braille, audio format and different languages.</w:t>
      </w:r>
      <w:r w:rsidR="00F042F6">
        <w:rPr>
          <w:sz w:val="32"/>
        </w:rPr>
        <w:t xml:space="preserve"> </w:t>
      </w:r>
      <w:r w:rsidR="0095220B">
        <w:rPr>
          <w:sz w:val="32"/>
        </w:rPr>
        <w:t xml:space="preserve">  </w:t>
      </w:r>
    </w:p>
    <w:bookmarkEnd w:id="0"/>
    <w:p w14:paraId="3929520C" w14:textId="77777777" w:rsidR="00102F36" w:rsidRDefault="00102F36">
      <w:pPr>
        <w:spacing w:before="0" w:after="200" w:line="276" w:lineRule="auto"/>
      </w:pPr>
      <w:r>
        <w:br w:type="page"/>
      </w:r>
    </w:p>
    <w:bookmarkStart w:id="1" w:name="_Hlk100220921" w:displacedByCustomXml="next"/>
    <w:bookmarkStart w:id="2" w:name="_Hlk101777681" w:displacedByCustomXml="next"/>
    <w:bookmarkStart w:id="3" w:name="_Hlk100220941" w:displacedByCustomXml="next"/>
    <w:sdt>
      <w:sdtPr>
        <w:rPr>
          <w:rFonts w:eastAsiaTheme="minorHAnsi" w:cstheme="minorBidi"/>
          <w:color w:val="auto"/>
          <w:sz w:val="24"/>
          <w:szCs w:val="22"/>
          <w:lang w:val="en-GB" w:eastAsia="en-US"/>
        </w:rPr>
        <w:id w:val="1902477322"/>
        <w:docPartObj>
          <w:docPartGallery w:val="Table of Contents"/>
          <w:docPartUnique/>
        </w:docPartObj>
      </w:sdtPr>
      <w:sdtEndPr>
        <w:rPr>
          <w:b/>
          <w:bCs/>
          <w:noProof/>
          <w:sz w:val="22"/>
        </w:rPr>
      </w:sdtEndPr>
      <w:sdtContent>
        <w:p w14:paraId="225F2D89" w14:textId="78369BAF" w:rsidR="00FF0E5D" w:rsidRPr="005F43D7" w:rsidRDefault="00FF0E5D" w:rsidP="00701D05">
          <w:pPr>
            <w:pStyle w:val="TOCHeading"/>
            <w:spacing w:before="120" w:after="0"/>
            <w:rPr>
              <w:sz w:val="24"/>
              <w:szCs w:val="24"/>
            </w:rPr>
          </w:pPr>
          <w:r>
            <w:t>Contents</w:t>
          </w:r>
          <w:r w:rsidR="005F43D7">
            <w:t xml:space="preserve"> </w:t>
          </w:r>
        </w:p>
        <w:bookmarkEnd w:id="1"/>
        <w:p w14:paraId="5B89F664" w14:textId="74105DD0" w:rsidR="00E33F37" w:rsidRDefault="00FF0E5D">
          <w:pPr>
            <w:pStyle w:val="TOC2"/>
            <w:rPr>
              <w:rFonts w:asciiTheme="minorHAnsi" w:hAnsiTheme="minorHAnsi"/>
              <w:b w:val="0"/>
              <w:bCs w:val="0"/>
              <w:sz w:val="22"/>
              <w:lang w:val="en-GB" w:eastAsia="en-GB"/>
            </w:rPr>
          </w:pPr>
          <w:r w:rsidRPr="00D54E2C">
            <w:rPr>
              <w:sz w:val="22"/>
            </w:rPr>
            <w:fldChar w:fldCharType="begin"/>
          </w:r>
          <w:r w:rsidRPr="00D54E2C">
            <w:rPr>
              <w:sz w:val="22"/>
            </w:rPr>
            <w:instrText xml:space="preserve"> TOC \o "1-3" \h \z \u </w:instrText>
          </w:r>
          <w:r w:rsidRPr="00D54E2C">
            <w:rPr>
              <w:sz w:val="22"/>
            </w:rPr>
            <w:fldChar w:fldCharType="separate"/>
          </w:r>
          <w:hyperlink w:anchor="_Toc107389431" w:history="1">
            <w:r w:rsidR="00E33F37" w:rsidRPr="0010085C">
              <w:rPr>
                <w:rStyle w:val="Hyperlink"/>
              </w:rPr>
              <w:t>Chair’s Foreword</w:t>
            </w:r>
            <w:r w:rsidR="00E33F37">
              <w:rPr>
                <w:webHidden/>
              </w:rPr>
              <w:tab/>
            </w:r>
            <w:r w:rsidR="00E33F37">
              <w:rPr>
                <w:webHidden/>
              </w:rPr>
              <w:fldChar w:fldCharType="begin"/>
            </w:r>
            <w:r w:rsidR="00E33F37">
              <w:rPr>
                <w:webHidden/>
              </w:rPr>
              <w:instrText xml:space="preserve"> PAGEREF _Toc107389431 \h </w:instrText>
            </w:r>
            <w:r w:rsidR="00E33F37">
              <w:rPr>
                <w:webHidden/>
              </w:rPr>
            </w:r>
            <w:r w:rsidR="00E33F37">
              <w:rPr>
                <w:webHidden/>
              </w:rPr>
              <w:fldChar w:fldCharType="separate"/>
            </w:r>
            <w:r w:rsidR="00E33F37">
              <w:rPr>
                <w:webHidden/>
              </w:rPr>
              <w:t>5</w:t>
            </w:r>
            <w:r w:rsidR="00E33F37">
              <w:rPr>
                <w:webHidden/>
              </w:rPr>
              <w:fldChar w:fldCharType="end"/>
            </w:r>
          </w:hyperlink>
        </w:p>
        <w:p w14:paraId="56BE3524" w14:textId="02C1CDB1" w:rsidR="00E33F37" w:rsidRDefault="00846209">
          <w:pPr>
            <w:pStyle w:val="TOC1"/>
            <w:rPr>
              <w:rFonts w:asciiTheme="minorHAnsi" w:eastAsiaTheme="minorEastAsia" w:hAnsiTheme="minorHAnsi" w:cstheme="minorBidi"/>
              <w:b w:val="0"/>
              <w:sz w:val="22"/>
              <w:szCs w:val="22"/>
              <w:lang w:eastAsia="en-GB"/>
            </w:rPr>
          </w:pPr>
          <w:hyperlink w:anchor="_Toc107389432" w:history="1">
            <w:r w:rsidR="00E33F37" w:rsidRPr="0010085C">
              <w:rPr>
                <w:rStyle w:val="Hyperlink"/>
              </w:rPr>
              <w:t>PERFORMANCE REPORT</w:t>
            </w:r>
            <w:r w:rsidR="00E33F37">
              <w:rPr>
                <w:webHidden/>
              </w:rPr>
              <w:tab/>
            </w:r>
            <w:r w:rsidR="00E33F37">
              <w:rPr>
                <w:webHidden/>
              </w:rPr>
              <w:fldChar w:fldCharType="begin"/>
            </w:r>
            <w:r w:rsidR="00E33F37">
              <w:rPr>
                <w:webHidden/>
              </w:rPr>
              <w:instrText xml:space="preserve"> PAGEREF _Toc107389432 \h </w:instrText>
            </w:r>
            <w:r w:rsidR="00E33F37">
              <w:rPr>
                <w:webHidden/>
              </w:rPr>
            </w:r>
            <w:r w:rsidR="00E33F37">
              <w:rPr>
                <w:webHidden/>
              </w:rPr>
              <w:fldChar w:fldCharType="separate"/>
            </w:r>
            <w:r w:rsidR="00E33F37">
              <w:rPr>
                <w:webHidden/>
              </w:rPr>
              <w:t>8</w:t>
            </w:r>
            <w:r w:rsidR="00E33F37">
              <w:rPr>
                <w:webHidden/>
              </w:rPr>
              <w:fldChar w:fldCharType="end"/>
            </w:r>
          </w:hyperlink>
        </w:p>
        <w:p w14:paraId="5A09859C" w14:textId="2D4D1FBE" w:rsidR="00E33F37" w:rsidRDefault="00846209">
          <w:pPr>
            <w:pStyle w:val="TOC2"/>
            <w:rPr>
              <w:rFonts w:asciiTheme="minorHAnsi" w:hAnsiTheme="minorHAnsi"/>
              <w:b w:val="0"/>
              <w:bCs w:val="0"/>
              <w:sz w:val="22"/>
              <w:lang w:val="en-GB" w:eastAsia="en-GB"/>
            </w:rPr>
          </w:pPr>
          <w:hyperlink w:anchor="_Toc107389433" w:history="1">
            <w:r w:rsidR="00E33F37" w:rsidRPr="0010085C">
              <w:rPr>
                <w:rStyle w:val="Hyperlink"/>
              </w:rPr>
              <w:t>Performance Overview</w:t>
            </w:r>
            <w:r w:rsidR="00E33F37">
              <w:rPr>
                <w:webHidden/>
              </w:rPr>
              <w:tab/>
            </w:r>
            <w:r w:rsidR="00E33F37">
              <w:rPr>
                <w:webHidden/>
              </w:rPr>
              <w:fldChar w:fldCharType="begin"/>
            </w:r>
            <w:r w:rsidR="00E33F37">
              <w:rPr>
                <w:webHidden/>
              </w:rPr>
              <w:instrText xml:space="preserve"> PAGEREF _Toc107389433 \h </w:instrText>
            </w:r>
            <w:r w:rsidR="00E33F37">
              <w:rPr>
                <w:webHidden/>
              </w:rPr>
            </w:r>
            <w:r w:rsidR="00E33F37">
              <w:rPr>
                <w:webHidden/>
              </w:rPr>
              <w:fldChar w:fldCharType="separate"/>
            </w:r>
            <w:r w:rsidR="00E33F37">
              <w:rPr>
                <w:webHidden/>
              </w:rPr>
              <w:t>8</w:t>
            </w:r>
            <w:r w:rsidR="00E33F37">
              <w:rPr>
                <w:webHidden/>
              </w:rPr>
              <w:fldChar w:fldCharType="end"/>
            </w:r>
          </w:hyperlink>
        </w:p>
        <w:p w14:paraId="3A57A237" w14:textId="5418741F" w:rsidR="00E33F37" w:rsidRDefault="00846209">
          <w:pPr>
            <w:pStyle w:val="TOC2"/>
            <w:rPr>
              <w:rFonts w:asciiTheme="minorHAnsi" w:hAnsiTheme="minorHAnsi"/>
              <w:b w:val="0"/>
              <w:bCs w:val="0"/>
              <w:sz w:val="22"/>
              <w:lang w:val="en-GB" w:eastAsia="en-GB"/>
            </w:rPr>
          </w:pPr>
          <w:hyperlink w:anchor="_Toc107389434" w:history="1">
            <w:r w:rsidR="00E33F37" w:rsidRPr="0010085C">
              <w:rPr>
                <w:rStyle w:val="Hyperlink"/>
              </w:rPr>
              <w:t>Accountable Officer’s introduction</w:t>
            </w:r>
            <w:r w:rsidR="00E33F37">
              <w:rPr>
                <w:webHidden/>
              </w:rPr>
              <w:tab/>
            </w:r>
            <w:r w:rsidR="00E33F37">
              <w:rPr>
                <w:webHidden/>
              </w:rPr>
              <w:fldChar w:fldCharType="begin"/>
            </w:r>
            <w:r w:rsidR="00E33F37">
              <w:rPr>
                <w:webHidden/>
              </w:rPr>
              <w:instrText xml:space="preserve"> PAGEREF _Toc107389434 \h </w:instrText>
            </w:r>
            <w:r w:rsidR="00E33F37">
              <w:rPr>
                <w:webHidden/>
              </w:rPr>
            </w:r>
            <w:r w:rsidR="00E33F37">
              <w:rPr>
                <w:webHidden/>
              </w:rPr>
              <w:fldChar w:fldCharType="separate"/>
            </w:r>
            <w:r w:rsidR="00E33F37">
              <w:rPr>
                <w:webHidden/>
              </w:rPr>
              <w:t>8</w:t>
            </w:r>
            <w:r w:rsidR="00E33F37">
              <w:rPr>
                <w:webHidden/>
              </w:rPr>
              <w:fldChar w:fldCharType="end"/>
            </w:r>
          </w:hyperlink>
        </w:p>
        <w:p w14:paraId="4EF6EB13" w14:textId="49E7DDF4" w:rsidR="00E33F37" w:rsidRDefault="00846209">
          <w:pPr>
            <w:pStyle w:val="TOC2"/>
            <w:rPr>
              <w:rFonts w:asciiTheme="minorHAnsi" w:hAnsiTheme="minorHAnsi"/>
              <w:b w:val="0"/>
              <w:bCs w:val="0"/>
              <w:sz w:val="22"/>
              <w:lang w:val="en-GB" w:eastAsia="en-GB"/>
            </w:rPr>
          </w:pPr>
          <w:hyperlink w:anchor="_Toc107389435" w:history="1">
            <w:r w:rsidR="00E33F37" w:rsidRPr="0010085C">
              <w:rPr>
                <w:rStyle w:val="Hyperlink"/>
              </w:rPr>
              <w:t>What Basildon and Brentwood CCG does</w:t>
            </w:r>
            <w:r w:rsidR="00E33F37">
              <w:rPr>
                <w:webHidden/>
              </w:rPr>
              <w:tab/>
            </w:r>
            <w:r w:rsidR="00E33F37">
              <w:rPr>
                <w:webHidden/>
              </w:rPr>
              <w:fldChar w:fldCharType="begin"/>
            </w:r>
            <w:r w:rsidR="00E33F37">
              <w:rPr>
                <w:webHidden/>
              </w:rPr>
              <w:instrText xml:space="preserve"> PAGEREF _Toc107389435 \h </w:instrText>
            </w:r>
            <w:r w:rsidR="00E33F37">
              <w:rPr>
                <w:webHidden/>
              </w:rPr>
            </w:r>
            <w:r w:rsidR="00E33F37">
              <w:rPr>
                <w:webHidden/>
              </w:rPr>
              <w:fldChar w:fldCharType="separate"/>
            </w:r>
            <w:r w:rsidR="00E33F37">
              <w:rPr>
                <w:webHidden/>
              </w:rPr>
              <w:t>10</w:t>
            </w:r>
            <w:r w:rsidR="00E33F37">
              <w:rPr>
                <w:webHidden/>
              </w:rPr>
              <w:fldChar w:fldCharType="end"/>
            </w:r>
          </w:hyperlink>
        </w:p>
        <w:p w14:paraId="71A52299" w14:textId="6280644E" w:rsidR="00E33F37" w:rsidRDefault="00846209">
          <w:pPr>
            <w:pStyle w:val="TOC3"/>
            <w:rPr>
              <w:rFonts w:asciiTheme="minorHAnsi" w:hAnsiTheme="minorHAnsi"/>
              <w:noProof/>
              <w:sz w:val="22"/>
              <w:lang w:val="en-GB" w:eastAsia="en-GB"/>
            </w:rPr>
          </w:pPr>
          <w:hyperlink w:anchor="_Toc107389436" w:history="1">
            <w:r w:rsidR="00E33F37" w:rsidRPr="0010085C">
              <w:rPr>
                <w:rStyle w:val="Hyperlink"/>
                <w:noProof/>
              </w:rPr>
              <w:t>Our Purpose</w:t>
            </w:r>
            <w:r w:rsidR="00E33F37">
              <w:rPr>
                <w:noProof/>
                <w:webHidden/>
              </w:rPr>
              <w:tab/>
            </w:r>
            <w:r w:rsidR="00E33F37">
              <w:rPr>
                <w:noProof/>
                <w:webHidden/>
              </w:rPr>
              <w:fldChar w:fldCharType="begin"/>
            </w:r>
            <w:r w:rsidR="00E33F37">
              <w:rPr>
                <w:noProof/>
                <w:webHidden/>
              </w:rPr>
              <w:instrText xml:space="preserve"> PAGEREF _Toc107389436 \h </w:instrText>
            </w:r>
            <w:r w:rsidR="00E33F37">
              <w:rPr>
                <w:noProof/>
                <w:webHidden/>
              </w:rPr>
            </w:r>
            <w:r w:rsidR="00E33F37">
              <w:rPr>
                <w:noProof/>
                <w:webHidden/>
              </w:rPr>
              <w:fldChar w:fldCharType="separate"/>
            </w:r>
            <w:r w:rsidR="00E33F37">
              <w:rPr>
                <w:noProof/>
                <w:webHidden/>
              </w:rPr>
              <w:t>10</w:t>
            </w:r>
            <w:r w:rsidR="00E33F37">
              <w:rPr>
                <w:noProof/>
                <w:webHidden/>
              </w:rPr>
              <w:fldChar w:fldCharType="end"/>
            </w:r>
          </w:hyperlink>
        </w:p>
        <w:p w14:paraId="672D3A98" w14:textId="3815E55C" w:rsidR="00E33F37" w:rsidRDefault="00846209">
          <w:pPr>
            <w:pStyle w:val="TOC3"/>
            <w:rPr>
              <w:rFonts w:asciiTheme="minorHAnsi" w:hAnsiTheme="minorHAnsi"/>
              <w:noProof/>
              <w:sz w:val="22"/>
              <w:lang w:val="en-GB" w:eastAsia="en-GB"/>
            </w:rPr>
          </w:pPr>
          <w:hyperlink w:anchor="_Toc107389437" w:history="1">
            <w:r w:rsidR="00E33F37" w:rsidRPr="0010085C">
              <w:rPr>
                <w:rStyle w:val="Hyperlink"/>
                <w:noProof/>
              </w:rPr>
              <w:t>Our Strategy</w:t>
            </w:r>
            <w:r w:rsidR="00E33F37">
              <w:rPr>
                <w:noProof/>
                <w:webHidden/>
              </w:rPr>
              <w:tab/>
            </w:r>
            <w:r w:rsidR="00E33F37">
              <w:rPr>
                <w:noProof/>
                <w:webHidden/>
              </w:rPr>
              <w:fldChar w:fldCharType="begin"/>
            </w:r>
            <w:r w:rsidR="00E33F37">
              <w:rPr>
                <w:noProof/>
                <w:webHidden/>
              </w:rPr>
              <w:instrText xml:space="preserve"> PAGEREF _Toc107389437 \h </w:instrText>
            </w:r>
            <w:r w:rsidR="00E33F37">
              <w:rPr>
                <w:noProof/>
                <w:webHidden/>
              </w:rPr>
            </w:r>
            <w:r w:rsidR="00E33F37">
              <w:rPr>
                <w:noProof/>
                <w:webHidden/>
              </w:rPr>
              <w:fldChar w:fldCharType="separate"/>
            </w:r>
            <w:r w:rsidR="00E33F37">
              <w:rPr>
                <w:noProof/>
                <w:webHidden/>
              </w:rPr>
              <w:t>11</w:t>
            </w:r>
            <w:r w:rsidR="00E33F37">
              <w:rPr>
                <w:noProof/>
                <w:webHidden/>
              </w:rPr>
              <w:fldChar w:fldCharType="end"/>
            </w:r>
          </w:hyperlink>
        </w:p>
        <w:p w14:paraId="4D2DD287" w14:textId="0BEA8213" w:rsidR="00E33F37" w:rsidRDefault="00846209">
          <w:pPr>
            <w:pStyle w:val="TOC3"/>
            <w:rPr>
              <w:rFonts w:asciiTheme="minorHAnsi" w:hAnsiTheme="minorHAnsi"/>
              <w:noProof/>
              <w:sz w:val="22"/>
              <w:lang w:val="en-GB" w:eastAsia="en-GB"/>
            </w:rPr>
          </w:pPr>
          <w:hyperlink w:anchor="_Toc107389438" w:history="1">
            <w:r w:rsidR="00E33F37" w:rsidRPr="0010085C">
              <w:rPr>
                <w:rStyle w:val="Hyperlink"/>
                <w:noProof/>
              </w:rPr>
              <w:t>Mid and South Essex Health and Care Partnership</w:t>
            </w:r>
            <w:r w:rsidR="00E33F37">
              <w:rPr>
                <w:noProof/>
                <w:webHidden/>
              </w:rPr>
              <w:tab/>
            </w:r>
            <w:r w:rsidR="00E33F37">
              <w:rPr>
                <w:noProof/>
                <w:webHidden/>
              </w:rPr>
              <w:fldChar w:fldCharType="begin"/>
            </w:r>
            <w:r w:rsidR="00E33F37">
              <w:rPr>
                <w:noProof/>
                <w:webHidden/>
              </w:rPr>
              <w:instrText xml:space="preserve"> PAGEREF _Toc107389438 \h </w:instrText>
            </w:r>
            <w:r w:rsidR="00E33F37">
              <w:rPr>
                <w:noProof/>
                <w:webHidden/>
              </w:rPr>
            </w:r>
            <w:r w:rsidR="00E33F37">
              <w:rPr>
                <w:noProof/>
                <w:webHidden/>
              </w:rPr>
              <w:fldChar w:fldCharType="separate"/>
            </w:r>
            <w:r w:rsidR="00E33F37">
              <w:rPr>
                <w:noProof/>
                <w:webHidden/>
              </w:rPr>
              <w:t>12</w:t>
            </w:r>
            <w:r w:rsidR="00E33F37">
              <w:rPr>
                <w:noProof/>
                <w:webHidden/>
              </w:rPr>
              <w:fldChar w:fldCharType="end"/>
            </w:r>
          </w:hyperlink>
        </w:p>
        <w:p w14:paraId="71F261CD" w14:textId="09A9128D" w:rsidR="00E33F37" w:rsidRDefault="00846209">
          <w:pPr>
            <w:pStyle w:val="TOC3"/>
            <w:rPr>
              <w:rFonts w:asciiTheme="minorHAnsi" w:hAnsiTheme="minorHAnsi"/>
              <w:noProof/>
              <w:sz w:val="22"/>
              <w:lang w:val="en-GB" w:eastAsia="en-GB"/>
            </w:rPr>
          </w:pPr>
          <w:hyperlink w:anchor="_Toc107389439" w:history="1">
            <w:r w:rsidR="00E33F37" w:rsidRPr="0010085C">
              <w:rPr>
                <w:rStyle w:val="Hyperlink"/>
                <w:noProof/>
              </w:rPr>
              <w:t>Local Achievements</w:t>
            </w:r>
            <w:r w:rsidR="00E33F37">
              <w:rPr>
                <w:noProof/>
                <w:webHidden/>
              </w:rPr>
              <w:tab/>
            </w:r>
            <w:r w:rsidR="00E33F37">
              <w:rPr>
                <w:noProof/>
                <w:webHidden/>
              </w:rPr>
              <w:fldChar w:fldCharType="begin"/>
            </w:r>
            <w:r w:rsidR="00E33F37">
              <w:rPr>
                <w:noProof/>
                <w:webHidden/>
              </w:rPr>
              <w:instrText xml:space="preserve"> PAGEREF _Toc107389439 \h </w:instrText>
            </w:r>
            <w:r w:rsidR="00E33F37">
              <w:rPr>
                <w:noProof/>
                <w:webHidden/>
              </w:rPr>
            </w:r>
            <w:r w:rsidR="00E33F37">
              <w:rPr>
                <w:noProof/>
                <w:webHidden/>
              </w:rPr>
              <w:fldChar w:fldCharType="separate"/>
            </w:r>
            <w:r w:rsidR="00E33F37">
              <w:rPr>
                <w:noProof/>
                <w:webHidden/>
              </w:rPr>
              <w:t>14</w:t>
            </w:r>
            <w:r w:rsidR="00E33F37">
              <w:rPr>
                <w:noProof/>
                <w:webHidden/>
              </w:rPr>
              <w:fldChar w:fldCharType="end"/>
            </w:r>
          </w:hyperlink>
        </w:p>
        <w:p w14:paraId="7A9EF0BA" w14:textId="52C39C99" w:rsidR="00E33F37" w:rsidRDefault="00846209">
          <w:pPr>
            <w:pStyle w:val="TOC3"/>
            <w:rPr>
              <w:rFonts w:asciiTheme="minorHAnsi" w:hAnsiTheme="minorHAnsi"/>
              <w:noProof/>
              <w:sz w:val="22"/>
              <w:lang w:val="en-GB" w:eastAsia="en-GB"/>
            </w:rPr>
          </w:pPr>
          <w:hyperlink w:anchor="_Toc107389440" w:history="1">
            <w:r w:rsidR="00E33F37" w:rsidRPr="0010085C">
              <w:rPr>
                <w:rStyle w:val="Hyperlink"/>
                <w:noProof/>
              </w:rPr>
              <w:t>How we have performed</w:t>
            </w:r>
            <w:r w:rsidR="00E33F37">
              <w:rPr>
                <w:noProof/>
                <w:webHidden/>
              </w:rPr>
              <w:tab/>
            </w:r>
            <w:r w:rsidR="00E33F37">
              <w:rPr>
                <w:noProof/>
                <w:webHidden/>
              </w:rPr>
              <w:fldChar w:fldCharType="begin"/>
            </w:r>
            <w:r w:rsidR="00E33F37">
              <w:rPr>
                <w:noProof/>
                <w:webHidden/>
              </w:rPr>
              <w:instrText xml:space="preserve"> PAGEREF _Toc107389440 \h </w:instrText>
            </w:r>
            <w:r w:rsidR="00E33F37">
              <w:rPr>
                <w:noProof/>
                <w:webHidden/>
              </w:rPr>
            </w:r>
            <w:r w:rsidR="00E33F37">
              <w:rPr>
                <w:noProof/>
                <w:webHidden/>
              </w:rPr>
              <w:fldChar w:fldCharType="separate"/>
            </w:r>
            <w:r w:rsidR="00E33F37">
              <w:rPr>
                <w:noProof/>
                <w:webHidden/>
              </w:rPr>
              <w:t>17</w:t>
            </w:r>
            <w:r w:rsidR="00E33F37">
              <w:rPr>
                <w:noProof/>
                <w:webHidden/>
              </w:rPr>
              <w:fldChar w:fldCharType="end"/>
            </w:r>
          </w:hyperlink>
        </w:p>
        <w:p w14:paraId="3E860821" w14:textId="773329FE" w:rsidR="00E33F37" w:rsidRDefault="00846209">
          <w:pPr>
            <w:pStyle w:val="TOC3"/>
            <w:rPr>
              <w:rFonts w:asciiTheme="minorHAnsi" w:hAnsiTheme="minorHAnsi"/>
              <w:noProof/>
              <w:sz w:val="22"/>
              <w:lang w:val="en-GB" w:eastAsia="en-GB"/>
            </w:rPr>
          </w:pPr>
          <w:hyperlink w:anchor="_Toc107389441" w:history="1">
            <w:r w:rsidR="00E33F37" w:rsidRPr="0010085C">
              <w:rPr>
                <w:rStyle w:val="Hyperlink"/>
                <w:noProof/>
              </w:rPr>
              <w:t>Key issues and risks</w:t>
            </w:r>
            <w:r w:rsidR="00E33F37">
              <w:rPr>
                <w:noProof/>
                <w:webHidden/>
              </w:rPr>
              <w:tab/>
            </w:r>
            <w:r w:rsidR="00E33F37">
              <w:rPr>
                <w:noProof/>
                <w:webHidden/>
              </w:rPr>
              <w:fldChar w:fldCharType="begin"/>
            </w:r>
            <w:r w:rsidR="00E33F37">
              <w:rPr>
                <w:noProof/>
                <w:webHidden/>
              </w:rPr>
              <w:instrText xml:space="preserve"> PAGEREF _Toc107389441 \h </w:instrText>
            </w:r>
            <w:r w:rsidR="00E33F37">
              <w:rPr>
                <w:noProof/>
                <w:webHidden/>
              </w:rPr>
            </w:r>
            <w:r w:rsidR="00E33F37">
              <w:rPr>
                <w:noProof/>
                <w:webHidden/>
              </w:rPr>
              <w:fldChar w:fldCharType="separate"/>
            </w:r>
            <w:r w:rsidR="00E33F37">
              <w:rPr>
                <w:noProof/>
                <w:webHidden/>
              </w:rPr>
              <w:t>17</w:t>
            </w:r>
            <w:r w:rsidR="00E33F37">
              <w:rPr>
                <w:noProof/>
                <w:webHidden/>
              </w:rPr>
              <w:fldChar w:fldCharType="end"/>
            </w:r>
          </w:hyperlink>
        </w:p>
        <w:p w14:paraId="36F2BDDE" w14:textId="29504125" w:rsidR="00E33F37" w:rsidRDefault="00846209">
          <w:pPr>
            <w:pStyle w:val="TOC2"/>
            <w:rPr>
              <w:rFonts w:asciiTheme="minorHAnsi" w:hAnsiTheme="minorHAnsi"/>
              <w:b w:val="0"/>
              <w:bCs w:val="0"/>
              <w:sz w:val="22"/>
              <w:lang w:val="en-GB" w:eastAsia="en-GB"/>
            </w:rPr>
          </w:pPr>
          <w:hyperlink w:anchor="_Toc107389442" w:history="1">
            <w:r w:rsidR="00E33F37" w:rsidRPr="0010085C">
              <w:rPr>
                <w:rStyle w:val="Hyperlink"/>
              </w:rPr>
              <w:t>Performance analysis</w:t>
            </w:r>
            <w:r w:rsidR="00E33F37">
              <w:rPr>
                <w:webHidden/>
              </w:rPr>
              <w:tab/>
            </w:r>
            <w:r w:rsidR="00E33F37">
              <w:rPr>
                <w:webHidden/>
              </w:rPr>
              <w:fldChar w:fldCharType="begin"/>
            </w:r>
            <w:r w:rsidR="00E33F37">
              <w:rPr>
                <w:webHidden/>
              </w:rPr>
              <w:instrText xml:space="preserve"> PAGEREF _Toc107389442 \h </w:instrText>
            </w:r>
            <w:r w:rsidR="00E33F37">
              <w:rPr>
                <w:webHidden/>
              </w:rPr>
            </w:r>
            <w:r w:rsidR="00E33F37">
              <w:rPr>
                <w:webHidden/>
              </w:rPr>
              <w:fldChar w:fldCharType="separate"/>
            </w:r>
            <w:r w:rsidR="00E33F37">
              <w:rPr>
                <w:webHidden/>
              </w:rPr>
              <w:t>18</w:t>
            </w:r>
            <w:r w:rsidR="00E33F37">
              <w:rPr>
                <w:webHidden/>
              </w:rPr>
              <w:fldChar w:fldCharType="end"/>
            </w:r>
          </w:hyperlink>
        </w:p>
        <w:p w14:paraId="196ACC5C" w14:textId="095DF5E0" w:rsidR="00E33F37" w:rsidRDefault="00846209">
          <w:pPr>
            <w:pStyle w:val="TOC3"/>
            <w:rPr>
              <w:rFonts w:asciiTheme="minorHAnsi" w:hAnsiTheme="minorHAnsi"/>
              <w:noProof/>
              <w:sz w:val="22"/>
              <w:lang w:val="en-GB" w:eastAsia="en-GB"/>
            </w:rPr>
          </w:pPr>
          <w:hyperlink w:anchor="_Toc107389443" w:history="1">
            <w:r w:rsidR="00E33F37" w:rsidRPr="0010085C">
              <w:rPr>
                <w:rStyle w:val="Hyperlink"/>
                <w:noProof/>
              </w:rPr>
              <w:t>Introduction</w:t>
            </w:r>
            <w:r w:rsidR="00E33F37">
              <w:rPr>
                <w:noProof/>
                <w:webHidden/>
              </w:rPr>
              <w:tab/>
            </w:r>
            <w:r w:rsidR="00E33F37">
              <w:rPr>
                <w:noProof/>
                <w:webHidden/>
              </w:rPr>
              <w:fldChar w:fldCharType="begin"/>
            </w:r>
            <w:r w:rsidR="00E33F37">
              <w:rPr>
                <w:noProof/>
                <w:webHidden/>
              </w:rPr>
              <w:instrText xml:space="preserve"> PAGEREF _Toc107389443 \h </w:instrText>
            </w:r>
            <w:r w:rsidR="00E33F37">
              <w:rPr>
                <w:noProof/>
                <w:webHidden/>
              </w:rPr>
            </w:r>
            <w:r w:rsidR="00E33F37">
              <w:rPr>
                <w:noProof/>
                <w:webHidden/>
              </w:rPr>
              <w:fldChar w:fldCharType="separate"/>
            </w:r>
            <w:r w:rsidR="00E33F37">
              <w:rPr>
                <w:noProof/>
                <w:webHidden/>
              </w:rPr>
              <w:t>18</w:t>
            </w:r>
            <w:r w:rsidR="00E33F37">
              <w:rPr>
                <w:noProof/>
                <w:webHidden/>
              </w:rPr>
              <w:fldChar w:fldCharType="end"/>
            </w:r>
          </w:hyperlink>
        </w:p>
        <w:p w14:paraId="312EAFAD" w14:textId="51074D6D" w:rsidR="00E33F37" w:rsidRDefault="00846209">
          <w:pPr>
            <w:pStyle w:val="TOC3"/>
            <w:rPr>
              <w:rFonts w:asciiTheme="minorHAnsi" w:hAnsiTheme="minorHAnsi"/>
              <w:noProof/>
              <w:sz w:val="22"/>
              <w:lang w:val="en-GB" w:eastAsia="en-GB"/>
            </w:rPr>
          </w:pPr>
          <w:hyperlink w:anchor="_Toc107389444" w:history="1">
            <w:r w:rsidR="00E33F37" w:rsidRPr="0010085C">
              <w:rPr>
                <w:rStyle w:val="Hyperlink"/>
                <w:noProof/>
              </w:rPr>
              <w:t>Performance Summary</w:t>
            </w:r>
            <w:r w:rsidR="00E33F37">
              <w:rPr>
                <w:noProof/>
                <w:webHidden/>
              </w:rPr>
              <w:tab/>
            </w:r>
            <w:r w:rsidR="00E33F37">
              <w:rPr>
                <w:noProof/>
                <w:webHidden/>
              </w:rPr>
              <w:fldChar w:fldCharType="begin"/>
            </w:r>
            <w:r w:rsidR="00E33F37">
              <w:rPr>
                <w:noProof/>
                <w:webHidden/>
              </w:rPr>
              <w:instrText xml:space="preserve"> PAGEREF _Toc107389444 \h </w:instrText>
            </w:r>
            <w:r w:rsidR="00E33F37">
              <w:rPr>
                <w:noProof/>
                <w:webHidden/>
              </w:rPr>
            </w:r>
            <w:r w:rsidR="00E33F37">
              <w:rPr>
                <w:noProof/>
                <w:webHidden/>
              </w:rPr>
              <w:fldChar w:fldCharType="separate"/>
            </w:r>
            <w:r w:rsidR="00E33F37">
              <w:rPr>
                <w:noProof/>
                <w:webHidden/>
              </w:rPr>
              <w:t>18</w:t>
            </w:r>
            <w:r w:rsidR="00E33F37">
              <w:rPr>
                <w:noProof/>
                <w:webHidden/>
              </w:rPr>
              <w:fldChar w:fldCharType="end"/>
            </w:r>
          </w:hyperlink>
        </w:p>
        <w:p w14:paraId="671659E9" w14:textId="23A7FD6C" w:rsidR="00E33F37" w:rsidRDefault="00846209">
          <w:pPr>
            <w:pStyle w:val="TOC3"/>
            <w:rPr>
              <w:rFonts w:asciiTheme="minorHAnsi" w:hAnsiTheme="minorHAnsi"/>
              <w:noProof/>
              <w:sz w:val="22"/>
              <w:lang w:val="en-GB" w:eastAsia="en-GB"/>
            </w:rPr>
          </w:pPr>
          <w:hyperlink w:anchor="_Toc107389445" w:history="1">
            <w:r w:rsidR="00E33F37" w:rsidRPr="0010085C">
              <w:rPr>
                <w:rStyle w:val="Hyperlink"/>
                <w:noProof/>
              </w:rPr>
              <w:t>Improve Quality</w:t>
            </w:r>
            <w:r w:rsidR="00E33F37">
              <w:rPr>
                <w:noProof/>
                <w:webHidden/>
              </w:rPr>
              <w:tab/>
            </w:r>
            <w:r w:rsidR="00E33F37">
              <w:rPr>
                <w:noProof/>
                <w:webHidden/>
              </w:rPr>
              <w:fldChar w:fldCharType="begin"/>
            </w:r>
            <w:r w:rsidR="00E33F37">
              <w:rPr>
                <w:noProof/>
                <w:webHidden/>
              </w:rPr>
              <w:instrText xml:space="preserve"> PAGEREF _Toc107389445 \h </w:instrText>
            </w:r>
            <w:r w:rsidR="00E33F37">
              <w:rPr>
                <w:noProof/>
                <w:webHidden/>
              </w:rPr>
            </w:r>
            <w:r w:rsidR="00E33F37">
              <w:rPr>
                <w:noProof/>
                <w:webHidden/>
              </w:rPr>
              <w:fldChar w:fldCharType="separate"/>
            </w:r>
            <w:r w:rsidR="00E33F37">
              <w:rPr>
                <w:noProof/>
                <w:webHidden/>
              </w:rPr>
              <w:t>21</w:t>
            </w:r>
            <w:r w:rsidR="00E33F37">
              <w:rPr>
                <w:noProof/>
                <w:webHidden/>
              </w:rPr>
              <w:fldChar w:fldCharType="end"/>
            </w:r>
          </w:hyperlink>
        </w:p>
        <w:p w14:paraId="5F842638" w14:textId="6BE5B161" w:rsidR="00E33F37" w:rsidRDefault="00846209">
          <w:pPr>
            <w:pStyle w:val="TOC3"/>
            <w:rPr>
              <w:rFonts w:asciiTheme="minorHAnsi" w:hAnsiTheme="minorHAnsi"/>
              <w:noProof/>
              <w:sz w:val="22"/>
              <w:lang w:val="en-GB" w:eastAsia="en-GB"/>
            </w:rPr>
          </w:pPr>
          <w:hyperlink w:anchor="_Toc107389446" w:history="1">
            <w:r w:rsidR="00E33F37" w:rsidRPr="0010085C">
              <w:rPr>
                <w:rStyle w:val="Hyperlink"/>
                <w:noProof/>
              </w:rPr>
              <w:t>Reducing health inequality</w:t>
            </w:r>
            <w:r w:rsidR="00E33F37">
              <w:rPr>
                <w:noProof/>
                <w:webHidden/>
              </w:rPr>
              <w:tab/>
            </w:r>
            <w:r w:rsidR="00E33F37">
              <w:rPr>
                <w:noProof/>
                <w:webHidden/>
              </w:rPr>
              <w:fldChar w:fldCharType="begin"/>
            </w:r>
            <w:r w:rsidR="00E33F37">
              <w:rPr>
                <w:noProof/>
                <w:webHidden/>
              </w:rPr>
              <w:instrText xml:space="preserve"> PAGEREF _Toc107389446 \h </w:instrText>
            </w:r>
            <w:r w:rsidR="00E33F37">
              <w:rPr>
                <w:noProof/>
                <w:webHidden/>
              </w:rPr>
            </w:r>
            <w:r w:rsidR="00E33F37">
              <w:rPr>
                <w:noProof/>
                <w:webHidden/>
              </w:rPr>
              <w:fldChar w:fldCharType="separate"/>
            </w:r>
            <w:r w:rsidR="00E33F37">
              <w:rPr>
                <w:noProof/>
                <w:webHidden/>
              </w:rPr>
              <w:t>25</w:t>
            </w:r>
            <w:r w:rsidR="00E33F37">
              <w:rPr>
                <w:noProof/>
                <w:webHidden/>
              </w:rPr>
              <w:fldChar w:fldCharType="end"/>
            </w:r>
          </w:hyperlink>
        </w:p>
        <w:p w14:paraId="6BBB25BB" w14:textId="0AE27D3D" w:rsidR="00E33F37" w:rsidRDefault="00846209">
          <w:pPr>
            <w:pStyle w:val="TOC3"/>
            <w:rPr>
              <w:rFonts w:asciiTheme="minorHAnsi" w:hAnsiTheme="minorHAnsi"/>
              <w:noProof/>
              <w:sz w:val="22"/>
              <w:lang w:val="en-GB" w:eastAsia="en-GB"/>
            </w:rPr>
          </w:pPr>
          <w:hyperlink w:anchor="_Toc107389447" w:history="1">
            <w:r w:rsidR="00E33F37" w:rsidRPr="0010085C">
              <w:rPr>
                <w:rStyle w:val="Hyperlink"/>
                <w:noProof/>
              </w:rPr>
              <w:t>Engagement with people and communities</w:t>
            </w:r>
            <w:r w:rsidR="00E33F37">
              <w:rPr>
                <w:noProof/>
                <w:webHidden/>
              </w:rPr>
              <w:tab/>
            </w:r>
            <w:r w:rsidR="00E33F37">
              <w:rPr>
                <w:noProof/>
                <w:webHidden/>
              </w:rPr>
              <w:fldChar w:fldCharType="begin"/>
            </w:r>
            <w:r w:rsidR="00E33F37">
              <w:rPr>
                <w:noProof/>
                <w:webHidden/>
              </w:rPr>
              <w:instrText xml:space="preserve"> PAGEREF _Toc107389447 \h </w:instrText>
            </w:r>
            <w:r w:rsidR="00E33F37">
              <w:rPr>
                <w:noProof/>
                <w:webHidden/>
              </w:rPr>
            </w:r>
            <w:r w:rsidR="00E33F37">
              <w:rPr>
                <w:noProof/>
                <w:webHidden/>
              </w:rPr>
              <w:fldChar w:fldCharType="separate"/>
            </w:r>
            <w:r w:rsidR="00E33F37">
              <w:rPr>
                <w:noProof/>
                <w:webHidden/>
              </w:rPr>
              <w:t>27</w:t>
            </w:r>
            <w:r w:rsidR="00E33F37">
              <w:rPr>
                <w:noProof/>
                <w:webHidden/>
              </w:rPr>
              <w:fldChar w:fldCharType="end"/>
            </w:r>
          </w:hyperlink>
        </w:p>
        <w:p w14:paraId="05A36CA6" w14:textId="6D4409FD" w:rsidR="00E33F37" w:rsidRDefault="00846209">
          <w:pPr>
            <w:pStyle w:val="TOC3"/>
            <w:rPr>
              <w:rFonts w:asciiTheme="minorHAnsi" w:hAnsiTheme="minorHAnsi"/>
              <w:noProof/>
              <w:sz w:val="22"/>
              <w:lang w:val="en-GB" w:eastAsia="en-GB"/>
            </w:rPr>
          </w:pPr>
          <w:hyperlink w:anchor="_Toc107389448" w:history="1">
            <w:r w:rsidR="00E33F37" w:rsidRPr="0010085C">
              <w:rPr>
                <w:rStyle w:val="Hyperlink"/>
                <w:noProof/>
              </w:rPr>
              <w:t>Health and Wellbeing Strategy</w:t>
            </w:r>
            <w:r w:rsidR="00E33F37">
              <w:rPr>
                <w:noProof/>
                <w:webHidden/>
              </w:rPr>
              <w:tab/>
            </w:r>
            <w:r w:rsidR="00E33F37">
              <w:rPr>
                <w:noProof/>
                <w:webHidden/>
              </w:rPr>
              <w:fldChar w:fldCharType="begin"/>
            </w:r>
            <w:r w:rsidR="00E33F37">
              <w:rPr>
                <w:noProof/>
                <w:webHidden/>
              </w:rPr>
              <w:instrText xml:space="preserve"> PAGEREF _Toc107389448 \h </w:instrText>
            </w:r>
            <w:r w:rsidR="00E33F37">
              <w:rPr>
                <w:noProof/>
                <w:webHidden/>
              </w:rPr>
            </w:r>
            <w:r w:rsidR="00E33F37">
              <w:rPr>
                <w:noProof/>
                <w:webHidden/>
              </w:rPr>
              <w:fldChar w:fldCharType="separate"/>
            </w:r>
            <w:r w:rsidR="00E33F37">
              <w:rPr>
                <w:noProof/>
                <w:webHidden/>
              </w:rPr>
              <w:t>29</w:t>
            </w:r>
            <w:r w:rsidR="00E33F37">
              <w:rPr>
                <w:noProof/>
                <w:webHidden/>
              </w:rPr>
              <w:fldChar w:fldCharType="end"/>
            </w:r>
          </w:hyperlink>
        </w:p>
        <w:p w14:paraId="698BDD91" w14:textId="719386C1" w:rsidR="00E33F37" w:rsidRDefault="00846209">
          <w:pPr>
            <w:pStyle w:val="TOC3"/>
            <w:rPr>
              <w:rFonts w:asciiTheme="minorHAnsi" w:hAnsiTheme="minorHAnsi"/>
              <w:noProof/>
              <w:sz w:val="22"/>
              <w:lang w:val="en-GB" w:eastAsia="en-GB"/>
            </w:rPr>
          </w:pPr>
          <w:hyperlink w:anchor="_Toc107389449" w:history="1">
            <w:r w:rsidR="00E33F37" w:rsidRPr="0010085C">
              <w:rPr>
                <w:rStyle w:val="Hyperlink"/>
                <w:noProof/>
              </w:rPr>
              <w:t>Financial Review</w:t>
            </w:r>
            <w:r w:rsidR="00E33F37">
              <w:rPr>
                <w:noProof/>
                <w:webHidden/>
              </w:rPr>
              <w:tab/>
            </w:r>
            <w:r w:rsidR="00E33F37">
              <w:rPr>
                <w:noProof/>
                <w:webHidden/>
              </w:rPr>
              <w:fldChar w:fldCharType="begin"/>
            </w:r>
            <w:r w:rsidR="00E33F37">
              <w:rPr>
                <w:noProof/>
                <w:webHidden/>
              </w:rPr>
              <w:instrText xml:space="preserve"> PAGEREF _Toc107389449 \h </w:instrText>
            </w:r>
            <w:r w:rsidR="00E33F37">
              <w:rPr>
                <w:noProof/>
                <w:webHidden/>
              </w:rPr>
            </w:r>
            <w:r w:rsidR="00E33F37">
              <w:rPr>
                <w:noProof/>
                <w:webHidden/>
              </w:rPr>
              <w:fldChar w:fldCharType="separate"/>
            </w:r>
            <w:r w:rsidR="00E33F37">
              <w:rPr>
                <w:noProof/>
                <w:webHidden/>
              </w:rPr>
              <w:t>30</w:t>
            </w:r>
            <w:r w:rsidR="00E33F37">
              <w:rPr>
                <w:noProof/>
                <w:webHidden/>
              </w:rPr>
              <w:fldChar w:fldCharType="end"/>
            </w:r>
          </w:hyperlink>
        </w:p>
        <w:p w14:paraId="35BFE588" w14:textId="4DBEAAC3" w:rsidR="00E33F37" w:rsidRDefault="00846209">
          <w:pPr>
            <w:pStyle w:val="TOC3"/>
            <w:rPr>
              <w:rFonts w:asciiTheme="minorHAnsi" w:hAnsiTheme="minorHAnsi"/>
              <w:noProof/>
              <w:sz w:val="22"/>
              <w:lang w:val="en-GB" w:eastAsia="en-GB"/>
            </w:rPr>
          </w:pPr>
          <w:hyperlink w:anchor="_Toc107389450" w:history="1">
            <w:r w:rsidR="00E33F37" w:rsidRPr="0010085C">
              <w:rPr>
                <w:rStyle w:val="Hyperlink"/>
                <w:noProof/>
              </w:rPr>
              <w:t>Risks</w:t>
            </w:r>
            <w:r w:rsidR="00E33F37">
              <w:rPr>
                <w:noProof/>
                <w:webHidden/>
              </w:rPr>
              <w:tab/>
            </w:r>
            <w:r w:rsidR="00E33F37">
              <w:rPr>
                <w:noProof/>
                <w:webHidden/>
              </w:rPr>
              <w:fldChar w:fldCharType="begin"/>
            </w:r>
            <w:r w:rsidR="00E33F37">
              <w:rPr>
                <w:noProof/>
                <w:webHidden/>
              </w:rPr>
              <w:instrText xml:space="preserve"> PAGEREF _Toc107389450 \h </w:instrText>
            </w:r>
            <w:r w:rsidR="00E33F37">
              <w:rPr>
                <w:noProof/>
                <w:webHidden/>
              </w:rPr>
            </w:r>
            <w:r w:rsidR="00E33F37">
              <w:rPr>
                <w:noProof/>
                <w:webHidden/>
              </w:rPr>
              <w:fldChar w:fldCharType="separate"/>
            </w:r>
            <w:r w:rsidR="00E33F37">
              <w:rPr>
                <w:noProof/>
                <w:webHidden/>
              </w:rPr>
              <w:t>33</w:t>
            </w:r>
            <w:r w:rsidR="00E33F37">
              <w:rPr>
                <w:noProof/>
                <w:webHidden/>
              </w:rPr>
              <w:fldChar w:fldCharType="end"/>
            </w:r>
          </w:hyperlink>
        </w:p>
        <w:p w14:paraId="1DD574CA" w14:textId="4690EFC0" w:rsidR="00E33F37" w:rsidRDefault="00846209">
          <w:pPr>
            <w:pStyle w:val="TOC3"/>
            <w:rPr>
              <w:rFonts w:asciiTheme="minorHAnsi" w:hAnsiTheme="minorHAnsi"/>
              <w:noProof/>
              <w:sz w:val="22"/>
              <w:lang w:val="en-GB" w:eastAsia="en-GB"/>
            </w:rPr>
          </w:pPr>
          <w:hyperlink w:anchor="_Toc107389451" w:history="1">
            <w:r w:rsidR="00E33F37" w:rsidRPr="0010085C">
              <w:rPr>
                <w:rStyle w:val="Hyperlink"/>
                <w:noProof/>
              </w:rPr>
              <w:t>Sustainable Development</w:t>
            </w:r>
            <w:r w:rsidR="00E33F37">
              <w:rPr>
                <w:noProof/>
                <w:webHidden/>
              </w:rPr>
              <w:tab/>
            </w:r>
            <w:r w:rsidR="00E33F37">
              <w:rPr>
                <w:noProof/>
                <w:webHidden/>
              </w:rPr>
              <w:fldChar w:fldCharType="begin"/>
            </w:r>
            <w:r w:rsidR="00E33F37">
              <w:rPr>
                <w:noProof/>
                <w:webHidden/>
              </w:rPr>
              <w:instrText xml:space="preserve"> PAGEREF _Toc107389451 \h </w:instrText>
            </w:r>
            <w:r w:rsidR="00E33F37">
              <w:rPr>
                <w:noProof/>
                <w:webHidden/>
              </w:rPr>
            </w:r>
            <w:r w:rsidR="00E33F37">
              <w:rPr>
                <w:noProof/>
                <w:webHidden/>
              </w:rPr>
              <w:fldChar w:fldCharType="separate"/>
            </w:r>
            <w:r w:rsidR="00E33F37">
              <w:rPr>
                <w:noProof/>
                <w:webHidden/>
              </w:rPr>
              <w:t>34</w:t>
            </w:r>
            <w:r w:rsidR="00E33F37">
              <w:rPr>
                <w:noProof/>
                <w:webHidden/>
              </w:rPr>
              <w:fldChar w:fldCharType="end"/>
            </w:r>
          </w:hyperlink>
        </w:p>
        <w:p w14:paraId="20EE2FD1" w14:textId="3EF9F279" w:rsidR="00E33F37" w:rsidRDefault="00846209">
          <w:pPr>
            <w:pStyle w:val="TOC1"/>
            <w:rPr>
              <w:rFonts w:asciiTheme="minorHAnsi" w:eastAsiaTheme="minorEastAsia" w:hAnsiTheme="minorHAnsi" w:cstheme="minorBidi"/>
              <w:b w:val="0"/>
              <w:sz w:val="22"/>
              <w:szCs w:val="22"/>
              <w:lang w:eastAsia="en-GB"/>
            </w:rPr>
          </w:pPr>
          <w:hyperlink w:anchor="_Toc107389452" w:history="1">
            <w:r w:rsidR="00E33F37" w:rsidRPr="0010085C">
              <w:rPr>
                <w:rStyle w:val="Hyperlink"/>
              </w:rPr>
              <w:t>ACCOUNTABILITY REPORT</w:t>
            </w:r>
            <w:r w:rsidR="00E33F37">
              <w:rPr>
                <w:webHidden/>
              </w:rPr>
              <w:tab/>
            </w:r>
            <w:r w:rsidR="00E33F37">
              <w:rPr>
                <w:webHidden/>
              </w:rPr>
              <w:fldChar w:fldCharType="begin"/>
            </w:r>
            <w:r w:rsidR="00E33F37">
              <w:rPr>
                <w:webHidden/>
              </w:rPr>
              <w:instrText xml:space="preserve"> PAGEREF _Toc107389452 \h </w:instrText>
            </w:r>
            <w:r w:rsidR="00E33F37">
              <w:rPr>
                <w:webHidden/>
              </w:rPr>
            </w:r>
            <w:r w:rsidR="00E33F37">
              <w:rPr>
                <w:webHidden/>
              </w:rPr>
              <w:fldChar w:fldCharType="separate"/>
            </w:r>
            <w:r w:rsidR="00E33F37">
              <w:rPr>
                <w:webHidden/>
              </w:rPr>
              <w:t>37</w:t>
            </w:r>
            <w:r w:rsidR="00E33F37">
              <w:rPr>
                <w:webHidden/>
              </w:rPr>
              <w:fldChar w:fldCharType="end"/>
            </w:r>
          </w:hyperlink>
        </w:p>
        <w:p w14:paraId="6CAD34DF" w14:textId="224E7C73" w:rsidR="00E33F37" w:rsidRDefault="00846209">
          <w:pPr>
            <w:pStyle w:val="TOC2"/>
            <w:rPr>
              <w:rFonts w:asciiTheme="minorHAnsi" w:hAnsiTheme="minorHAnsi"/>
              <w:b w:val="0"/>
              <w:bCs w:val="0"/>
              <w:sz w:val="22"/>
              <w:lang w:val="en-GB" w:eastAsia="en-GB"/>
            </w:rPr>
          </w:pPr>
          <w:hyperlink w:anchor="_Toc107389453" w:history="1">
            <w:r w:rsidR="00E33F37" w:rsidRPr="0010085C">
              <w:rPr>
                <w:rStyle w:val="Hyperlink"/>
              </w:rPr>
              <w:t>Corporate Governance Report</w:t>
            </w:r>
            <w:r w:rsidR="00E33F37">
              <w:rPr>
                <w:webHidden/>
              </w:rPr>
              <w:tab/>
            </w:r>
            <w:r w:rsidR="00E33F37">
              <w:rPr>
                <w:webHidden/>
              </w:rPr>
              <w:fldChar w:fldCharType="begin"/>
            </w:r>
            <w:r w:rsidR="00E33F37">
              <w:rPr>
                <w:webHidden/>
              </w:rPr>
              <w:instrText xml:space="preserve"> PAGEREF _Toc107389453 \h </w:instrText>
            </w:r>
            <w:r w:rsidR="00E33F37">
              <w:rPr>
                <w:webHidden/>
              </w:rPr>
            </w:r>
            <w:r w:rsidR="00E33F37">
              <w:rPr>
                <w:webHidden/>
              </w:rPr>
              <w:fldChar w:fldCharType="separate"/>
            </w:r>
            <w:r w:rsidR="00E33F37">
              <w:rPr>
                <w:webHidden/>
              </w:rPr>
              <w:t>37</w:t>
            </w:r>
            <w:r w:rsidR="00E33F37">
              <w:rPr>
                <w:webHidden/>
              </w:rPr>
              <w:fldChar w:fldCharType="end"/>
            </w:r>
          </w:hyperlink>
        </w:p>
        <w:p w14:paraId="4BD247F2" w14:textId="3AF9830E" w:rsidR="00E33F37" w:rsidRDefault="00846209">
          <w:pPr>
            <w:pStyle w:val="TOC2"/>
            <w:rPr>
              <w:rFonts w:asciiTheme="minorHAnsi" w:hAnsiTheme="minorHAnsi"/>
              <w:b w:val="0"/>
              <w:bCs w:val="0"/>
              <w:sz w:val="22"/>
              <w:lang w:val="en-GB" w:eastAsia="en-GB"/>
            </w:rPr>
          </w:pPr>
          <w:hyperlink w:anchor="_Toc107389454" w:history="1">
            <w:r w:rsidR="00E33F37" w:rsidRPr="0010085C">
              <w:rPr>
                <w:rStyle w:val="Hyperlink"/>
              </w:rPr>
              <w:t>Members Report</w:t>
            </w:r>
            <w:r w:rsidR="00E33F37">
              <w:rPr>
                <w:webHidden/>
              </w:rPr>
              <w:tab/>
            </w:r>
            <w:r w:rsidR="00E33F37">
              <w:rPr>
                <w:webHidden/>
              </w:rPr>
              <w:fldChar w:fldCharType="begin"/>
            </w:r>
            <w:r w:rsidR="00E33F37">
              <w:rPr>
                <w:webHidden/>
              </w:rPr>
              <w:instrText xml:space="preserve"> PAGEREF _Toc107389454 \h </w:instrText>
            </w:r>
            <w:r w:rsidR="00E33F37">
              <w:rPr>
                <w:webHidden/>
              </w:rPr>
            </w:r>
            <w:r w:rsidR="00E33F37">
              <w:rPr>
                <w:webHidden/>
              </w:rPr>
              <w:fldChar w:fldCharType="separate"/>
            </w:r>
            <w:r w:rsidR="00E33F37">
              <w:rPr>
                <w:webHidden/>
              </w:rPr>
              <w:t>37</w:t>
            </w:r>
            <w:r w:rsidR="00E33F37">
              <w:rPr>
                <w:webHidden/>
              </w:rPr>
              <w:fldChar w:fldCharType="end"/>
            </w:r>
          </w:hyperlink>
        </w:p>
        <w:p w14:paraId="5D1EEF58" w14:textId="03401669" w:rsidR="00E33F37" w:rsidRDefault="00846209">
          <w:pPr>
            <w:pStyle w:val="TOC3"/>
            <w:rPr>
              <w:rFonts w:asciiTheme="minorHAnsi" w:hAnsiTheme="minorHAnsi"/>
              <w:noProof/>
              <w:sz w:val="22"/>
              <w:lang w:val="en-GB" w:eastAsia="en-GB"/>
            </w:rPr>
          </w:pPr>
          <w:hyperlink w:anchor="_Toc107389455" w:history="1">
            <w:r w:rsidR="00E33F37" w:rsidRPr="0010085C">
              <w:rPr>
                <w:rStyle w:val="Hyperlink"/>
                <w:noProof/>
              </w:rPr>
              <w:t>Members Profiles</w:t>
            </w:r>
            <w:r w:rsidR="00E33F37">
              <w:rPr>
                <w:noProof/>
                <w:webHidden/>
              </w:rPr>
              <w:tab/>
            </w:r>
            <w:r w:rsidR="00E33F37">
              <w:rPr>
                <w:noProof/>
                <w:webHidden/>
              </w:rPr>
              <w:fldChar w:fldCharType="begin"/>
            </w:r>
            <w:r w:rsidR="00E33F37">
              <w:rPr>
                <w:noProof/>
                <w:webHidden/>
              </w:rPr>
              <w:instrText xml:space="preserve"> PAGEREF _Toc107389455 \h </w:instrText>
            </w:r>
            <w:r w:rsidR="00E33F37">
              <w:rPr>
                <w:noProof/>
                <w:webHidden/>
              </w:rPr>
            </w:r>
            <w:r w:rsidR="00E33F37">
              <w:rPr>
                <w:noProof/>
                <w:webHidden/>
              </w:rPr>
              <w:fldChar w:fldCharType="separate"/>
            </w:r>
            <w:r w:rsidR="00E33F37">
              <w:rPr>
                <w:noProof/>
                <w:webHidden/>
              </w:rPr>
              <w:t>37</w:t>
            </w:r>
            <w:r w:rsidR="00E33F37">
              <w:rPr>
                <w:noProof/>
                <w:webHidden/>
              </w:rPr>
              <w:fldChar w:fldCharType="end"/>
            </w:r>
          </w:hyperlink>
        </w:p>
        <w:p w14:paraId="06D0FA69" w14:textId="367B9B9B" w:rsidR="00E33F37" w:rsidRDefault="00846209">
          <w:pPr>
            <w:pStyle w:val="TOC3"/>
            <w:rPr>
              <w:rFonts w:asciiTheme="minorHAnsi" w:hAnsiTheme="minorHAnsi"/>
              <w:noProof/>
              <w:sz w:val="22"/>
              <w:lang w:val="en-GB" w:eastAsia="en-GB"/>
            </w:rPr>
          </w:pPr>
          <w:hyperlink w:anchor="_Toc107389456" w:history="1">
            <w:r w:rsidR="00E33F37" w:rsidRPr="0010085C">
              <w:rPr>
                <w:rStyle w:val="Hyperlink"/>
                <w:noProof/>
              </w:rPr>
              <w:t>Composition of Governing Body</w:t>
            </w:r>
            <w:r w:rsidR="00E33F37">
              <w:rPr>
                <w:noProof/>
                <w:webHidden/>
              </w:rPr>
              <w:tab/>
            </w:r>
            <w:r w:rsidR="00E33F37">
              <w:rPr>
                <w:noProof/>
                <w:webHidden/>
              </w:rPr>
              <w:fldChar w:fldCharType="begin"/>
            </w:r>
            <w:r w:rsidR="00E33F37">
              <w:rPr>
                <w:noProof/>
                <w:webHidden/>
              </w:rPr>
              <w:instrText xml:space="preserve"> PAGEREF _Toc107389456 \h </w:instrText>
            </w:r>
            <w:r w:rsidR="00E33F37">
              <w:rPr>
                <w:noProof/>
                <w:webHidden/>
              </w:rPr>
            </w:r>
            <w:r w:rsidR="00E33F37">
              <w:rPr>
                <w:noProof/>
                <w:webHidden/>
              </w:rPr>
              <w:fldChar w:fldCharType="separate"/>
            </w:r>
            <w:r w:rsidR="00E33F37">
              <w:rPr>
                <w:noProof/>
                <w:webHidden/>
              </w:rPr>
              <w:t>37</w:t>
            </w:r>
            <w:r w:rsidR="00E33F37">
              <w:rPr>
                <w:noProof/>
                <w:webHidden/>
              </w:rPr>
              <w:fldChar w:fldCharType="end"/>
            </w:r>
          </w:hyperlink>
        </w:p>
        <w:p w14:paraId="1A232FCA" w14:textId="3FFC3C7E" w:rsidR="00E33F37" w:rsidRDefault="00846209">
          <w:pPr>
            <w:pStyle w:val="TOC3"/>
            <w:rPr>
              <w:rFonts w:asciiTheme="minorHAnsi" w:hAnsiTheme="minorHAnsi"/>
              <w:noProof/>
              <w:sz w:val="22"/>
              <w:lang w:val="en-GB" w:eastAsia="en-GB"/>
            </w:rPr>
          </w:pPr>
          <w:hyperlink w:anchor="_Toc107389457" w:history="1">
            <w:r w:rsidR="00E33F37" w:rsidRPr="0010085C">
              <w:rPr>
                <w:rStyle w:val="Hyperlink"/>
                <w:noProof/>
              </w:rPr>
              <w:t>Member practices</w:t>
            </w:r>
            <w:r w:rsidR="00E33F37">
              <w:rPr>
                <w:noProof/>
                <w:webHidden/>
              </w:rPr>
              <w:tab/>
            </w:r>
            <w:r w:rsidR="00E33F37">
              <w:rPr>
                <w:noProof/>
                <w:webHidden/>
              </w:rPr>
              <w:fldChar w:fldCharType="begin"/>
            </w:r>
            <w:r w:rsidR="00E33F37">
              <w:rPr>
                <w:noProof/>
                <w:webHidden/>
              </w:rPr>
              <w:instrText xml:space="preserve"> PAGEREF _Toc107389457 \h </w:instrText>
            </w:r>
            <w:r w:rsidR="00E33F37">
              <w:rPr>
                <w:noProof/>
                <w:webHidden/>
              </w:rPr>
            </w:r>
            <w:r w:rsidR="00E33F37">
              <w:rPr>
                <w:noProof/>
                <w:webHidden/>
              </w:rPr>
              <w:fldChar w:fldCharType="separate"/>
            </w:r>
            <w:r w:rsidR="00E33F37">
              <w:rPr>
                <w:noProof/>
                <w:webHidden/>
              </w:rPr>
              <w:t>46</w:t>
            </w:r>
            <w:r w:rsidR="00E33F37">
              <w:rPr>
                <w:noProof/>
                <w:webHidden/>
              </w:rPr>
              <w:fldChar w:fldCharType="end"/>
            </w:r>
          </w:hyperlink>
        </w:p>
        <w:p w14:paraId="52ED2136" w14:textId="555D1C30" w:rsidR="00E33F37" w:rsidRDefault="00846209">
          <w:pPr>
            <w:pStyle w:val="TOC3"/>
            <w:rPr>
              <w:rFonts w:asciiTheme="minorHAnsi" w:hAnsiTheme="minorHAnsi"/>
              <w:noProof/>
              <w:sz w:val="22"/>
              <w:lang w:val="en-GB" w:eastAsia="en-GB"/>
            </w:rPr>
          </w:pPr>
          <w:hyperlink w:anchor="_Toc107389458" w:history="1">
            <w:r w:rsidR="00E33F37" w:rsidRPr="0010085C">
              <w:rPr>
                <w:rStyle w:val="Hyperlink"/>
                <w:noProof/>
              </w:rPr>
              <w:t>Committees, including Audit Committee</w:t>
            </w:r>
            <w:r w:rsidR="00E33F37">
              <w:rPr>
                <w:noProof/>
                <w:webHidden/>
              </w:rPr>
              <w:tab/>
            </w:r>
            <w:r w:rsidR="00E33F37">
              <w:rPr>
                <w:noProof/>
                <w:webHidden/>
              </w:rPr>
              <w:fldChar w:fldCharType="begin"/>
            </w:r>
            <w:r w:rsidR="00E33F37">
              <w:rPr>
                <w:noProof/>
                <w:webHidden/>
              </w:rPr>
              <w:instrText xml:space="preserve"> PAGEREF _Toc107389458 \h </w:instrText>
            </w:r>
            <w:r w:rsidR="00E33F37">
              <w:rPr>
                <w:noProof/>
                <w:webHidden/>
              </w:rPr>
            </w:r>
            <w:r w:rsidR="00E33F37">
              <w:rPr>
                <w:noProof/>
                <w:webHidden/>
              </w:rPr>
              <w:fldChar w:fldCharType="separate"/>
            </w:r>
            <w:r w:rsidR="00E33F37">
              <w:rPr>
                <w:noProof/>
                <w:webHidden/>
              </w:rPr>
              <w:t>49</w:t>
            </w:r>
            <w:r w:rsidR="00E33F37">
              <w:rPr>
                <w:noProof/>
                <w:webHidden/>
              </w:rPr>
              <w:fldChar w:fldCharType="end"/>
            </w:r>
          </w:hyperlink>
        </w:p>
        <w:p w14:paraId="6E2003BC" w14:textId="0D7B198B" w:rsidR="00E33F37" w:rsidRDefault="00846209">
          <w:pPr>
            <w:pStyle w:val="TOC3"/>
            <w:rPr>
              <w:rFonts w:asciiTheme="minorHAnsi" w:hAnsiTheme="minorHAnsi"/>
              <w:noProof/>
              <w:sz w:val="22"/>
              <w:lang w:val="en-GB" w:eastAsia="en-GB"/>
            </w:rPr>
          </w:pPr>
          <w:hyperlink w:anchor="_Toc107389459" w:history="1">
            <w:r w:rsidR="00E33F37" w:rsidRPr="0010085C">
              <w:rPr>
                <w:rStyle w:val="Hyperlink"/>
                <w:noProof/>
              </w:rPr>
              <w:t>Register of Interests</w:t>
            </w:r>
            <w:r w:rsidR="00E33F37">
              <w:rPr>
                <w:noProof/>
                <w:webHidden/>
              </w:rPr>
              <w:tab/>
            </w:r>
            <w:r w:rsidR="00E33F37">
              <w:rPr>
                <w:noProof/>
                <w:webHidden/>
              </w:rPr>
              <w:fldChar w:fldCharType="begin"/>
            </w:r>
            <w:r w:rsidR="00E33F37">
              <w:rPr>
                <w:noProof/>
                <w:webHidden/>
              </w:rPr>
              <w:instrText xml:space="preserve"> PAGEREF _Toc107389459 \h </w:instrText>
            </w:r>
            <w:r w:rsidR="00E33F37">
              <w:rPr>
                <w:noProof/>
                <w:webHidden/>
              </w:rPr>
            </w:r>
            <w:r w:rsidR="00E33F37">
              <w:rPr>
                <w:noProof/>
                <w:webHidden/>
              </w:rPr>
              <w:fldChar w:fldCharType="separate"/>
            </w:r>
            <w:r w:rsidR="00E33F37">
              <w:rPr>
                <w:noProof/>
                <w:webHidden/>
              </w:rPr>
              <w:t>56</w:t>
            </w:r>
            <w:r w:rsidR="00E33F37">
              <w:rPr>
                <w:noProof/>
                <w:webHidden/>
              </w:rPr>
              <w:fldChar w:fldCharType="end"/>
            </w:r>
          </w:hyperlink>
        </w:p>
        <w:p w14:paraId="5D3C2B72" w14:textId="788A122A" w:rsidR="00E33F37" w:rsidRDefault="00846209">
          <w:pPr>
            <w:pStyle w:val="TOC3"/>
            <w:rPr>
              <w:rFonts w:asciiTheme="minorHAnsi" w:hAnsiTheme="minorHAnsi"/>
              <w:noProof/>
              <w:sz w:val="22"/>
              <w:lang w:val="en-GB" w:eastAsia="en-GB"/>
            </w:rPr>
          </w:pPr>
          <w:hyperlink w:anchor="_Toc107389460" w:history="1">
            <w:r w:rsidR="00E33F37" w:rsidRPr="0010085C">
              <w:rPr>
                <w:rStyle w:val="Hyperlink"/>
                <w:noProof/>
              </w:rPr>
              <w:t>Personal data related incidents</w:t>
            </w:r>
            <w:r w:rsidR="00E33F37">
              <w:rPr>
                <w:noProof/>
                <w:webHidden/>
              </w:rPr>
              <w:tab/>
            </w:r>
            <w:r w:rsidR="00E33F37">
              <w:rPr>
                <w:noProof/>
                <w:webHidden/>
              </w:rPr>
              <w:fldChar w:fldCharType="begin"/>
            </w:r>
            <w:r w:rsidR="00E33F37">
              <w:rPr>
                <w:noProof/>
                <w:webHidden/>
              </w:rPr>
              <w:instrText xml:space="preserve"> PAGEREF _Toc107389460 \h </w:instrText>
            </w:r>
            <w:r w:rsidR="00E33F37">
              <w:rPr>
                <w:noProof/>
                <w:webHidden/>
              </w:rPr>
            </w:r>
            <w:r w:rsidR="00E33F37">
              <w:rPr>
                <w:noProof/>
                <w:webHidden/>
              </w:rPr>
              <w:fldChar w:fldCharType="separate"/>
            </w:r>
            <w:r w:rsidR="00E33F37">
              <w:rPr>
                <w:noProof/>
                <w:webHidden/>
              </w:rPr>
              <w:t>56</w:t>
            </w:r>
            <w:r w:rsidR="00E33F37">
              <w:rPr>
                <w:noProof/>
                <w:webHidden/>
              </w:rPr>
              <w:fldChar w:fldCharType="end"/>
            </w:r>
          </w:hyperlink>
        </w:p>
        <w:p w14:paraId="685BA0D5" w14:textId="6C484E47" w:rsidR="00E33F37" w:rsidRDefault="00846209">
          <w:pPr>
            <w:pStyle w:val="TOC3"/>
            <w:rPr>
              <w:rFonts w:asciiTheme="minorHAnsi" w:hAnsiTheme="minorHAnsi"/>
              <w:noProof/>
              <w:sz w:val="22"/>
              <w:lang w:val="en-GB" w:eastAsia="en-GB"/>
            </w:rPr>
          </w:pPr>
          <w:hyperlink w:anchor="_Toc107389461" w:history="1">
            <w:r w:rsidR="00E33F37" w:rsidRPr="0010085C">
              <w:rPr>
                <w:rStyle w:val="Hyperlink"/>
                <w:noProof/>
              </w:rPr>
              <w:t>Statement of Disclosure to Auditors</w:t>
            </w:r>
            <w:r w:rsidR="00E33F37">
              <w:rPr>
                <w:noProof/>
                <w:webHidden/>
              </w:rPr>
              <w:tab/>
            </w:r>
            <w:r w:rsidR="00E33F37">
              <w:rPr>
                <w:noProof/>
                <w:webHidden/>
              </w:rPr>
              <w:fldChar w:fldCharType="begin"/>
            </w:r>
            <w:r w:rsidR="00E33F37">
              <w:rPr>
                <w:noProof/>
                <w:webHidden/>
              </w:rPr>
              <w:instrText xml:space="preserve"> PAGEREF _Toc107389461 \h </w:instrText>
            </w:r>
            <w:r w:rsidR="00E33F37">
              <w:rPr>
                <w:noProof/>
                <w:webHidden/>
              </w:rPr>
            </w:r>
            <w:r w:rsidR="00E33F37">
              <w:rPr>
                <w:noProof/>
                <w:webHidden/>
              </w:rPr>
              <w:fldChar w:fldCharType="separate"/>
            </w:r>
            <w:r w:rsidR="00E33F37">
              <w:rPr>
                <w:noProof/>
                <w:webHidden/>
              </w:rPr>
              <w:t>57</w:t>
            </w:r>
            <w:r w:rsidR="00E33F37">
              <w:rPr>
                <w:noProof/>
                <w:webHidden/>
              </w:rPr>
              <w:fldChar w:fldCharType="end"/>
            </w:r>
          </w:hyperlink>
        </w:p>
        <w:p w14:paraId="1E360537" w14:textId="688B897F" w:rsidR="00E33F37" w:rsidRDefault="00846209">
          <w:pPr>
            <w:pStyle w:val="TOC3"/>
            <w:rPr>
              <w:rFonts w:asciiTheme="minorHAnsi" w:hAnsiTheme="minorHAnsi"/>
              <w:noProof/>
              <w:sz w:val="22"/>
              <w:lang w:val="en-GB" w:eastAsia="en-GB"/>
            </w:rPr>
          </w:pPr>
          <w:hyperlink w:anchor="_Toc107389462" w:history="1">
            <w:r w:rsidR="00E33F37" w:rsidRPr="0010085C">
              <w:rPr>
                <w:rStyle w:val="Hyperlink"/>
                <w:noProof/>
              </w:rPr>
              <w:t>Donations to political parties and charitable organisations</w:t>
            </w:r>
            <w:r w:rsidR="00E33F37">
              <w:rPr>
                <w:noProof/>
                <w:webHidden/>
              </w:rPr>
              <w:tab/>
            </w:r>
            <w:r w:rsidR="00E33F37">
              <w:rPr>
                <w:noProof/>
                <w:webHidden/>
              </w:rPr>
              <w:fldChar w:fldCharType="begin"/>
            </w:r>
            <w:r w:rsidR="00E33F37">
              <w:rPr>
                <w:noProof/>
                <w:webHidden/>
              </w:rPr>
              <w:instrText xml:space="preserve"> PAGEREF _Toc107389462 \h </w:instrText>
            </w:r>
            <w:r w:rsidR="00E33F37">
              <w:rPr>
                <w:noProof/>
                <w:webHidden/>
              </w:rPr>
            </w:r>
            <w:r w:rsidR="00E33F37">
              <w:rPr>
                <w:noProof/>
                <w:webHidden/>
              </w:rPr>
              <w:fldChar w:fldCharType="separate"/>
            </w:r>
            <w:r w:rsidR="00E33F37">
              <w:rPr>
                <w:noProof/>
                <w:webHidden/>
              </w:rPr>
              <w:t>57</w:t>
            </w:r>
            <w:r w:rsidR="00E33F37">
              <w:rPr>
                <w:noProof/>
                <w:webHidden/>
              </w:rPr>
              <w:fldChar w:fldCharType="end"/>
            </w:r>
          </w:hyperlink>
        </w:p>
        <w:p w14:paraId="1972CFCC" w14:textId="647F2455" w:rsidR="00E33F37" w:rsidRDefault="00846209">
          <w:pPr>
            <w:pStyle w:val="TOC3"/>
            <w:rPr>
              <w:rFonts w:asciiTheme="minorHAnsi" w:hAnsiTheme="minorHAnsi"/>
              <w:noProof/>
              <w:sz w:val="22"/>
              <w:lang w:val="en-GB" w:eastAsia="en-GB"/>
            </w:rPr>
          </w:pPr>
          <w:hyperlink w:anchor="_Toc107389463" w:history="1">
            <w:r w:rsidR="00E33F37" w:rsidRPr="0010085C">
              <w:rPr>
                <w:rStyle w:val="Hyperlink"/>
                <w:noProof/>
              </w:rPr>
              <w:t>Modern Slavery Act</w:t>
            </w:r>
            <w:r w:rsidR="00E33F37">
              <w:rPr>
                <w:noProof/>
                <w:webHidden/>
              </w:rPr>
              <w:tab/>
            </w:r>
            <w:r w:rsidR="00E33F37">
              <w:rPr>
                <w:noProof/>
                <w:webHidden/>
              </w:rPr>
              <w:fldChar w:fldCharType="begin"/>
            </w:r>
            <w:r w:rsidR="00E33F37">
              <w:rPr>
                <w:noProof/>
                <w:webHidden/>
              </w:rPr>
              <w:instrText xml:space="preserve"> PAGEREF _Toc107389463 \h </w:instrText>
            </w:r>
            <w:r w:rsidR="00E33F37">
              <w:rPr>
                <w:noProof/>
                <w:webHidden/>
              </w:rPr>
            </w:r>
            <w:r w:rsidR="00E33F37">
              <w:rPr>
                <w:noProof/>
                <w:webHidden/>
              </w:rPr>
              <w:fldChar w:fldCharType="separate"/>
            </w:r>
            <w:r w:rsidR="00E33F37">
              <w:rPr>
                <w:noProof/>
                <w:webHidden/>
              </w:rPr>
              <w:t>57</w:t>
            </w:r>
            <w:r w:rsidR="00E33F37">
              <w:rPr>
                <w:noProof/>
                <w:webHidden/>
              </w:rPr>
              <w:fldChar w:fldCharType="end"/>
            </w:r>
          </w:hyperlink>
        </w:p>
        <w:p w14:paraId="649A7D27" w14:textId="0009ED67" w:rsidR="00E33F37" w:rsidRDefault="00846209">
          <w:pPr>
            <w:pStyle w:val="TOC3"/>
            <w:rPr>
              <w:rFonts w:asciiTheme="minorHAnsi" w:hAnsiTheme="minorHAnsi"/>
              <w:noProof/>
              <w:sz w:val="22"/>
              <w:lang w:val="en-GB" w:eastAsia="en-GB"/>
            </w:rPr>
          </w:pPr>
          <w:hyperlink w:anchor="_Toc107389464" w:history="1">
            <w:r w:rsidR="00E33F37" w:rsidRPr="0010085C">
              <w:rPr>
                <w:rStyle w:val="Hyperlink"/>
                <w:noProof/>
              </w:rPr>
              <w:t>Statement of Accountable Officer’s Responsibilities</w:t>
            </w:r>
            <w:r w:rsidR="00E33F37">
              <w:rPr>
                <w:noProof/>
                <w:webHidden/>
              </w:rPr>
              <w:tab/>
            </w:r>
            <w:r w:rsidR="00E33F37">
              <w:rPr>
                <w:noProof/>
                <w:webHidden/>
              </w:rPr>
              <w:fldChar w:fldCharType="begin"/>
            </w:r>
            <w:r w:rsidR="00E33F37">
              <w:rPr>
                <w:noProof/>
                <w:webHidden/>
              </w:rPr>
              <w:instrText xml:space="preserve"> PAGEREF _Toc107389464 \h </w:instrText>
            </w:r>
            <w:r w:rsidR="00E33F37">
              <w:rPr>
                <w:noProof/>
                <w:webHidden/>
              </w:rPr>
            </w:r>
            <w:r w:rsidR="00E33F37">
              <w:rPr>
                <w:noProof/>
                <w:webHidden/>
              </w:rPr>
              <w:fldChar w:fldCharType="separate"/>
            </w:r>
            <w:r w:rsidR="00E33F37">
              <w:rPr>
                <w:noProof/>
                <w:webHidden/>
              </w:rPr>
              <w:t>61</w:t>
            </w:r>
            <w:r w:rsidR="00E33F37">
              <w:rPr>
                <w:noProof/>
                <w:webHidden/>
              </w:rPr>
              <w:fldChar w:fldCharType="end"/>
            </w:r>
          </w:hyperlink>
        </w:p>
        <w:p w14:paraId="15C03C47" w14:textId="7BA71397" w:rsidR="00E33F37" w:rsidRDefault="00846209">
          <w:pPr>
            <w:pStyle w:val="TOC1"/>
            <w:rPr>
              <w:rFonts w:asciiTheme="minorHAnsi" w:eastAsiaTheme="minorEastAsia" w:hAnsiTheme="minorHAnsi" w:cstheme="minorBidi"/>
              <w:b w:val="0"/>
              <w:sz w:val="22"/>
              <w:szCs w:val="22"/>
              <w:lang w:eastAsia="en-GB"/>
            </w:rPr>
          </w:pPr>
          <w:hyperlink w:anchor="_Toc107389465" w:history="1">
            <w:r w:rsidR="00E33F37" w:rsidRPr="0010085C">
              <w:rPr>
                <w:rStyle w:val="Hyperlink"/>
              </w:rPr>
              <w:t>Governance Statement</w:t>
            </w:r>
            <w:r w:rsidR="00E33F37">
              <w:rPr>
                <w:webHidden/>
              </w:rPr>
              <w:tab/>
            </w:r>
            <w:r w:rsidR="00E33F37">
              <w:rPr>
                <w:webHidden/>
              </w:rPr>
              <w:fldChar w:fldCharType="begin"/>
            </w:r>
            <w:r w:rsidR="00E33F37">
              <w:rPr>
                <w:webHidden/>
              </w:rPr>
              <w:instrText xml:space="preserve"> PAGEREF _Toc107389465 \h </w:instrText>
            </w:r>
            <w:r w:rsidR="00E33F37">
              <w:rPr>
                <w:webHidden/>
              </w:rPr>
            </w:r>
            <w:r w:rsidR="00E33F37">
              <w:rPr>
                <w:webHidden/>
              </w:rPr>
              <w:fldChar w:fldCharType="separate"/>
            </w:r>
            <w:r w:rsidR="00E33F37">
              <w:rPr>
                <w:webHidden/>
              </w:rPr>
              <w:t>62</w:t>
            </w:r>
            <w:r w:rsidR="00E33F37">
              <w:rPr>
                <w:webHidden/>
              </w:rPr>
              <w:fldChar w:fldCharType="end"/>
            </w:r>
          </w:hyperlink>
        </w:p>
        <w:p w14:paraId="0AD533FB" w14:textId="17B41F3E" w:rsidR="00E33F37" w:rsidRDefault="00846209">
          <w:pPr>
            <w:pStyle w:val="TOC3"/>
            <w:rPr>
              <w:rFonts w:asciiTheme="minorHAnsi" w:hAnsiTheme="minorHAnsi"/>
              <w:noProof/>
              <w:sz w:val="22"/>
              <w:lang w:val="en-GB" w:eastAsia="en-GB"/>
            </w:rPr>
          </w:pPr>
          <w:hyperlink w:anchor="_Toc107389466" w:history="1">
            <w:r w:rsidR="00E33F37" w:rsidRPr="0010085C">
              <w:rPr>
                <w:rStyle w:val="Hyperlink"/>
                <w:noProof/>
              </w:rPr>
              <w:t>UK Corporate Governance Code</w:t>
            </w:r>
            <w:r w:rsidR="00E33F37">
              <w:rPr>
                <w:noProof/>
                <w:webHidden/>
              </w:rPr>
              <w:tab/>
            </w:r>
            <w:r w:rsidR="00E33F37">
              <w:rPr>
                <w:noProof/>
                <w:webHidden/>
              </w:rPr>
              <w:fldChar w:fldCharType="begin"/>
            </w:r>
            <w:r w:rsidR="00E33F37">
              <w:rPr>
                <w:noProof/>
                <w:webHidden/>
              </w:rPr>
              <w:instrText xml:space="preserve"> PAGEREF _Toc107389466 \h </w:instrText>
            </w:r>
            <w:r w:rsidR="00E33F37">
              <w:rPr>
                <w:noProof/>
                <w:webHidden/>
              </w:rPr>
            </w:r>
            <w:r w:rsidR="00E33F37">
              <w:rPr>
                <w:noProof/>
                <w:webHidden/>
              </w:rPr>
              <w:fldChar w:fldCharType="separate"/>
            </w:r>
            <w:r w:rsidR="00E33F37">
              <w:rPr>
                <w:noProof/>
                <w:webHidden/>
              </w:rPr>
              <w:t>64</w:t>
            </w:r>
            <w:r w:rsidR="00E33F37">
              <w:rPr>
                <w:noProof/>
                <w:webHidden/>
              </w:rPr>
              <w:fldChar w:fldCharType="end"/>
            </w:r>
          </w:hyperlink>
        </w:p>
        <w:p w14:paraId="3037E2E6" w14:textId="35DF487D" w:rsidR="00E33F37" w:rsidRDefault="00846209">
          <w:pPr>
            <w:pStyle w:val="TOC3"/>
            <w:rPr>
              <w:rFonts w:asciiTheme="minorHAnsi" w:hAnsiTheme="minorHAnsi"/>
              <w:noProof/>
              <w:sz w:val="22"/>
              <w:lang w:val="en-GB" w:eastAsia="en-GB"/>
            </w:rPr>
          </w:pPr>
          <w:hyperlink w:anchor="_Toc107389467" w:history="1">
            <w:r w:rsidR="00E33F37" w:rsidRPr="0010085C">
              <w:rPr>
                <w:rStyle w:val="Hyperlink"/>
                <w:noProof/>
              </w:rPr>
              <w:t>Discharge of Statutory Functions</w:t>
            </w:r>
            <w:r w:rsidR="00E33F37">
              <w:rPr>
                <w:noProof/>
                <w:webHidden/>
              </w:rPr>
              <w:tab/>
            </w:r>
            <w:r w:rsidR="00E33F37">
              <w:rPr>
                <w:noProof/>
                <w:webHidden/>
              </w:rPr>
              <w:fldChar w:fldCharType="begin"/>
            </w:r>
            <w:r w:rsidR="00E33F37">
              <w:rPr>
                <w:noProof/>
                <w:webHidden/>
              </w:rPr>
              <w:instrText xml:space="preserve"> PAGEREF _Toc107389467 \h </w:instrText>
            </w:r>
            <w:r w:rsidR="00E33F37">
              <w:rPr>
                <w:noProof/>
                <w:webHidden/>
              </w:rPr>
            </w:r>
            <w:r w:rsidR="00E33F37">
              <w:rPr>
                <w:noProof/>
                <w:webHidden/>
              </w:rPr>
              <w:fldChar w:fldCharType="separate"/>
            </w:r>
            <w:r w:rsidR="00E33F37">
              <w:rPr>
                <w:noProof/>
                <w:webHidden/>
              </w:rPr>
              <w:t>64</w:t>
            </w:r>
            <w:r w:rsidR="00E33F37">
              <w:rPr>
                <w:noProof/>
                <w:webHidden/>
              </w:rPr>
              <w:fldChar w:fldCharType="end"/>
            </w:r>
          </w:hyperlink>
        </w:p>
        <w:p w14:paraId="6B086CAA" w14:textId="012D294B" w:rsidR="00E33F37" w:rsidRDefault="00846209">
          <w:pPr>
            <w:pStyle w:val="TOC3"/>
            <w:rPr>
              <w:rFonts w:asciiTheme="minorHAnsi" w:hAnsiTheme="minorHAnsi"/>
              <w:noProof/>
              <w:sz w:val="22"/>
              <w:lang w:val="en-GB" w:eastAsia="en-GB"/>
            </w:rPr>
          </w:pPr>
          <w:hyperlink w:anchor="_Toc107389468" w:history="1">
            <w:r w:rsidR="00E33F37" w:rsidRPr="0010085C">
              <w:rPr>
                <w:rStyle w:val="Hyperlink"/>
                <w:noProof/>
              </w:rPr>
              <w:t>Risk management arrangements and effectiveness</w:t>
            </w:r>
            <w:r w:rsidR="00E33F37">
              <w:rPr>
                <w:noProof/>
                <w:webHidden/>
              </w:rPr>
              <w:tab/>
            </w:r>
            <w:r w:rsidR="00E33F37">
              <w:rPr>
                <w:noProof/>
                <w:webHidden/>
              </w:rPr>
              <w:fldChar w:fldCharType="begin"/>
            </w:r>
            <w:r w:rsidR="00E33F37">
              <w:rPr>
                <w:noProof/>
                <w:webHidden/>
              </w:rPr>
              <w:instrText xml:space="preserve"> PAGEREF _Toc107389468 \h </w:instrText>
            </w:r>
            <w:r w:rsidR="00E33F37">
              <w:rPr>
                <w:noProof/>
                <w:webHidden/>
              </w:rPr>
            </w:r>
            <w:r w:rsidR="00E33F37">
              <w:rPr>
                <w:noProof/>
                <w:webHidden/>
              </w:rPr>
              <w:fldChar w:fldCharType="separate"/>
            </w:r>
            <w:r w:rsidR="00E33F37">
              <w:rPr>
                <w:noProof/>
                <w:webHidden/>
              </w:rPr>
              <w:t>64</w:t>
            </w:r>
            <w:r w:rsidR="00E33F37">
              <w:rPr>
                <w:noProof/>
                <w:webHidden/>
              </w:rPr>
              <w:fldChar w:fldCharType="end"/>
            </w:r>
          </w:hyperlink>
        </w:p>
        <w:p w14:paraId="3D3DB12A" w14:textId="5F3A12D7" w:rsidR="00E33F37" w:rsidRDefault="00846209">
          <w:pPr>
            <w:pStyle w:val="TOC3"/>
            <w:rPr>
              <w:rFonts w:asciiTheme="minorHAnsi" w:hAnsiTheme="minorHAnsi"/>
              <w:noProof/>
              <w:sz w:val="22"/>
              <w:lang w:val="en-GB" w:eastAsia="en-GB"/>
            </w:rPr>
          </w:pPr>
          <w:hyperlink w:anchor="_Toc107389469" w:history="1">
            <w:r w:rsidR="00E33F37" w:rsidRPr="0010085C">
              <w:rPr>
                <w:rStyle w:val="Hyperlink"/>
                <w:noProof/>
              </w:rPr>
              <w:t>Capacity to Handle Risk</w:t>
            </w:r>
            <w:r w:rsidR="00E33F37">
              <w:rPr>
                <w:noProof/>
                <w:webHidden/>
              </w:rPr>
              <w:tab/>
            </w:r>
            <w:r w:rsidR="00E33F37">
              <w:rPr>
                <w:noProof/>
                <w:webHidden/>
              </w:rPr>
              <w:fldChar w:fldCharType="begin"/>
            </w:r>
            <w:r w:rsidR="00E33F37">
              <w:rPr>
                <w:noProof/>
                <w:webHidden/>
              </w:rPr>
              <w:instrText xml:space="preserve"> PAGEREF _Toc107389469 \h </w:instrText>
            </w:r>
            <w:r w:rsidR="00E33F37">
              <w:rPr>
                <w:noProof/>
                <w:webHidden/>
              </w:rPr>
            </w:r>
            <w:r w:rsidR="00E33F37">
              <w:rPr>
                <w:noProof/>
                <w:webHidden/>
              </w:rPr>
              <w:fldChar w:fldCharType="separate"/>
            </w:r>
            <w:r w:rsidR="00E33F37">
              <w:rPr>
                <w:noProof/>
                <w:webHidden/>
              </w:rPr>
              <w:t>65</w:t>
            </w:r>
            <w:r w:rsidR="00E33F37">
              <w:rPr>
                <w:noProof/>
                <w:webHidden/>
              </w:rPr>
              <w:fldChar w:fldCharType="end"/>
            </w:r>
          </w:hyperlink>
        </w:p>
        <w:p w14:paraId="02C27865" w14:textId="62649015" w:rsidR="00E33F37" w:rsidRDefault="00846209">
          <w:pPr>
            <w:pStyle w:val="TOC3"/>
            <w:rPr>
              <w:rFonts w:asciiTheme="minorHAnsi" w:hAnsiTheme="minorHAnsi"/>
              <w:noProof/>
              <w:sz w:val="22"/>
              <w:lang w:val="en-GB" w:eastAsia="en-GB"/>
            </w:rPr>
          </w:pPr>
          <w:hyperlink w:anchor="_Toc107389470" w:history="1">
            <w:r w:rsidR="00E33F37" w:rsidRPr="0010085C">
              <w:rPr>
                <w:rStyle w:val="Hyperlink"/>
                <w:noProof/>
              </w:rPr>
              <w:t>Risk Assessment</w:t>
            </w:r>
            <w:r w:rsidR="00E33F37">
              <w:rPr>
                <w:noProof/>
                <w:webHidden/>
              </w:rPr>
              <w:tab/>
            </w:r>
            <w:r w:rsidR="00E33F37">
              <w:rPr>
                <w:noProof/>
                <w:webHidden/>
              </w:rPr>
              <w:fldChar w:fldCharType="begin"/>
            </w:r>
            <w:r w:rsidR="00E33F37">
              <w:rPr>
                <w:noProof/>
                <w:webHidden/>
              </w:rPr>
              <w:instrText xml:space="preserve"> PAGEREF _Toc107389470 \h </w:instrText>
            </w:r>
            <w:r w:rsidR="00E33F37">
              <w:rPr>
                <w:noProof/>
                <w:webHidden/>
              </w:rPr>
            </w:r>
            <w:r w:rsidR="00E33F37">
              <w:rPr>
                <w:noProof/>
                <w:webHidden/>
              </w:rPr>
              <w:fldChar w:fldCharType="separate"/>
            </w:r>
            <w:r w:rsidR="00E33F37">
              <w:rPr>
                <w:noProof/>
                <w:webHidden/>
              </w:rPr>
              <w:t>67</w:t>
            </w:r>
            <w:r w:rsidR="00E33F37">
              <w:rPr>
                <w:noProof/>
                <w:webHidden/>
              </w:rPr>
              <w:fldChar w:fldCharType="end"/>
            </w:r>
          </w:hyperlink>
        </w:p>
        <w:p w14:paraId="79916FE3" w14:textId="197DFE2C" w:rsidR="00E33F37" w:rsidRDefault="00846209">
          <w:pPr>
            <w:pStyle w:val="TOC3"/>
            <w:rPr>
              <w:rFonts w:asciiTheme="minorHAnsi" w:hAnsiTheme="minorHAnsi"/>
              <w:noProof/>
              <w:sz w:val="22"/>
              <w:lang w:val="en-GB" w:eastAsia="en-GB"/>
            </w:rPr>
          </w:pPr>
          <w:hyperlink w:anchor="_Toc107389471" w:history="1">
            <w:r w:rsidR="00E33F37" w:rsidRPr="0010085C">
              <w:rPr>
                <w:rStyle w:val="Hyperlink"/>
                <w:noProof/>
              </w:rPr>
              <w:t>Other sources of assurance</w:t>
            </w:r>
            <w:r w:rsidR="00E33F37">
              <w:rPr>
                <w:noProof/>
                <w:webHidden/>
              </w:rPr>
              <w:tab/>
            </w:r>
            <w:r w:rsidR="00E33F37">
              <w:rPr>
                <w:noProof/>
                <w:webHidden/>
              </w:rPr>
              <w:fldChar w:fldCharType="begin"/>
            </w:r>
            <w:r w:rsidR="00E33F37">
              <w:rPr>
                <w:noProof/>
                <w:webHidden/>
              </w:rPr>
              <w:instrText xml:space="preserve"> PAGEREF _Toc107389471 \h </w:instrText>
            </w:r>
            <w:r w:rsidR="00E33F37">
              <w:rPr>
                <w:noProof/>
                <w:webHidden/>
              </w:rPr>
            </w:r>
            <w:r w:rsidR="00E33F37">
              <w:rPr>
                <w:noProof/>
                <w:webHidden/>
              </w:rPr>
              <w:fldChar w:fldCharType="separate"/>
            </w:r>
            <w:r w:rsidR="00E33F37">
              <w:rPr>
                <w:noProof/>
                <w:webHidden/>
              </w:rPr>
              <w:t>67</w:t>
            </w:r>
            <w:r w:rsidR="00E33F37">
              <w:rPr>
                <w:noProof/>
                <w:webHidden/>
              </w:rPr>
              <w:fldChar w:fldCharType="end"/>
            </w:r>
          </w:hyperlink>
        </w:p>
        <w:p w14:paraId="5B7E5652" w14:textId="502B9F75" w:rsidR="00E33F37" w:rsidRDefault="00846209">
          <w:pPr>
            <w:pStyle w:val="TOC3"/>
            <w:rPr>
              <w:rFonts w:asciiTheme="minorHAnsi" w:hAnsiTheme="minorHAnsi"/>
              <w:noProof/>
              <w:sz w:val="22"/>
              <w:lang w:val="en-GB" w:eastAsia="en-GB"/>
            </w:rPr>
          </w:pPr>
          <w:hyperlink w:anchor="_Toc107389472" w:history="1">
            <w:r w:rsidR="00E33F37" w:rsidRPr="0010085C">
              <w:rPr>
                <w:rStyle w:val="Hyperlink"/>
                <w:noProof/>
              </w:rPr>
              <w:t>Internal Control Framework</w:t>
            </w:r>
            <w:r w:rsidR="00E33F37">
              <w:rPr>
                <w:noProof/>
                <w:webHidden/>
              </w:rPr>
              <w:tab/>
            </w:r>
            <w:r w:rsidR="00E33F37">
              <w:rPr>
                <w:noProof/>
                <w:webHidden/>
              </w:rPr>
              <w:fldChar w:fldCharType="begin"/>
            </w:r>
            <w:r w:rsidR="00E33F37">
              <w:rPr>
                <w:noProof/>
                <w:webHidden/>
              </w:rPr>
              <w:instrText xml:space="preserve"> PAGEREF _Toc107389472 \h </w:instrText>
            </w:r>
            <w:r w:rsidR="00E33F37">
              <w:rPr>
                <w:noProof/>
                <w:webHidden/>
              </w:rPr>
            </w:r>
            <w:r w:rsidR="00E33F37">
              <w:rPr>
                <w:noProof/>
                <w:webHidden/>
              </w:rPr>
              <w:fldChar w:fldCharType="separate"/>
            </w:r>
            <w:r w:rsidR="00E33F37">
              <w:rPr>
                <w:noProof/>
                <w:webHidden/>
              </w:rPr>
              <w:t>67</w:t>
            </w:r>
            <w:r w:rsidR="00E33F37">
              <w:rPr>
                <w:noProof/>
                <w:webHidden/>
              </w:rPr>
              <w:fldChar w:fldCharType="end"/>
            </w:r>
          </w:hyperlink>
        </w:p>
        <w:p w14:paraId="18C26620" w14:textId="78AC75D5" w:rsidR="00E33F37" w:rsidRDefault="00846209">
          <w:pPr>
            <w:pStyle w:val="TOC3"/>
            <w:rPr>
              <w:rFonts w:asciiTheme="minorHAnsi" w:hAnsiTheme="minorHAnsi"/>
              <w:noProof/>
              <w:sz w:val="22"/>
              <w:lang w:val="en-GB" w:eastAsia="en-GB"/>
            </w:rPr>
          </w:pPr>
          <w:hyperlink w:anchor="_Toc107389473" w:history="1">
            <w:r w:rsidR="00E33F37" w:rsidRPr="0010085C">
              <w:rPr>
                <w:rStyle w:val="Hyperlink"/>
                <w:noProof/>
              </w:rPr>
              <w:t>Annual audit of conflicts of interest management</w:t>
            </w:r>
            <w:r w:rsidR="00E33F37">
              <w:rPr>
                <w:noProof/>
                <w:webHidden/>
              </w:rPr>
              <w:tab/>
            </w:r>
            <w:r w:rsidR="00E33F37">
              <w:rPr>
                <w:noProof/>
                <w:webHidden/>
              </w:rPr>
              <w:fldChar w:fldCharType="begin"/>
            </w:r>
            <w:r w:rsidR="00E33F37">
              <w:rPr>
                <w:noProof/>
                <w:webHidden/>
              </w:rPr>
              <w:instrText xml:space="preserve"> PAGEREF _Toc107389473 \h </w:instrText>
            </w:r>
            <w:r w:rsidR="00E33F37">
              <w:rPr>
                <w:noProof/>
                <w:webHidden/>
              </w:rPr>
            </w:r>
            <w:r w:rsidR="00E33F37">
              <w:rPr>
                <w:noProof/>
                <w:webHidden/>
              </w:rPr>
              <w:fldChar w:fldCharType="separate"/>
            </w:r>
            <w:r w:rsidR="00E33F37">
              <w:rPr>
                <w:noProof/>
                <w:webHidden/>
              </w:rPr>
              <w:t>68</w:t>
            </w:r>
            <w:r w:rsidR="00E33F37">
              <w:rPr>
                <w:noProof/>
                <w:webHidden/>
              </w:rPr>
              <w:fldChar w:fldCharType="end"/>
            </w:r>
          </w:hyperlink>
        </w:p>
        <w:p w14:paraId="74D4A766" w14:textId="65DDF35E" w:rsidR="00E33F37" w:rsidRDefault="00846209">
          <w:pPr>
            <w:pStyle w:val="TOC3"/>
            <w:rPr>
              <w:rFonts w:asciiTheme="minorHAnsi" w:hAnsiTheme="minorHAnsi"/>
              <w:noProof/>
              <w:sz w:val="22"/>
              <w:lang w:val="en-GB" w:eastAsia="en-GB"/>
            </w:rPr>
          </w:pPr>
          <w:hyperlink w:anchor="_Toc107389474" w:history="1">
            <w:r w:rsidR="00E33F37" w:rsidRPr="0010085C">
              <w:rPr>
                <w:rStyle w:val="Hyperlink"/>
                <w:noProof/>
              </w:rPr>
              <w:t>Data Quality</w:t>
            </w:r>
            <w:r w:rsidR="00E33F37">
              <w:rPr>
                <w:noProof/>
                <w:webHidden/>
              </w:rPr>
              <w:tab/>
            </w:r>
            <w:r w:rsidR="00E33F37">
              <w:rPr>
                <w:noProof/>
                <w:webHidden/>
              </w:rPr>
              <w:fldChar w:fldCharType="begin"/>
            </w:r>
            <w:r w:rsidR="00E33F37">
              <w:rPr>
                <w:noProof/>
                <w:webHidden/>
              </w:rPr>
              <w:instrText xml:space="preserve"> PAGEREF _Toc107389474 \h </w:instrText>
            </w:r>
            <w:r w:rsidR="00E33F37">
              <w:rPr>
                <w:noProof/>
                <w:webHidden/>
              </w:rPr>
            </w:r>
            <w:r w:rsidR="00E33F37">
              <w:rPr>
                <w:noProof/>
                <w:webHidden/>
              </w:rPr>
              <w:fldChar w:fldCharType="separate"/>
            </w:r>
            <w:r w:rsidR="00E33F37">
              <w:rPr>
                <w:noProof/>
                <w:webHidden/>
              </w:rPr>
              <w:t>68</w:t>
            </w:r>
            <w:r w:rsidR="00E33F37">
              <w:rPr>
                <w:noProof/>
                <w:webHidden/>
              </w:rPr>
              <w:fldChar w:fldCharType="end"/>
            </w:r>
          </w:hyperlink>
        </w:p>
        <w:p w14:paraId="1D26E2BA" w14:textId="50449E04" w:rsidR="00E33F37" w:rsidRDefault="00846209">
          <w:pPr>
            <w:pStyle w:val="TOC3"/>
            <w:rPr>
              <w:rFonts w:asciiTheme="minorHAnsi" w:hAnsiTheme="minorHAnsi"/>
              <w:noProof/>
              <w:sz w:val="22"/>
              <w:lang w:val="en-GB" w:eastAsia="en-GB"/>
            </w:rPr>
          </w:pPr>
          <w:hyperlink w:anchor="_Toc107389475" w:history="1">
            <w:r w:rsidR="00E33F37" w:rsidRPr="0010085C">
              <w:rPr>
                <w:rStyle w:val="Hyperlink"/>
                <w:noProof/>
              </w:rPr>
              <w:t>Information Governance</w:t>
            </w:r>
            <w:r w:rsidR="00E33F37">
              <w:rPr>
                <w:noProof/>
                <w:webHidden/>
              </w:rPr>
              <w:tab/>
            </w:r>
            <w:r w:rsidR="00E33F37">
              <w:rPr>
                <w:noProof/>
                <w:webHidden/>
              </w:rPr>
              <w:fldChar w:fldCharType="begin"/>
            </w:r>
            <w:r w:rsidR="00E33F37">
              <w:rPr>
                <w:noProof/>
                <w:webHidden/>
              </w:rPr>
              <w:instrText xml:space="preserve"> PAGEREF _Toc107389475 \h </w:instrText>
            </w:r>
            <w:r w:rsidR="00E33F37">
              <w:rPr>
                <w:noProof/>
                <w:webHidden/>
              </w:rPr>
            </w:r>
            <w:r w:rsidR="00E33F37">
              <w:rPr>
                <w:noProof/>
                <w:webHidden/>
              </w:rPr>
              <w:fldChar w:fldCharType="separate"/>
            </w:r>
            <w:r w:rsidR="00E33F37">
              <w:rPr>
                <w:noProof/>
                <w:webHidden/>
              </w:rPr>
              <w:t>68</w:t>
            </w:r>
            <w:r w:rsidR="00E33F37">
              <w:rPr>
                <w:noProof/>
                <w:webHidden/>
              </w:rPr>
              <w:fldChar w:fldCharType="end"/>
            </w:r>
          </w:hyperlink>
        </w:p>
        <w:p w14:paraId="77D4B7FC" w14:textId="70B07086" w:rsidR="00E33F37" w:rsidRDefault="00846209">
          <w:pPr>
            <w:pStyle w:val="TOC3"/>
            <w:rPr>
              <w:rFonts w:asciiTheme="minorHAnsi" w:hAnsiTheme="minorHAnsi"/>
              <w:noProof/>
              <w:sz w:val="22"/>
              <w:lang w:val="en-GB" w:eastAsia="en-GB"/>
            </w:rPr>
          </w:pPr>
          <w:hyperlink w:anchor="_Toc107389476" w:history="1">
            <w:r w:rsidR="00E33F37" w:rsidRPr="0010085C">
              <w:rPr>
                <w:rStyle w:val="Hyperlink"/>
                <w:noProof/>
              </w:rPr>
              <w:t>Third party assurances</w:t>
            </w:r>
            <w:r w:rsidR="00E33F37">
              <w:rPr>
                <w:noProof/>
                <w:webHidden/>
              </w:rPr>
              <w:tab/>
            </w:r>
            <w:r w:rsidR="00E33F37">
              <w:rPr>
                <w:noProof/>
                <w:webHidden/>
              </w:rPr>
              <w:fldChar w:fldCharType="begin"/>
            </w:r>
            <w:r w:rsidR="00E33F37">
              <w:rPr>
                <w:noProof/>
                <w:webHidden/>
              </w:rPr>
              <w:instrText xml:space="preserve"> PAGEREF _Toc107389476 \h </w:instrText>
            </w:r>
            <w:r w:rsidR="00E33F37">
              <w:rPr>
                <w:noProof/>
                <w:webHidden/>
              </w:rPr>
            </w:r>
            <w:r w:rsidR="00E33F37">
              <w:rPr>
                <w:noProof/>
                <w:webHidden/>
              </w:rPr>
              <w:fldChar w:fldCharType="separate"/>
            </w:r>
            <w:r w:rsidR="00E33F37">
              <w:rPr>
                <w:noProof/>
                <w:webHidden/>
              </w:rPr>
              <w:t>69</w:t>
            </w:r>
            <w:r w:rsidR="00E33F37">
              <w:rPr>
                <w:noProof/>
                <w:webHidden/>
              </w:rPr>
              <w:fldChar w:fldCharType="end"/>
            </w:r>
          </w:hyperlink>
        </w:p>
        <w:p w14:paraId="36A32427" w14:textId="647C0EC6" w:rsidR="00E33F37" w:rsidRDefault="00846209">
          <w:pPr>
            <w:pStyle w:val="TOC3"/>
            <w:rPr>
              <w:rFonts w:asciiTheme="minorHAnsi" w:hAnsiTheme="minorHAnsi"/>
              <w:noProof/>
              <w:sz w:val="22"/>
              <w:lang w:val="en-GB" w:eastAsia="en-GB"/>
            </w:rPr>
          </w:pPr>
          <w:hyperlink w:anchor="_Toc107389477" w:history="1">
            <w:r w:rsidR="00E33F37" w:rsidRPr="0010085C">
              <w:rPr>
                <w:rStyle w:val="Hyperlink"/>
                <w:noProof/>
              </w:rPr>
              <w:t>Review of economy, efficiency &amp; effectiveness of the use of resources</w:t>
            </w:r>
            <w:r w:rsidR="00E33F37">
              <w:rPr>
                <w:noProof/>
                <w:webHidden/>
              </w:rPr>
              <w:tab/>
            </w:r>
            <w:r w:rsidR="00E33F37">
              <w:rPr>
                <w:noProof/>
                <w:webHidden/>
              </w:rPr>
              <w:fldChar w:fldCharType="begin"/>
            </w:r>
            <w:r w:rsidR="00E33F37">
              <w:rPr>
                <w:noProof/>
                <w:webHidden/>
              </w:rPr>
              <w:instrText xml:space="preserve"> PAGEREF _Toc107389477 \h </w:instrText>
            </w:r>
            <w:r w:rsidR="00E33F37">
              <w:rPr>
                <w:noProof/>
                <w:webHidden/>
              </w:rPr>
            </w:r>
            <w:r w:rsidR="00E33F37">
              <w:rPr>
                <w:noProof/>
                <w:webHidden/>
              </w:rPr>
              <w:fldChar w:fldCharType="separate"/>
            </w:r>
            <w:r w:rsidR="00E33F37">
              <w:rPr>
                <w:noProof/>
                <w:webHidden/>
              </w:rPr>
              <w:t>70</w:t>
            </w:r>
            <w:r w:rsidR="00E33F37">
              <w:rPr>
                <w:noProof/>
                <w:webHidden/>
              </w:rPr>
              <w:fldChar w:fldCharType="end"/>
            </w:r>
          </w:hyperlink>
        </w:p>
        <w:p w14:paraId="2BAEAB56" w14:textId="1AC04461" w:rsidR="00E33F37" w:rsidRDefault="00846209">
          <w:pPr>
            <w:pStyle w:val="TOC3"/>
            <w:rPr>
              <w:rFonts w:asciiTheme="minorHAnsi" w:hAnsiTheme="minorHAnsi"/>
              <w:noProof/>
              <w:sz w:val="22"/>
              <w:lang w:val="en-GB" w:eastAsia="en-GB"/>
            </w:rPr>
          </w:pPr>
          <w:hyperlink w:anchor="_Toc107389478" w:history="1">
            <w:r w:rsidR="00E33F37" w:rsidRPr="0010085C">
              <w:rPr>
                <w:rStyle w:val="Hyperlink"/>
                <w:noProof/>
                <w:lang w:eastAsia="en-GB"/>
              </w:rPr>
              <w:t>Delegation of functions</w:t>
            </w:r>
            <w:r w:rsidR="00E33F37">
              <w:rPr>
                <w:noProof/>
                <w:webHidden/>
              </w:rPr>
              <w:tab/>
            </w:r>
            <w:r w:rsidR="00E33F37">
              <w:rPr>
                <w:noProof/>
                <w:webHidden/>
              </w:rPr>
              <w:fldChar w:fldCharType="begin"/>
            </w:r>
            <w:r w:rsidR="00E33F37">
              <w:rPr>
                <w:noProof/>
                <w:webHidden/>
              </w:rPr>
              <w:instrText xml:space="preserve"> PAGEREF _Toc107389478 \h </w:instrText>
            </w:r>
            <w:r w:rsidR="00E33F37">
              <w:rPr>
                <w:noProof/>
                <w:webHidden/>
              </w:rPr>
            </w:r>
            <w:r w:rsidR="00E33F37">
              <w:rPr>
                <w:noProof/>
                <w:webHidden/>
              </w:rPr>
              <w:fldChar w:fldCharType="separate"/>
            </w:r>
            <w:r w:rsidR="00E33F37">
              <w:rPr>
                <w:noProof/>
                <w:webHidden/>
              </w:rPr>
              <w:t>71</w:t>
            </w:r>
            <w:r w:rsidR="00E33F37">
              <w:rPr>
                <w:noProof/>
                <w:webHidden/>
              </w:rPr>
              <w:fldChar w:fldCharType="end"/>
            </w:r>
          </w:hyperlink>
        </w:p>
        <w:p w14:paraId="66EFBA70" w14:textId="4E8AB725" w:rsidR="00E33F37" w:rsidRDefault="00846209">
          <w:pPr>
            <w:pStyle w:val="TOC3"/>
            <w:rPr>
              <w:rFonts w:asciiTheme="minorHAnsi" w:hAnsiTheme="minorHAnsi"/>
              <w:noProof/>
              <w:sz w:val="22"/>
              <w:lang w:val="en-GB" w:eastAsia="en-GB"/>
            </w:rPr>
          </w:pPr>
          <w:hyperlink w:anchor="_Toc107389479" w:history="1">
            <w:r w:rsidR="00E33F37" w:rsidRPr="0010085C">
              <w:rPr>
                <w:rStyle w:val="Hyperlink"/>
                <w:noProof/>
                <w:lang w:eastAsia="en-GB"/>
              </w:rPr>
              <w:t>Counter fraud arrangements</w:t>
            </w:r>
            <w:r w:rsidR="00E33F37">
              <w:rPr>
                <w:noProof/>
                <w:webHidden/>
              </w:rPr>
              <w:tab/>
            </w:r>
            <w:r w:rsidR="00E33F37">
              <w:rPr>
                <w:noProof/>
                <w:webHidden/>
              </w:rPr>
              <w:fldChar w:fldCharType="begin"/>
            </w:r>
            <w:r w:rsidR="00E33F37">
              <w:rPr>
                <w:noProof/>
                <w:webHidden/>
              </w:rPr>
              <w:instrText xml:space="preserve"> PAGEREF _Toc107389479 \h </w:instrText>
            </w:r>
            <w:r w:rsidR="00E33F37">
              <w:rPr>
                <w:noProof/>
                <w:webHidden/>
              </w:rPr>
            </w:r>
            <w:r w:rsidR="00E33F37">
              <w:rPr>
                <w:noProof/>
                <w:webHidden/>
              </w:rPr>
              <w:fldChar w:fldCharType="separate"/>
            </w:r>
            <w:r w:rsidR="00E33F37">
              <w:rPr>
                <w:noProof/>
                <w:webHidden/>
              </w:rPr>
              <w:t>71</w:t>
            </w:r>
            <w:r w:rsidR="00E33F37">
              <w:rPr>
                <w:noProof/>
                <w:webHidden/>
              </w:rPr>
              <w:fldChar w:fldCharType="end"/>
            </w:r>
          </w:hyperlink>
        </w:p>
        <w:p w14:paraId="15D03D5F" w14:textId="2ACB9737" w:rsidR="00E33F37" w:rsidRDefault="00846209">
          <w:pPr>
            <w:pStyle w:val="TOC3"/>
            <w:rPr>
              <w:rFonts w:asciiTheme="minorHAnsi" w:hAnsiTheme="minorHAnsi"/>
              <w:noProof/>
              <w:sz w:val="22"/>
              <w:lang w:val="en-GB" w:eastAsia="en-GB"/>
            </w:rPr>
          </w:pPr>
          <w:hyperlink w:anchor="_Toc107389480" w:history="1">
            <w:r w:rsidR="00E33F37" w:rsidRPr="0010085C">
              <w:rPr>
                <w:rStyle w:val="Hyperlink"/>
                <w:noProof/>
              </w:rPr>
              <w:t>Head of Internal Audit Opinion</w:t>
            </w:r>
            <w:r w:rsidR="00E33F37">
              <w:rPr>
                <w:noProof/>
                <w:webHidden/>
              </w:rPr>
              <w:tab/>
            </w:r>
            <w:r w:rsidR="00E33F37">
              <w:rPr>
                <w:noProof/>
                <w:webHidden/>
              </w:rPr>
              <w:fldChar w:fldCharType="begin"/>
            </w:r>
            <w:r w:rsidR="00E33F37">
              <w:rPr>
                <w:noProof/>
                <w:webHidden/>
              </w:rPr>
              <w:instrText xml:space="preserve"> PAGEREF _Toc107389480 \h </w:instrText>
            </w:r>
            <w:r w:rsidR="00E33F37">
              <w:rPr>
                <w:noProof/>
                <w:webHidden/>
              </w:rPr>
            </w:r>
            <w:r w:rsidR="00E33F37">
              <w:rPr>
                <w:noProof/>
                <w:webHidden/>
              </w:rPr>
              <w:fldChar w:fldCharType="separate"/>
            </w:r>
            <w:r w:rsidR="00E33F37">
              <w:rPr>
                <w:noProof/>
                <w:webHidden/>
              </w:rPr>
              <w:t>72</w:t>
            </w:r>
            <w:r w:rsidR="00E33F37">
              <w:rPr>
                <w:noProof/>
                <w:webHidden/>
              </w:rPr>
              <w:fldChar w:fldCharType="end"/>
            </w:r>
          </w:hyperlink>
        </w:p>
        <w:p w14:paraId="70CF2174" w14:textId="724C11DF" w:rsidR="00E33F37" w:rsidRDefault="00846209">
          <w:pPr>
            <w:pStyle w:val="TOC3"/>
            <w:rPr>
              <w:rFonts w:asciiTheme="minorHAnsi" w:hAnsiTheme="minorHAnsi"/>
              <w:noProof/>
              <w:sz w:val="22"/>
              <w:lang w:val="en-GB" w:eastAsia="en-GB"/>
            </w:rPr>
          </w:pPr>
          <w:hyperlink w:anchor="_Toc107389481" w:history="1">
            <w:r w:rsidR="00E33F37" w:rsidRPr="0010085C">
              <w:rPr>
                <w:rStyle w:val="Hyperlink"/>
                <w:noProof/>
              </w:rPr>
              <w:t>Review of the effectiveness of governance, risk management and internal control</w:t>
            </w:r>
            <w:r w:rsidR="00E33F37">
              <w:rPr>
                <w:noProof/>
                <w:webHidden/>
              </w:rPr>
              <w:tab/>
            </w:r>
            <w:r w:rsidR="00E33F37">
              <w:rPr>
                <w:noProof/>
                <w:webHidden/>
              </w:rPr>
              <w:fldChar w:fldCharType="begin"/>
            </w:r>
            <w:r w:rsidR="00E33F37">
              <w:rPr>
                <w:noProof/>
                <w:webHidden/>
              </w:rPr>
              <w:instrText xml:space="preserve"> PAGEREF _Toc107389481 \h </w:instrText>
            </w:r>
            <w:r w:rsidR="00E33F37">
              <w:rPr>
                <w:noProof/>
                <w:webHidden/>
              </w:rPr>
            </w:r>
            <w:r w:rsidR="00E33F37">
              <w:rPr>
                <w:noProof/>
                <w:webHidden/>
              </w:rPr>
              <w:fldChar w:fldCharType="separate"/>
            </w:r>
            <w:r w:rsidR="00E33F37">
              <w:rPr>
                <w:noProof/>
                <w:webHidden/>
              </w:rPr>
              <w:t>73</w:t>
            </w:r>
            <w:r w:rsidR="00E33F37">
              <w:rPr>
                <w:noProof/>
                <w:webHidden/>
              </w:rPr>
              <w:fldChar w:fldCharType="end"/>
            </w:r>
          </w:hyperlink>
        </w:p>
        <w:p w14:paraId="554344F8" w14:textId="54C98329" w:rsidR="00E33F37" w:rsidRDefault="00846209">
          <w:pPr>
            <w:pStyle w:val="TOC3"/>
            <w:rPr>
              <w:rFonts w:asciiTheme="minorHAnsi" w:hAnsiTheme="minorHAnsi"/>
              <w:noProof/>
              <w:sz w:val="22"/>
              <w:lang w:val="en-GB" w:eastAsia="en-GB"/>
            </w:rPr>
          </w:pPr>
          <w:hyperlink w:anchor="_Toc107389482" w:history="1">
            <w:r w:rsidR="00E33F37" w:rsidRPr="0010085C">
              <w:rPr>
                <w:rStyle w:val="Hyperlink"/>
                <w:noProof/>
              </w:rPr>
              <w:t>Conclusion</w:t>
            </w:r>
            <w:r w:rsidR="00E33F37">
              <w:rPr>
                <w:noProof/>
                <w:webHidden/>
              </w:rPr>
              <w:tab/>
            </w:r>
            <w:r w:rsidR="00E33F37">
              <w:rPr>
                <w:noProof/>
                <w:webHidden/>
              </w:rPr>
              <w:fldChar w:fldCharType="begin"/>
            </w:r>
            <w:r w:rsidR="00E33F37">
              <w:rPr>
                <w:noProof/>
                <w:webHidden/>
              </w:rPr>
              <w:instrText xml:space="preserve"> PAGEREF _Toc107389482 \h </w:instrText>
            </w:r>
            <w:r w:rsidR="00E33F37">
              <w:rPr>
                <w:noProof/>
                <w:webHidden/>
              </w:rPr>
            </w:r>
            <w:r w:rsidR="00E33F37">
              <w:rPr>
                <w:noProof/>
                <w:webHidden/>
              </w:rPr>
              <w:fldChar w:fldCharType="separate"/>
            </w:r>
            <w:r w:rsidR="00E33F37">
              <w:rPr>
                <w:noProof/>
                <w:webHidden/>
              </w:rPr>
              <w:t>74</w:t>
            </w:r>
            <w:r w:rsidR="00E33F37">
              <w:rPr>
                <w:noProof/>
                <w:webHidden/>
              </w:rPr>
              <w:fldChar w:fldCharType="end"/>
            </w:r>
          </w:hyperlink>
        </w:p>
        <w:p w14:paraId="10B9B23E" w14:textId="33194ED5" w:rsidR="00E33F37" w:rsidRDefault="00846209">
          <w:pPr>
            <w:pStyle w:val="TOC1"/>
            <w:rPr>
              <w:rFonts w:asciiTheme="minorHAnsi" w:eastAsiaTheme="minorEastAsia" w:hAnsiTheme="minorHAnsi" w:cstheme="minorBidi"/>
              <w:b w:val="0"/>
              <w:sz w:val="22"/>
              <w:szCs w:val="22"/>
              <w:lang w:eastAsia="en-GB"/>
            </w:rPr>
          </w:pPr>
          <w:hyperlink w:anchor="_Toc107389483" w:history="1">
            <w:r w:rsidR="00E33F37" w:rsidRPr="0010085C">
              <w:rPr>
                <w:rStyle w:val="Hyperlink"/>
              </w:rPr>
              <w:t>Remuneration and Staff Report</w:t>
            </w:r>
            <w:r w:rsidR="00E33F37">
              <w:rPr>
                <w:webHidden/>
              </w:rPr>
              <w:tab/>
            </w:r>
            <w:r w:rsidR="00E33F37">
              <w:rPr>
                <w:webHidden/>
              </w:rPr>
              <w:fldChar w:fldCharType="begin"/>
            </w:r>
            <w:r w:rsidR="00E33F37">
              <w:rPr>
                <w:webHidden/>
              </w:rPr>
              <w:instrText xml:space="preserve"> PAGEREF _Toc107389483 \h </w:instrText>
            </w:r>
            <w:r w:rsidR="00E33F37">
              <w:rPr>
                <w:webHidden/>
              </w:rPr>
            </w:r>
            <w:r w:rsidR="00E33F37">
              <w:rPr>
                <w:webHidden/>
              </w:rPr>
              <w:fldChar w:fldCharType="separate"/>
            </w:r>
            <w:r w:rsidR="00E33F37">
              <w:rPr>
                <w:webHidden/>
              </w:rPr>
              <w:t>75</w:t>
            </w:r>
            <w:r w:rsidR="00E33F37">
              <w:rPr>
                <w:webHidden/>
              </w:rPr>
              <w:fldChar w:fldCharType="end"/>
            </w:r>
          </w:hyperlink>
        </w:p>
        <w:p w14:paraId="3EF7A753" w14:textId="71707DC9" w:rsidR="00E33F37" w:rsidRDefault="00846209">
          <w:pPr>
            <w:pStyle w:val="TOC1"/>
            <w:rPr>
              <w:rFonts w:asciiTheme="minorHAnsi" w:eastAsiaTheme="minorEastAsia" w:hAnsiTheme="minorHAnsi" w:cstheme="minorBidi"/>
              <w:b w:val="0"/>
              <w:sz w:val="22"/>
              <w:szCs w:val="22"/>
              <w:lang w:eastAsia="en-GB"/>
            </w:rPr>
          </w:pPr>
          <w:hyperlink w:anchor="_Toc107389484" w:history="1">
            <w:r w:rsidR="00E33F37" w:rsidRPr="0010085C">
              <w:rPr>
                <w:rStyle w:val="Hyperlink"/>
              </w:rPr>
              <w:t>Remuneration Report</w:t>
            </w:r>
            <w:r w:rsidR="00E33F37">
              <w:rPr>
                <w:webHidden/>
              </w:rPr>
              <w:tab/>
            </w:r>
            <w:r w:rsidR="00E33F37">
              <w:rPr>
                <w:webHidden/>
              </w:rPr>
              <w:fldChar w:fldCharType="begin"/>
            </w:r>
            <w:r w:rsidR="00E33F37">
              <w:rPr>
                <w:webHidden/>
              </w:rPr>
              <w:instrText xml:space="preserve"> PAGEREF _Toc107389484 \h </w:instrText>
            </w:r>
            <w:r w:rsidR="00E33F37">
              <w:rPr>
                <w:webHidden/>
              </w:rPr>
            </w:r>
            <w:r w:rsidR="00E33F37">
              <w:rPr>
                <w:webHidden/>
              </w:rPr>
              <w:fldChar w:fldCharType="separate"/>
            </w:r>
            <w:r w:rsidR="00E33F37">
              <w:rPr>
                <w:webHidden/>
              </w:rPr>
              <w:t>75</w:t>
            </w:r>
            <w:r w:rsidR="00E33F37">
              <w:rPr>
                <w:webHidden/>
              </w:rPr>
              <w:fldChar w:fldCharType="end"/>
            </w:r>
          </w:hyperlink>
        </w:p>
        <w:p w14:paraId="3DDAFAD6" w14:textId="7C6DA337" w:rsidR="00E33F37" w:rsidRDefault="00846209">
          <w:pPr>
            <w:pStyle w:val="TOC3"/>
            <w:rPr>
              <w:rFonts w:asciiTheme="minorHAnsi" w:hAnsiTheme="minorHAnsi"/>
              <w:noProof/>
              <w:sz w:val="22"/>
              <w:lang w:val="en-GB" w:eastAsia="en-GB"/>
            </w:rPr>
          </w:pPr>
          <w:hyperlink w:anchor="_Toc107389485" w:history="1">
            <w:r w:rsidR="00E33F37" w:rsidRPr="0010085C">
              <w:rPr>
                <w:rStyle w:val="Hyperlink"/>
                <w:noProof/>
              </w:rPr>
              <w:t>Remuneration Committee</w:t>
            </w:r>
            <w:r w:rsidR="00E33F37">
              <w:rPr>
                <w:noProof/>
                <w:webHidden/>
              </w:rPr>
              <w:tab/>
            </w:r>
            <w:r w:rsidR="00E33F37">
              <w:rPr>
                <w:noProof/>
                <w:webHidden/>
              </w:rPr>
              <w:fldChar w:fldCharType="begin"/>
            </w:r>
            <w:r w:rsidR="00E33F37">
              <w:rPr>
                <w:noProof/>
                <w:webHidden/>
              </w:rPr>
              <w:instrText xml:space="preserve"> PAGEREF _Toc107389485 \h </w:instrText>
            </w:r>
            <w:r w:rsidR="00E33F37">
              <w:rPr>
                <w:noProof/>
                <w:webHidden/>
              </w:rPr>
            </w:r>
            <w:r w:rsidR="00E33F37">
              <w:rPr>
                <w:noProof/>
                <w:webHidden/>
              </w:rPr>
              <w:fldChar w:fldCharType="separate"/>
            </w:r>
            <w:r w:rsidR="00E33F37">
              <w:rPr>
                <w:noProof/>
                <w:webHidden/>
              </w:rPr>
              <w:t>75</w:t>
            </w:r>
            <w:r w:rsidR="00E33F37">
              <w:rPr>
                <w:noProof/>
                <w:webHidden/>
              </w:rPr>
              <w:fldChar w:fldCharType="end"/>
            </w:r>
          </w:hyperlink>
        </w:p>
        <w:p w14:paraId="14D5BBDC" w14:textId="78DB7BA4" w:rsidR="00E33F37" w:rsidRDefault="00846209">
          <w:pPr>
            <w:pStyle w:val="TOC3"/>
            <w:rPr>
              <w:rFonts w:asciiTheme="minorHAnsi" w:hAnsiTheme="minorHAnsi"/>
              <w:noProof/>
              <w:sz w:val="22"/>
              <w:lang w:val="en-GB" w:eastAsia="en-GB"/>
            </w:rPr>
          </w:pPr>
          <w:hyperlink w:anchor="_Toc107389486" w:history="1">
            <w:r w:rsidR="00E33F37" w:rsidRPr="0010085C">
              <w:rPr>
                <w:rStyle w:val="Hyperlink"/>
                <w:noProof/>
              </w:rPr>
              <w:t>Policy on the remuneration of senior managers</w:t>
            </w:r>
            <w:r w:rsidR="00E33F37">
              <w:rPr>
                <w:noProof/>
                <w:webHidden/>
              </w:rPr>
              <w:tab/>
            </w:r>
            <w:r w:rsidR="00E33F37">
              <w:rPr>
                <w:noProof/>
                <w:webHidden/>
              </w:rPr>
              <w:fldChar w:fldCharType="begin"/>
            </w:r>
            <w:r w:rsidR="00E33F37">
              <w:rPr>
                <w:noProof/>
                <w:webHidden/>
              </w:rPr>
              <w:instrText xml:space="preserve"> PAGEREF _Toc107389486 \h </w:instrText>
            </w:r>
            <w:r w:rsidR="00E33F37">
              <w:rPr>
                <w:noProof/>
                <w:webHidden/>
              </w:rPr>
            </w:r>
            <w:r w:rsidR="00E33F37">
              <w:rPr>
                <w:noProof/>
                <w:webHidden/>
              </w:rPr>
              <w:fldChar w:fldCharType="separate"/>
            </w:r>
            <w:r w:rsidR="00E33F37">
              <w:rPr>
                <w:noProof/>
                <w:webHidden/>
              </w:rPr>
              <w:t>75</w:t>
            </w:r>
            <w:r w:rsidR="00E33F37">
              <w:rPr>
                <w:noProof/>
                <w:webHidden/>
              </w:rPr>
              <w:fldChar w:fldCharType="end"/>
            </w:r>
          </w:hyperlink>
        </w:p>
        <w:p w14:paraId="6694B1C6" w14:textId="4CAE16A4" w:rsidR="00E33F37" w:rsidRDefault="00846209">
          <w:pPr>
            <w:pStyle w:val="TOC3"/>
            <w:rPr>
              <w:rFonts w:asciiTheme="minorHAnsi" w:hAnsiTheme="minorHAnsi"/>
              <w:noProof/>
              <w:sz w:val="22"/>
              <w:lang w:val="en-GB" w:eastAsia="en-GB"/>
            </w:rPr>
          </w:pPr>
          <w:hyperlink w:anchor="_Toc107389487" w:history="1">
            <w:r w:rsidR="00E33F37" w:rsidRPr="0010085C">
              <w:rPr>
                <w:rStyle w:val="Hyperlink"/>
                <w:noProof/>
              </w:rPr>
              <w:t>Senior managers’ performance-related pay</w:t>
            </w:r>
            <w:r w:rsidR="00E33F37">
              <w:rPr>
                <w:noProof/>
                <w:webHidden/>
              </w:rPr>
              <w:tab/>
            </w:r>
            <w:r w:rsidR="00E33F37">
              <w:rPr>
                <w:noProof/>
                <w:webHidden/>
              </w:rPr>
              <w:fldChar w:fldCharType="begin"/>
            </w:r>
            <w:r w:rsidR="00E33F37">
              <w:rPr>
                <w:noProof/>
                <w:webHidden/>
              </w:rPr>
              <w:instrText xml:space="preserve"> PAGEREF _Toc107389487 \h </w:instrText>
            </w:r>
            <w:r w:rsidR="00E33F37">
              <w:rPr>
                <w:noProof/>
                <w:webHidden/>
              </w:rPr>
            </w:r>
            <w:r w:rsidR="00E33F37">
              <w:rPr>
                <w:noProof/>
                <w:webHidden/>
              </w:rPr>
              <w:fldChar w:fldCharType="separate"/>
            </w:r>
            <w:r w:rsidR="00E33F37">
              <w:rPr>
                <w:noProof/>
                <w:webHidden/>
              </w:rPr>
              <w:t>75</w:t>
            </w:r>
            <w:r w:rsidR="00E33F37">
              <w:rPr>
                <w:noProof/>
                <w:webHidden/>
              </w:rPr>
              <w:fldChar w:fldCharType="end"/>
            </w:r>
          </w:hyperlink>
        </w:p>
        <w:p w14:paraId="7174E460" w14:textId="0D1B0E0F" w:rsidR="00E33F37" w:rsidRDefault="00846209">
          <w:pPr>
            <w:pStyle w:val="TOC3"/>
            <w:rPr>
              <w:rFonts w:asciiTheme="minorHAnsi" w:hAnsiTheme="minorHAnsi"/>
              <w:noProof/>
              <w:sz w:val="22"/>
              <w:lang w:val="en-GB" w:eastAsia="en-GB"/>
            </w:rPr>
          </w:pPr>
          <w:hyperlink w:anchor="_Toc107389488" w:history="1">
            <w:r w:rsidR="00E33F37" w:rsidRPr="0010085C">
              <w:rPr>
                <w:rStyle w:val="Hyperlink"/>
                <w:noProof/>
              </w:rPr>
              <w:t>Policy on the duration of contracts, notice periods and termination payments</w:t>
            </w:r>
            <w:r w:rsidR="00E33F37">
              <w:rPr>
                <w:noProof/>
                <w:webHidden/>
              </w:rPr>
              <w:tab/>
            </w:r>
            <w:r w:rsidR="00E33F37">
              <w:rPr>
                <w:noProof/>
                <w:webHidden/>
              </w:rPr>
              <w:fldChar w:fldCharType="begin"/>
            </w:r>
            <w:r w:rsidR="00E33F37">
              <w:rPr>
                <w:noProof/>
                <w:webHidden/>
              </w:rPr>
              <w:instrText xml:space="preserve"> PAGEREF _Toc107389488 \h </w:instrText>
            </w:r>
            <w:r w:rsidR="00E33F37">
              <w:rPr>
                <w:noProof/>
                <w:webHidden/>
              </w:rPr>
            </w:r>
            <w:r w:rsidR="00E33F37">
              <w:rPr>
                <w:noProof/>
                <w:webHidden/>
              </w:rPr>
              <w:fldChar w:fldCharType="separate"/>
            </w:r>
            <w:r w:rsidR="00E33F37">
              <w:rPr>
                <w:noProof/>
                <w:webHidden/>
              </w:rPr>
              <w:t>76</w:t>
            </w:r>
            <w:r w:rsidR="00E33F37">
              <w:rPr>
                <w:noProof/>
                <w:webHidden/>
              </w:rPr>
              <w:fldChar w:fldCharType="end"/>
            </w:r>
          </w:hyperlink>
        </w:p>
        <w:p w14:paraId="2C6A22D9" w14:textId="017E4FED" w:rsidR="00E33F37" w:rsidRDefault="00846209">
          <w:pPr>
            <w:pStyle w:val="TOC3"/>
            <w:rPr>
              <w:rFonts w:asciiTheme="minorHAnsi" w:hAnsiTheme="minorHAnsi"/>
              <w:noProof/>
              <w:sz w:val="22"/>
              <w:lang w:val="en-GB" w:eastAsia="en-GB"/>
            </w:rPr>
          </w:pPr>
          <w:hyperlink w:anchor="_Toc107389489" w:history="1">
            <w:r w:rsidR="00E33F37" w:rsidRPr="0010085C">
              <w:rPr>
                <w:rStyle w:val="Hyperlink"/>
                <w:noProof/>
              </w:rPr>
              <w:t>Salary and pension entitlements</w:t>
            </w:r>
            <w:r w:rsidR="00E33F37">
              <w:rPr>
                <w:noProof/>
                <w:webHidden/>
              </w:rPr>
              <w:tab/>
            </w:r>
            <w:r w:rsidR="00E33F37">
              <w:rPr>
                <w:noProof/>
                <w:webHidden/>
              </w:rPr>
              <w:fldChar w:fldCharType="begin"/>
            </w:r>
            <w:r w:rsidR="00E33F37">
              <w:rPr>
                <w:noProof/>
                <w:webHidden/>
              </w:rPr>
              <w:instrText xml:space="preserve"> PAGEREF _Toc107389489 \h </w:instrText>
            </w:r>
            <w:r w:rsidR="00E33F37">
              <w:rPr>
                <w:noProof/>
                <w:webHidden/>
              </w:rPr>
            </w:r>
            <w:r w:rsidR="00E33F37">
              <w:rPr>
                <w:noProof/>
                <w:webHidden/>
              </w:rPr>
              <w:fldChar w:fldCharType="separate"/>
            </w:r>
            <w:r w:rsidR="00E33F37">
              <w:rPr>
                <w:noProof/>
                <w:webHidden/>
              </w:rPr>
              <w:t>76</w:t>
            </w:r>
            <w:r w:rsidR="00E33F37">
              <w:rPr>
                <w:noProof/>
                <w:webHidden/>
              </w:rPr>
              <w:fldChar w:fldCharType="end"/>
            </w:r>
          </w:hyperlink>
        </w:p>
        <w:p w14:paraId="7EC7AEED" w14:textId="0837F930" w:rsidR="00E33F37" w:rsidRDefault="00846209">
          <w:pPr>
            <w:pStyle w:val="TOC3"/>
            <w:rPr>
              <w:rFonts w:asciiTheme="minorHAnsi" w:hAnsiTheme="minorHAnsi"/>
              <w:noProof/>
              <w:sz w:val="22"/>
              <w:lang w:val="en-GB" w:eastAsia="en-GB"/>
            </w:rPr>
          </w:pPr>
          <w:hyperlink w:anchor="_Toc107389490" w:history="1">
            <w:r w:rsidR="00E33F37" w:rsidRPr="0010085C">
              <w:rPr>
                <w:rStyle w:val="Hyperlink"/>
                <w:noProof/>
              </w:rPr>
              <w:t>Compensation on early retirement or for loss of office</w:t>
            </w:r>
            <w:r w:rsidR="00E33F37">
              <w:rPr>
                <w:noProof/>
                <w:webHidden/>
              </w:rPr>
              <w:tab/>
            </w:r>
            <w:r w:rsidR="00E33F37">
              <w:rPr>
                <w:noProof/>
                <w:webHidden/>
              </w:rPr>
              <w:fldChar w:fldCharType="begin"/>
            </w:r>
            <w:r w:rsidR="00E33F37">
              <w:rPr>
                <w:noProof/>
                <w:webHidden/>
              </w:rPr>
              <w:instrText xml:space="preserve"> PAGEREF _Toc107389490 \h </w:instrText>
            </w:r>
            <w:r w:rsidR="00E33F37">
              <w:rPr>
                <w:noProof/>
                <w:webHidden/>
              </w:rPr>
            </w:r>
            <w:r w:rsidR="00E33F37">
              <w:rPr>
                <w:noProof/>
                <w:webHidden/>
              </w:rPr>
              <w:fldChar w:fldCharType="separate"/>
            </w:r>
            <w:r w:rsidR="00E33F37">
              <w:rPr>
                <w:noProof/>
                <w:webHidden/>
              </w:rPr>
              <w:t>85</w:t>
            </w:r>
            <w:r w:rsidR="00E33F37">
              <w:rPr>
                <w:noProof/>
                <w:webHidden/>
              </w:rPr>
              <w:fldChar w:fldCharType="end"/>
            </w:r>
          </w:hyperlink>
        </w:p>
        <w:p w14:paraId="4D8EC0F8" w14:textId="35391553" w:rsidR="00E33F37" w:rsidRDefault="00846209">
          <w:pPr>
            <w:pStyle w:val="TOC3"/>
            <w:rPr>
              <w:rFonts w:asciiTheme="minorHAnsi" w:hAnsiTheme="minorHAnsi"/>
              <w:noProof/>
              <w:sz w:val="22"/>
              <w:lang w:val="en-GB" w:eastAsia="en-GB"/>
            </w:rPr>
          </w:pPr>
          <w:hyperlink w:anchor="_Toc107389491" w:history="1">
            <w:r w:rsidR="00E33F37" w:rsidRPr="0010085C">
              <w:rPr>
                <w:rStyle w:val="Hyperlink"/>
                <w:noProof/>
              </w:rPr>
              <w:t>Payments to past directors</w:t>
            </w:r>
            <w:r w:rsidR="00E33F37">
              <w:rPr>
                <w:noProof/>
                <w:webHidden/>
              </w:rPr>
              <w:tab/>
            </w:r>
            <w:r w:rsidR="00E33F37">
              <w:rPr>
                <w:noProof/>
                <w:webHidden/>
              </w:rPr>
              <w:fldChar w:fldCharType="begin"/>
            </w:r>
            <w:r w:rsidR="00E33F37">
              <w:rPr>
                <w:noProof/>
                <w:webHidden/>
              </w:rPr>
              <w:instrText xml:space="preserve"> PAGEREF _Toc107389491 \h </w:instrText>
            </w:r>
            <w:r w:rsidR="00E33F37">
              <w:rPr>
                <w:noProof/>
                <w:webHidden/>
              </w:rPr>
            </w:r>
            <w:r w:rsidR="00E33F37">
              <w:rPr>
                <w:noProof/>
                <w:webHidden/>
              </w:rPr>
              <w:fldChar w:fldCharType="separate"/>
            </w:r>
            <w:r w:rsidR="00E33F37">
              <w:rPr>
                <w:noProof/>
                <w:webHidden/>
              </w:rPr>
              <w:t>85</w:t>
            </w:r>
            <w:r w:rsidR="00E33F37">
              <w:rPr>
                <w:noProof/>
                <w:webHidden/>
              </w:rPr>
              <w:fldChar w:fldCharType="end"/>
            </w:r>
          </w:hyperlink>
        </w:p>
        <w:p w14:paraId="788DC222" w14:textId="6581AB53" w:rsidR="00E33F37" w:rsidRDefault="00846209">
          <w:pPr>
            <w:pStyle w:val="TOC3"/>
            <w:rPr>
              <w:rFonts w:asciiTheme="minorHAnsi" w:hAnsiTheme="minorHAnsi"/>
              <w:noProof/>
              <w:sz w:val="22"/>
              <w:lang w:val="en-GB" w:eastAsia="en-GB"/>
            </w:rPr>
          </w:pPr>
          <w:hyperlink w:anchor="_Toc107389492" w:history="1">
            <w:r w:rsidR="00E33F37" w:rsidRPr="0010085C">
              <w:rPr>
                <w:rStyle w:val="Hyperlink"/>
                <w:noProof/>
              </w:rPr>
              <w:t>Staff Report</w:t>
            </w:r>
            <w:r w:rsidR="00E33F37">
              <w:rPr>
                <w:noProof/>
                <w:webHidden/>
              </w:rPr>
              <w:tab/>
            </w:r>
            <w:r w:rsidR="00E33F37">
              <w:rPr>
                <w:noProof/>
                <w:webHidden/>
              </w:rPr>
              <w:fldChar w:fldCharType="begin"/>
            </w:r>
            <w:r w:rsidR="00E33F37">
              <w:rPr>
                <w:noProof/>
                <w:webHidden/>
              </w:rPr>
              <w:instrText xml:space="preserve"> PAGEREF _Toc107389492 \h </w:instrText>
            </w:r>
            <w:r w:rsidR="00E33F37">
              <w:rPr>
                <w:noProof/>
                <w:webHidden/>
              </w:rPr>
            </w:r>
            <w:r w:rsidR="00E33F37">
              <w:rPr>
                <w:noProof/>
                <w:webHidden/>
              </w:rPr>
              <w:fldChar w:fldCharType="separate"/>
            </w:r>
            <w:r w:rsidR="00E33F37">
              <w:rPr>
                <w:noProof/>
                <w:webHidden/>
              </w:rPr>
              <w:t>87</w:t>
            </w:r>
            <w:r w:rsidR="00E33F37">
              <w:rPr>
                <w:noProof/>
                <w:webHidden/>
              </w:rPr>
              <w:fldChar w:fldCharType="end"/>
            </w:r>
          </w:hyperlink>
        </w:p>
        <w:p w14:paraId="715D7C99" w14:textId="5B7149BF" w:rsidR="00E33F37" w:rsidRDefault="00846209">
          <w:pPr>
            <w:pStyle w:val="TOC3"/>
            <w:rPr>
              <w:rFonts w:asciiTheme="minorHAnsi" w:hAnsiTheme="minorHAnsi"/>
              <w:noProof/>
              <w:sz w:val="22"/>
              <w:lang w:val="en-GB" w:eastAsia="en-GB"/>
            </w:rPr>
          </w:pPr>
          <w:hyperlink w:anchor="_Toc107389493" w:history="1">
            <w:r w:rsidR="00E33F37" w:rsidRPr="0010085C">
              <w:rPr>
                <w:rStyle w:val="Hyperlink"/>
                <w:noProof/>
              </w:rPr>
              <w:t>Staff composition</w:t>
            </w:r>
            <w:r w:rsidR="00E33F37">
              <w:rPr>
                <w:noProof/>
                <w:webHidden/>
              </w:rPr>
              <w:tab/>
            </w:r>
            <w:r w:rsidR="00E33F37">
              <w:rPr>
                <w:noProof/>
                <w:webHidden/>
              </w:rPr>
              <w:fldChar w:fldCharType="begin"/>
            </w:r>
            <w:r w:rsidR="00E33F37">
              <w:rPr>
                <w:noProof/>
                <w:webHidden/>
              </w:rPr>
              <w:instrText xml:space="preserve"> PAGEREF _Toc107389493 \h </w:instrText>
            </w:r>
            <w:r w:rsidR="00E33F37">
              <w:rPr>
                <w:noProof/>
                <w:webHidden/>
              </w:rPr>
            </w:r>
            <w:r w:rsidR="00E33F37">
              <w:rPr>
                <w:noProof/>
                <w:webHidden/>
              </w:rPr>
              <w:fldChar w:fldCharType="separate"/>
            </w:r>
            <w:r w:rsidR="00E33F37">
              <w:rPr>
                <w:noProof/>
                <w:webHidden/>
              </w:rPr>
              <w:t>87</w:t>
            </w:r>
            <w:r w:rsidR="00E33F37">
              <w:rPr>
                <w:noProof/>
                <w:webHidden/>
              </w:rPr>
              <w:fldChar w:fldCharType="end"/>
            </w:r>
          </w:hyperlink>
        </w:p>
        <w:p w14:paraId="2A81E94D" w14:textId="07B2F23A" w:rsidR="00E33F37" w:rsidRDefault="00846209">
          <w:pPr>
            <w:pStyle w:val="TOC3"/>
            <w:rPr>
              <w:rFonts w:asciiTheme="minorHAnsi" w:hAnsiTheme="minorHAnsi"/>
              <w:noProof/>
              <w:sz w:val="22"/>
              <w:lang w:val="en-GB" w:eastAsia="en-GB"/>
            </w:rPr>
          </w:pPr>
          <w:hyperlink w:anchor="_Toc107389494" w:history="1">
            <w:r w:rsidR="00E33F37" w:rsidRPr="0010085C">
              <w:rPr>
                <w:rStyle w:val="Hyperlink"/>
                <w:noProof/>
              </w:rPr>
              <w:t>Sickness absence data</w:t>
            </w:r>
            <w:r w:rsidR="00E33F37">
              <w:rPr>
                <w:noProof/>
                <w:webHidden/>
              </w:rPr>
              <w:tab/>
            </w:r>
            <w:r w:rsidR="00E33F37">
              <w:rPr>
                <w:noProof/>
                <w:webHidden/>
              </w:rPr>
              <w:fldChar w:fldCharType="begin"/>
            </w:r>
            <w:r w:rsidR="00E33F37">
              <w:rPr>
                <w:noProof/>
                <w:webHidden/>
              </w:rPr>
              <w:instrText xml:space="preserve"> PAGEREF _Toc107389494 \h </w:instrText>
            </w:r>
            <w:r w:rsidR="00E33F37">
              <w:rPr>
                <w:noProof/>
                <w:webHidden/>
              </w:rPr>
            </w:r>
            <w:r w:rsidR="00E33F37">
              <w:rPr>
                <w:noProof/>
                <w:webHidden/>
              </w:rPr>
              <w:fldChar w:fldCharType="separate"/>
            </w:r>
            <w:r w:rsidR="00E33F37">
              <w:rPr>
                <w:noProof/>
                <w:webHidden/>
              </w:rPr>
              <w:t>87</w:t>
            </w:r>
            <w:r w:rsidR="00E33F37">
              <w:rPr>
                <w:noProof/>
                <w:webHidden/>
              </w:rPr>
              <w:fldChar w:fldCharType="end"/>
            </w:r>
          </w:hyperlink>
        </w:p>
        <w:p w14:paraId="54E00238" w14:textId="0162216A" w:rsidR="00E33F37" w:rsidRDefault="00846209">
          <w:pPr>
            <w:pStyle w:val="TOC3"/>
            <w:rPr>
              <w:rFonts w:asciiTheme="minorHAnsi" w:hAnsiTheme="minorHAnsi"/>
              <w:noProof/>
              <w:sz w:val="22"/>
              <w:lang w:val="en-GB" w:eastAsia="en-GB"/>
            </w:rPr>
          </w:pPr>
          <w:hyperlink w:anchor="_Toc107389495" w:history="1">
            <w:r w:rsidR="00E33F37" w:rsidRPr="0010085C">
              <w:rPr>
                <w:rStyle w:val="Hyperlink"/>
                <w:noProof/>
              </w:rPr>
              <w:t>Staff turnover percentages</w:t>
            </w:r>
            <w:r w:rsidR="00E33F37">
              <w:rPr>
                <w:noProof/>
                <w:webHidden/>
              </w:rPr>
              <w:tab/>
            </w:r>
            <w:r w:rsidR="00E33F37">
              <w:rPr>
                <w:noProof/>
                <w:webHidden/>
              </w:rPr>
              <w:fldChar w:fldCharType="begin"/>
            </w:r>
            <w:r w:rsidR="00E33F37">
              <w:rPr>
                <w:noProof/>
                <w:webHidden/>
              </w:rPr>
              <w:instrText xml:space="preserve"> PAGEREF _Toc107389495 \h </w:instrText>
            </w:r>
            <w:r w:rsidR="00E33F37">
              <w:rPr>
                <w:noProof/>
                <w:webHidden/>
              </w:rPr>
            </w:r>
            <w:r w:rsidR="00E33F37">
              <w:rPr>
                <w:noProof/>
                <w:webHidden/>
              </w:rPr>
              <w:fldChar w:fldCharType="separate"/>
            </w:r>
            <w:r w:rsidR="00E33F37">
              <w:rPr>
                <w:noProof/>
                <w:webHidden/>
              </w:rPr>
              <w:t>88</w:t>
            </w:r>
            <w:r w:rsidR="00E33F37">
              <w:rPr>
                <w:noProof/>
                <w:webHidden/>
              </w:rPr>
              <w:fldChar w:fldCharType="end"/>
            </w:r>
          </w:hyperlink>
        </w:p>
        <w:p w14:paraId="30C1F09E" w14:textId="42C8B53D" w:rsidR="00E33F37" w:rsidRDefault="00846209">
          <w:pPr>
            <w:pStyle w:val="TOC3"/>
            <w:rPr>
              <w:rFonts w:asciiTheme="minorHAnsi" w:hAnsiTheme="minorHAnsi"/>
              <w:noProof/>
              <w:sz w:val="22"/>
              <w:lang w:val="en-GB" w:eastAsia="en-GB"/>
            </w:rPr>
          </w:pPr>
          <w:hyperlink w:anchor="_Toc107389496" w:history="1">
            <w:r w:rsidR="00E33F37" w:rsidRPr="0010085C">
              <w:rPr>
                <w:rStyle w:val="Hyperlink"/>
                <w:noProof/>
              </w:rPr>
              <w:t>Staff engagement</w:t>
            </w:r>
            <w:r w:rsidR="00E33F37">
              <w:rPr>
                <w:noProof/>
                <w:webHidden/>
              </w:rPr>
              <w:tab/>
            </w:r>
            <w:r w:rsidR="00E33F37">
              <w:rPr>
                <w:noProof/>
                <w:webHidden/>
              </w:rPr>
              <w:fldChar w:fldCharType="begin"/>
            </w:r>
            <w:r w:rsidR="00E33F37">
              <w:rPr>
                <w:noProof/>
                <w:webHidden/>
              </w:rPr>
              <w:instrText xml:space="preserve"> PAGEREF _Toc107389496 \h </w:instrText>
            </w:r>
            <w:r w:rsidR="00E33F37">
              <w:rPr>
                <w:noProof/>
                <w:webHidden/>
              </w:rPr>
            </w:r>
            <w:r w:rsidR="00E33F37">
              <w:rPr>
                <w:noProof/>
                <w:webHidden/>
              </w:rPr>
              <w:fldChar w:fldCharType="separate"/>
            </w:r>
            <w:r w:rsidR="00E33F37">
              <w:rPr>
                <w:noProof/>
                <w:webHidden/>
              </w:rPr>
              <w:t>88</w:t>
            </w:r>
            <w:r w:rsidR="00E33F37">
              <w:rPr>
                <w:noProof/>
                <w:webHidden/>
              </w:rPr>
              <w:fldChar w:fldCharType="end"/>
            </w:r>
          </w:hyperlink>
        </w:p>
        <w:p w14:paraId="1B38A1CF" w14:textId="6402B46A" w:rsidR="00E33F37" w:rsidRDefault="00846209">
          <w:pPr>
            <w:pStyle w:val="TOC3"/>
            <w:rPr>
              <w:rFonts w:asciiTheme="minorHAnsi" w:hAnsiTheme="minorHAnsi"/>
              <w:noProof/>
              <w:sz w:val="22"/>
              <w:lang w:val="en-GB" w:eastAsia="en-GB"/>
            </w:rPr>
          </w:pPr>
          <w:hyperlink w:anchor="_Toc107389497" w:history="1">
            <w:r w:rsidR="00E33F37" w:rsidRPr="0010085C">
              <w:rPr>
                <w:rStyle w:val="Hyperlink"/>
                <w:noProof/>
              </w:rPr>
              <w:t>Staff policies</w:t>
            </w:r>
            <w:r w:rsidR="00E33F37">
              <w:rPr>
                <w:noProof/>
                <w:webHidden/>
              </w:rPr>
              <w:tab/>
            </w:r>
            <w:r w:rsidR="00E33F37">
              <w:rPr>
                <w:noProof/>
                <w:webHidden/>
              </w:rPr>
              <w:fldChar w:fldCharType="begin"/>
            </w:r>
            <w:r w:rsidR="00E33F37">
              <w:rPr>
                <w:noProof/>
                <w:webHidden/>
              </w:rPr>
              <w:instrText xml:space="preserve"> PAGEREF _Toc107389497 \h </w:instrText>
            </w:r>
            <w:r w:rsidR="00E33F37">
              <w:rPr>
                <w:noProof/>
                <w:webHidden/>
              </w:rPr>
            </w:r>
            <w:r w:rsidR="00E33F37">
              <w:rPr>
                <w:noProof/>
                <w:webHidden/>
              </w:rPr>
              <w:fldChar w:fldCharType="separate"/>
            </w:r>
            <w:r w:rsidR="00E33F37">
              <w:rPr>
                <w:noProof/>
                <w:webHidden/>
              </w:rPr>
              <w:t>89</w:t>
            </w:r>
            <w:r w:rsidR="00E33F37">
              <w:rPr>
                <w:noProof/>
                <w:webHidden/>
              </w:rPr>
              <w:fldChar w:fldCharType="end"/>
            </w:r>
          </w:hyperlink>
        </w:p>
        <w:p w14:paraId="66A455D1" w14:textId="46D66F69" w:rsidR="00E33F37" w:rsidRDefault="00846209">
          <w:pPr>
            <w:pStyle w:val="TOC3"/>
            <w:rPr>
              <w:rFonts w:asciiTheme="minorHAnsi" w:hAnsiTheme="minorHAnsi"/>
              <w:noProof/>
              <w:sz w:val="22"/>
              <w:lang w:val="en-GB" w:eastAsia="en-GB"/>
            </w:rPr>
          </w:pPr>
          <w:hyperlink w:anchor="_Toc107389498" w:history="1">
            <w:r w:rsidR="00E33F37" w:rsidRPr="0010085C">
              <w:rPr>
                <w:rStyle w:val="Hyperlink"/>
                <w:noProof/>
              </w:rPr>
              <w:t>Trade Union Facility Time Reporting Requirements</w:t>
            </w:r>
            <w:r w:rsidR="00E33F37">
              <w:rPr>
                <w:noProof/>
                <w:webHidden/>
              </w:rPr>
              <w:tab/>
            </w:r>
            <w:r w:rsidR="00E33F37">
              <w:rPr>
                <w:noProof/>
                <w:webHidden/>
              </w:rPr>
              <w:fldChar w:fldCharType="begin"/>
            </w:r>
            <w:r w:rsidR="00E33F37">
              <w:rPr>
                <w:noProof/>
                <w:webHidden/>
              </w:rPr>
              <w:instrText xml:space="preserve"> PAGEREF _Toc107389498 \h </w:instrText>
            </w:r>
            <w:r w:rsidR="00E33F37">
              <w:rPr>
                <w:noProof/>
                <w:webHidden/>
              </w:rPr>
            </w:r>
            <w:r w:rsidR="00E33F37">
              <w:rPr>
                <w:noProof/>
                <w:webHidden/>
              </w:rPr>
              <w:fldChar w:fldCharType="separate"/>
            </w:r>
            <w:r w:rsidR="00E33F37">
              <w:rPr>
                <w:noProof/>
                <w:webHidden/>
              </w:rPr>
              <w:t>91</w:t>
            </w:r>
            <w:r w:rsidR="00E33F37">
              <w:rPr>
                <w:noProof/>
                <w:webHidden/>
              </w:rPr>
              <w:fldChar w:fldCharType="end"/>
            </w:r>
          </w:hyperlink>
        </w:p>
        <w:p w14:paraId="497D280A" w14:textId="60CA0DF3" w:rsidR="00E33F37" w:rsidRDefault="00846209">
          <w:pPr>
            <w:pStyle w:val="TOC3"/>
            <w:rPr>
              <w:rFonts w:asciiTheme="minorHAnsi" w:hAnsiTheme="minorHAnsi"/>
              <w:noProof/>
              <w:sz w:val="22"/>
              <w:lang w:val="en-GB" w:eastAsia="en-GB"/>
            </w:rPr>
          </w:pPr>
          <w:hyperlink w:anchor="_Toc107389499" w:history="1">
            <w:r w:rsidR="00E33F37" w:rsidRPr="0010085C">
              <w:rPr>
                <w:rStyle w:val="Hyperlink"/>
                <w:noProof/>
              </w:rPr>
              <w:t>Expenditure on consultancy</w:t>
            </w:r>
            <w:r w:rsidR="00E33F37">
              <w:rPr>
                <w:noProof/>
                <w:webHidden/>
              </w:rPr>
              <w:tab/>
            </w:r>
            <w:r w:rsidR="00E33F37">
              <w:rPr>
                <w:noProof/>
                <w:webHidden/>
              </w:rPr>
              <w:fldChar w:fldCharType="begin"/>
            </w:r>
            <w:r w:rsidR="00E33F37">
              <w:rPr>
                <w:noProof/>
                <w:webHidden/>
              </w:rPr>
              <w:instrText xml:space="preserve"> PAGEREF _Toc107389499 \h </w:instrText>
            </w:r>
            <w:r w:rsidR="00E33F37">
              <w:rPr>
                <w:noProof/>
                <w:webHidden/>
              </w:rPr>
            </w:r>
            <w:r w:rsidR="00E33F37">
              <w:rPr>
                <w:noProof/>
                <w:webHidden/>
              </w:rPr>
              <w:fldChar w:fldCharType="separate"/>
            </w:r>
            <w:r w:rsidR="00E33F37">
              <w:rPr>
                <w:noProof/>
                <w:webHidden/>
              </w:rPr>
              <w:t>91</w:t>
            </w:r>
            <w:r w:rsidR="00E33F37">
              <w:rPr>
                <w:noProof/>
                <w:webHidden/>
              </w:rPr>
              <w:fldChar w:fldCharType="end"/>
            </w:r>
          </w:hyperlink>
        </w:p>
        <w:p w14:paraId="6175DDCC" w14:textId="455C7C18" w:rsidR="00E33F37" w:rsidRDefault="00846209">
          <w:pPr>
            <w:pStyle w:val="TOC3"/>
            <w:rPr>
              <w:rFonts w:asciiTheme="minorHAnsi" w:hAnsiTheme="minorHAnsi"/>
              <w:noProof/>
              <w:sz w:val="22"/>
              <w:lang w:val="en-GB" w:eastAsia="en-GB"/>
            </w:rPr>
          </w:pPr>
          <w:hyperlink w:anchor="_Toc107389500" w:history="1">
            <w:r w:rsidR="00E33F37" w:rsidRPr="0010085C">
              <w:rPr>
                <w:rStyle w:val="Hyperlink"/>
                <w:noProof/>
              </w:rPr>
              <w:t>Off-payroll engagements</w:t>
            </w:r>
            <w:r w:rsidR="00E33F37">
              <w:rPr>
                <w:noProof/>
                <w:webHidden/>
              </w:rPr>
              <w:tab/>
            </w:r>
            <w:r w:rsidR="00E33F37">
              <w:rPr>
                <w:noProof/>
                <w:webHidden/>
              </w:rPr>
              <w:fldChar w:fldCharType="begin"/>
            </w:r>
            <w:r w:rsidR="00E33F37">
              <w:rPr>
                <w:noProof/>
                <w:webHidden/>
              </w:rPr>
              <w:instrText xml:space="preserve"> PAGEREF _Toc107389500 \h </w:instrText>
            </w:r>
            <w:r w:rsidR="00E33F37">
              <w:rPr>
                <w:noProof/>
                <w:webHidden/>
              </w:rPr>
            </w:r>
            <w:r w:rsidR="00E33F37">
              <w:rPr>
                <w:noProof/>
                <w:webHidden/>
              </w:rPr>
              <w:fldChar w:fldCharType="separate"/>
            </w:r>
            <w:r w:rsidR="00E33F37">
              <w:rPr>
                <w:noProof/>
                <w:webHidden/>
              </w:rPr>
              <w:t>91</w:t>
            </w:r>
            <w:r w:rsidR="00E33F37">
              <w:rPr>
                <w:noProof/>
                <w:webHidden/>
              </w:rPr>
              <w:fldChar w:fldCharType="end"/>
            </w:r>
          </w:hyperlink>
        </w:p>
        <w:p w14:paraId="01CAD6F8" w14:textId="5A5B83EE" w:rsidR="00E33F37" w:rsidRDefault="00846209">
          <w:pPr>
            <w:pStyle w:val="TOC3"/>
            <w:rPr>
              <w:rFonts w:asciiTheme="minorHAnsi" w:hAnsiTheme="minorHAnsi"/>
              <w:noProof/>
              <w:sz w:val="22"/>
              <w:lang w:val="en-GB" w:eastAsia="en-GB"/>
            </w:rPr>
          </w:pPr>
          <w:hyperlink w:anchor="_Toc107389501" w:history="1">
            <w:r w:rsidR="00E33F37" w:rsidRPr="0010085C">
              <w:rPr>
                <w:rStyle w:val="Hyperlink"/>
                <w:noProof/>
              </w:rPr>
              <w:t>Exit packages, including special (non-contractual) payments</w:t>
            </w:r>
            <w:r w:rsidR="00E33F37">
              <w:rPr>
                <w:noProof/>
                <w:webHidden/>
              </w:rPr>
              <w:tab/>
            </w:r>
            <w:r w:rsidR="00E33F37">
              <w:rPr>
                <w:noProof/>
                <w:webHidden/>
              </w:rPr>
              <w:fldChar w:fldCharType="begin"/>
            </w:r>
            <w:r w:rsidR="00E33F37">
              <w:rPr>
                <w:noProof/>
                <w:webHidden/>
              </w:rPr>
              <w:instrText xml:space="preserve"> PAGEREF _Toc107389501 \h </w:instrText>
            </w:r>
            <w:r w:rsidR="00E33F37">
              <w:rPr>
                <w:noProof/>
                <w:webHidden/>
              </w:rPr>
            </w:r>
            <w:r w:rsidR="00E33F37">
              <w:rPr>
                <w:noProof/>
                <w:webHidden/>
              </w:rPr>
              <w:fldChar w:fldCharType="separate"/>
            </w:r>
            <w:r w:rsidR="00E33F37">
              <w:rPr>
                <w:noProof/>
                <w:webHidden/>
              </w:rPr>
              <w:t>93</w:t>
            </w:r>
            <w:r w:rsidR="00E33F37">
              <w:rPr>
                <w:noProof/>
                <w:webHidden/>
              </w:rPr>
              <w:fldChar w:fldCharType="end"/>
            </w:r>
          </w:hyperlink>
        </w:p>
        <w:p w14:paraId="5DA5A53C" w14:textId="7A36F60A" w:rsidR="00E33F37" w:rsidRDefault="00846209">
          <w:pPr>
            <w:pStyle w:val="TOC1"/>
            <w:rPr>
              <w:rFonts w:asciiTheme="minorHAnsi" w:eastAsiaTheme="minorEastAsia" w:hAnsiTheme="minorHAnsi" w:cstheme="minorBidi"/>
              <w:b w:val="0"/>
              <w:sz w:val="22"/>
              <w:szCs w:val="22"/>
              <w:lang w:eastAsia="en-GB"/>
            </w:rPr>
          </w:pPr>
          <w:hyperlink w:anchor="_Toc107389502" w:history="1">
            <w:r w:rsidR="00E33F37" w:rsidRPr="0010085C">
              <w:rPr>
                <w:rStyle w:val="Hyperlink"/>
              </w:rPr>
              <w:t>Parliamentary Accountability and Audit Report</w:t>
            </w:r>
            <w:r w:rsidR="00E33F37">
              <w:rPr>
                <w:webHidden/>
              </w:rPr>
              <w:tab/>
            </w:r>
            <w:r w:rsidR="00E33F37">
              <w:rPr>
                <w:webHidden/>
              </w:rPr>
              <w:fldChar w:fldCharType="begin"/>
            </w:r>
            <w:r w:rsidR="00E33F37">
              <w:rPr>
                <w:webHidden/>
              </w:rPr>
              <w:instrText xml:space="preserve"> PAGEREF _Toc107389502 \h </w:instrText>
            </w:r>
            <w:r w:rsidR="00E33F37">
              <w:rPr>
                <w:webHidden/>
              </w:rPr>
            </w:r>
            <w:r w:rsidR="00E33F37">
              <w:rPr>
                <w:webHidden/>
              </w:rPr>
              <w:fldChar w:fldCharType="separate"/>
            </w:r>
            <w:r w:rsidR="00E33F37">
              <w:rPr>
                <w:webHidden/>
              </w:rPr>
              <w:t>94</w:t>
            </w:r>
            <w:r w:rsidR="00E33F37">
              <w:rPr>
                <w:webHidden/>
              </w:rPr>
              <w:fldChar w:fldCharType="end"/>
            </w:r>
          </w:hyperlink>
        </w:p>
        <w:p w14:paraId="36C0D108" w14:textId="3FC0A7FE" w:rsidR="00E33F37" w:rsidRDefault="00846209">
          <w:pPr>
            <w:pStyle w:val="TOC1"/>
            <w:rPr>
              <w:rFonts w:asciiTheme="minorHAnsi" w:eastAsiaTheme="minorEastAsia" w:hAnsiTheme="minorHAnsi" w:cstheme="minorBidi"/>
              <w:b w:val="0"/>
              <w:sz w:val="22"/>
              <w:szCs w:val="22"/>
              <w:lang w:eastAsia="en-GB"/>
            </w:rPr>
          </w:pPr>
          <w:hyperlink w:anchor="_Toc107389503" w:history="1">
            <w:r w:rsidR="00E33F37" w:rsidRPr="0010085C">
              <w:rPr>
                <w:rStyle w:val="Hyperlink"/>
              </w:rPr>
              <w:t>ANNUAL ACCOUNTS</w:t>
            </w:r>
            <w:r w:rsidR="00E33F37">
              <w:rPr>
                <w:webHidden/>
              </w:rPr>
              <w:tab/>
            </w:r>
            <w:r w:rsidR="00E33F37">
              <w:rPr>
                <w:webHidden/>
              </w:rPr>
              <w:fldChar w:fldCharType="begin"/>
            </w:r>
            <w:r w:rsidR="00E33F37">
              <w:rPr>
                <w:webHidden/>
              </w:rPr>
              <w:instrText xml:space="preserve"> PAGEREF _Toc107389503 \h </w:instrText>
            </w:r>
            <w:r w:rsidR="00E33F37">
              <w:rPr>
                <w:webHidden/>
              </w:rPr>
            </w:r>
            <w:r w:rsidR="00E33F37">
              <w:rPr>
                <w:webHidden/>
              </w:rPr>
              <w:fldChar w:fldCharType="separate"/>
            </w:r>
            <w:r w:rsidR="00E33F37">
              <w:rPr>
                <w:webHidden/>
              </w:rPr>
              <w:t>95</w:t>
            </w:r>
            <w:r w:rsidR="00E33F37">
              <w:rPr>
                <w:webHidden/>
              </w:rPr>
              <w:fldChar w:fldCharType="end"/>
            </w:r>
          </w:hyperlink>
        </w:p>
        <w:p w14:paraId="3862AC26" w14:textId="1E1FEF68" w:rsidR="00FF0E5D" w:rsidRPr="00D54E2C" w:rsidRDefault="00FF0E5D">
          <w:pPr>
            <w:rPr>
              <w:sz w:val="22"/>
            </w:rPr>
          </w:pPr>
          <w:r w:rsidRPr="00D54E2C">
            <w:rPr>
              <w:b/>
              <w:bCs/>
              <w:noProof/>
              <w:sz w:val="22"/>
            </w:rPr>
            <w:fldChar w:fldCharType="end"/>
          </w:r>
        </w:p>
      </w:sdtContent>
    </w:sdt>
    <w:bookmarkEnd w:id="2" w:displacedByCustomXml="prev"/>
    <w:p w14:paraId="54C829C0" w14:textId="74C983D2" w:rsidR="004A18F2" w:rsidRPr="00DE6FF6" w:rsidRDefault="0014016D" w:rsidP="00DE6FF6">
      <w:pPr>
        <w:pStyle w:val="Heading2"/>
      </w:pPr>
      <w:r>
        <w:br w:type="page"/>
      </w:r>
      <w:bookmarkStart w:id="4" w:name="_Toc94188162"/>
      <w:bookmarkStart w:id="5" w:name="_Toc97218305"/>
      <w:bookmarkStart w:id="6" w:name="_Toc107389431"/>
      <w:r w:rsidR="004A18F2" w:rsidRPr="00DE6FF6">
        <w:lastRenderedPageBreak/>
        <w:t>Chair’s Foreword</w:t>
      </w:r>
      <w:bookmarkEnd w:id="4"/>
      <w:bookmarkEnd w:id="5"/>
      <w:bookmarkEnd w:id="6"/>
    </w:p>
    <w:bookmarkEnd w:id="3"/>
    <w:p w14:paraId="3B136BF1" w14:textId="298E301B" w:rsidR="00163AC7" w:rsidRPr="00163AC7" w:rsidRDefault="00163AC7" w:rsidP="00163AC7">
      <w:pPr>
        <w:pStyle w:val="BodyText"/>
        <w:rPr>
          <w:rFonts w:cs="Arial"/>
          <w:b/>
          <w:bCs/>
          <w:color w:val="201F1E"/>
          <w:bdr w:val="none" w:sz="0" w:space="0" w:color="auto" w:frame="1"/>
        </w:rPr>
      </w:pPr>
      <w:r w:rsidRPr="00587504">
        <w:rPr>
          <w:rFonts w:cs="Arial"/>
          <w:color w:val="201F1E"/>
          <w:bdr w:val="none" w:sz="0" w:space="0" w:color="auto" w:frame="1"/>
        </w:rPr>
        <w:t>In what has been another challenging year for our teams right across the NHS I am proud that we have continued to provide safe and effective patient care.</w:t>
      </w:r>
      <w:r w:rsidRPr="00587504">
        <w:rPr>
          <w:rFonts w:cs="Arial"/>
        </w:rPr>
        <w:t xml:space="preserve"> Working together for better lives, we have continued to build on collaborative working between our local authority, the CCG, community providers and voluntary organisations.</w:t>
      </w:r>
    </w:p>
    <w:p w14:paraId="4C2F9E9F" w14:textId="77777777" w:rsidR="00163AC7" w:rsidRPr="00587504" w:rsidRDefault="00163AC7" w:rsidP="00163AC7">
      <w:pPr>
        <w:rPr>
          <w:rFonts w:cs="Arial"/>
        </w:rPr>
      </w:pPr>
      <w:r w:rsidRPr="00587504">
        <w:rPr>
          <w:rFonts w:cs="Arial"/>
          <w:color w:val="201F1E"/>
          <w:bdr w:val="none" w:sz="0" w:space="0" w:color="auto" w:frame="1"/>
        </w:rPr>
        <w:t xml:space="preserve">This foreword gives me an opportunity to say how proud I am of all my fellow health and care professionals in </w:t>
      </w:r>
      <w:r>
        <w:rPr>
          <w:rFonts w:cs="Arial"/>
          <w:color w:val="201F1E"/>
          <w:bdr w:val="none" w:sz="0" w:space="0" w:color="auto" w:frame="1"/>
        </w:rPr>
        <w:t>Basildon and Brentwood</w:t>
      </w:r>
      <w:r w:rsidRPr="00D66FB9">
        <w:rPr>
          <w:rFonts w:cs="Arial"/>
          <w:color w:val="201F1E"/>
          <w:bdr w:val="none" w:sz="0" w:space="0" w:color="auto" w:frame="1"/>
        </w:rPr>
        <w:t xml:space="preserve"> </w:t>
      </w:r>
      <w:r w:rsidRPr="00587504">
        <w:rPr>
          <w:rFonts w:cs="Arial"/>
          <w:color w:val="201F1E"/>
          <w:bdr w:val="none" w:sz="0" w:space="0" w:color="auto" w:frame="1"/>
        </w:rPr>
        <w:t>and our wider colleagues who support us. </w:t>
      </w:r>
      <w:r w:rsidRPr="00587504">
        <w:rPr>
          <w:rFonts w:cs="Arial"/>
          <w:color w:val="201F1E"/>
        </w:rPr>
        <w:t> </w:t>
      </w:r>
    </w:p>
    <w:p w14:paraId="46D42E19" w14:textId="2EAD247E" w:rsidR="00163AC7" w:rsidRDefault="00163AC7" w:rsidP="00163AC7">
      <w:pPr>
        <w:rPr>
          <w:rStyle w:val="eop"/>
          <w:rFonts w:cs="Arial"/>
          <w:color w:val="201F1E"/>
          <w:shd w:val="clear" w:color="auto" w:fill="FFFFFF"/>
        </w:rPr>
      </w:pPr>
      <w:r>
        <w:rPr>
          <w:rStyle w:val="normaltextrun"/>
          <w:rFonts w:cs="Arial"/>
          <w:color w:val="201F1E"/>
          <w:shd w:val="clear" w:color="auto" w:fill="FFFFFF"/>
        </w:rPr>
        <w:t>The ongoing vaccination programme continued to dominate our C</w:t>
      </w:r>
      <w:r w:rsidR="003067AE">
        <w:rPr>
          <w:rStyle w:val="normaltextrun"/>
          <w:rFonts w:cs="Arial"/>
          <w:color w:val="201F1E"/>
          <w:shd w:val="clear" w:color="auto" w:fill="FFFFFF"/>
        </w:rPr>
        <w:t>ovid</w:t>
      </w:r>
      <w:r>
        <w:rPr>
          <w:rStyle w:val="normaltextrun"/>
          <w:rFonts w:cs="Arial"/>
          <w:color w:val="201F1E"/>
          <w:shd w:val="clear" w:color="auto" w:fill="FFFFFF"/>
        </w:rPr>
        <w:t xml:space="preserve"> response. I am pleased that the vast majority of people in our area have taken up the opportunity to receive their vaccine. it’s never too late to protect yourself if you haven’t yet had the jab – there are plenty of opportunities to come forward, visit</w:t>
      </w:r>
      <w:r w:rsidR="00A2676D">
        <w:rPr>
          <w:rStyle w:val="normaltextrun"/>
          <w:rFonts w:cs="Arial"/>
          <w:color w:val="201F1E"/>
          <w:shd w:val="clear" w:color="auto" w:fill="FFFFFF"/>
        </w:rPr>
        <w:t xml:space="preserve"> </w:t>
      </w:r>
      <w:hyperlink r:id="rId12" w:history="1">
        <w:r w:rsidR="00A2676D" w:rsidRPr="00A2676D">
          <w:rPr>
            <w:rStyle w:val="Hyperlink"/>
            <w:rFonts w:cs="Arial"/>
            <w:shd w:val="clear" w:color="auto" w:fill="FFFFFF"/>
          </w:rPr>
          <w:t>Essex Covid Vaccine (Hyperlinks)</w:t>
        </w:r>
      </w:hyperlink>
      <w:r w:rsidR="00A2676D">
        <w:rPr>
          <w:rStyle w:val="normaltextrun"/>
          <w:rFonts w:cs="Arial"/>
          <w:color w:val="201F1E"/>
          <w:shd w:val="clear" w:color="auto" w:fill="FFFFFF"/>
        </w:rPr>
        <w:t>.</w:t>
      </w:r>
    </w:p>
    <w:p w14:paraId="793EDD75" w14:textId="77777777" w:rsidR="00163AC7" w:rsidRPr="00587504" w:rsidRDefault="00163AC7" w:rsidP="00163AC7">
      <w:pPr>
        <w:rPr>
          <w:rFonts w:cs="Arial"/>
        </w:rPr>
      </w:pPr>
      <w:r w:rsidRPr="00587504">
        <w:rPr>
          <w:rFonts w:cs="Arial"/>
        </w:rPr>
        <w:t>I have been inspired by the work we have undertaken to support some of our seldom heard and more remote communities to receive their vaccine closer to home with the Essex Vax Van and mobile vaccination units. Working with</w:t>
      </w:r>
      <w:r>
        <w:rPr>
          <w:rFonts w:cs="Arial"/>
        </w:rPr>
        <w:t xml:space="preserve"> our primary care teams,</w:t>
      </w:r>
      <w:r w:rsidRPr="00587504">
        <w:rPr>
          <w:rFonts w:cs="Arial"/>
        </w:rPr>
        <w:t xml:space="preserve"> public health and Essex Partnership University Trust, we were able to offer dozens of pop-up vaccine opportunities.</w:t>
      </w:r>
    </w:p>
    <w:p w14:paraId="7BC5E091" w14:textId="4F137FA6" w:rsidR="00163AC7" w:rsidRPr="00163AC7" w:rsidRDefault="00163AC7" w:rsidP="00163AC7">
      <w:pPr>
        <w:pStyle w:val="paragraph"/>
        <w:spacing w:before="0" w:beforeAutospacing="0" w:after="0" w:afterAutospacing="0"/>
        <w:textAlignment w:val="baseline"/>
        <w:rPr>
          <w:rFonts w:ascii="Arial" w:hAnsi="Arial" w:cs="Arial"/>
        </w:rPr>
      </w:pPr>
      <w:r w:rsidRPr="00163AC7">
        <w:rPr>
          <w:rStyle w:val="normaltextrun"/>
          <w:rFonts w:ascii="Arial" w:eastAsia="Times" w:hAnsi="Arial" w:cs="Arial"/>
          <w:color w:val="000000"/>
        </w:rPr>
        <w:t xml:space="preserve">Every effort has also been made to continue providing routine healthcare to the population during the pandemic in a safe way. A robust plan is being developed and following national guidelines to significantly reduce the number </w:t>
      </w:r>
      <w:r w:rsidR="007B605C">
        <w:rPr>
          <w:rStyle w:val="normaltextrun"/>
          <w:rFonts w:ascii="Arial" w:eastAsia="Times" w:hAnsi="Arial" w:cs="Arial"/>
          <w:color w:val="000000"/>
        </w:rPr>
        <w:t xml:space="preserve">of </w:t>
      </w:r>
      <w:r w:rsidRPr="00163AC7">
        <w:rPr>
          <w:rStyle w:val="normaltextrun"/>
          <w:rFonts w:ascii="Arial" w:eastAsia="Times" w:hAnsi="Arial" w:cs="Arial"/>
          <w:color w:val="000000"/>
        </w:rPr>
        <w:t>people who are waiting for operations and treatments, as we move into the next year, the momentum on this will build.  Working together, the Mid and South Essex Health and Care Partnership has also supported hundreds of people to receive timely care in their own home or care home.  2021/22 saw the launch of new virtual wards to reduce some of the pressure on our hospitals helping us continue some of our elective work. </w:t>
      </w:r>
      <w:r w:rsidRPr="00163AC7">
        <w:rPr>
          <w:rStyle w:val="eop"/>
          <w:rFonts w:ascii="Arial" w:hAnsi="Arial" w:cs="Arial"/>
          <w:color w:val="000000"/>
        </w:rPr>
        <w:t> </w:t>
      </w:r>
    </w:p>
    <w:p w14:paraId="028402BB" w14:textId="42CF8AC3" w:rsidR="00163AC7" w:rsidRPr="00587504" w:rsidRDefault="00163AC7" w:rsidP="00163AC7">
      <w:pPr>
        <w:rPr>
          <w:rStyle w:val="eop"/>
          <w:rFonts w:cs="Arial"/>
          <w:color w:val="000000"/>
          <w:shd w:val="clear" w:color="auto" w:fill="FFFFFF"/>
        </w:rPr>
      </w:pPr>
      <w:r w:rsidRPr="00587504">
        <w:rPr>
          <w:rStyle w:val="normaltextrun"/>
          <w:rFonts w:cs="Arial"/>
          <w:color w:val="000000"/>
          <w:shd w:val="clear" w:color="auto" w:fill="FFFFFF"/>
        </w:rPr>
        <w:t>During the last year we have seen a wider range of health and care professionals begin to work in our local GP practices.  Professionals such as paramedics, physiotherapists, and mental health workers are now working within local Primary Care Networks</w:t>
      </w:r>
      <w:r w:rsidR="007B605C">
        <w:rPr>
          <w:rStyle w:val="normaltextrun"/>
          <w:rFonts w:cs="Arial"/>
          <w:color w:val="000000"/>
          <w:shd w:val="clear" w:color="auto" w:fill="FFFFFF"/>
        </w:rPr>
        <w:t xml:space="preserve"> (PCNs)</w:t>
      </w:r>
      <w:r w:rsidRPr="00587504">
        <w:rPr>
          <w:rStyle w:val="normaltextrun"/>
          <w:rFonts w:cs="Arial"/>
          <w:color w:val="000000"/>
          <w:shd w:val="clear" w:color="auto" w:fill="FFFFFF"/>
        </w:rPr>
        <w:t xml:space="preserve"> to help meet the needs of our local communities. </w:t>
      </w:r>
      <w:r w:rsidRPr="00587504">
        <w:rPr>
          <w:rStyle w:val="eop"/>
          <w:rFonts w:cs="Arial"/>
          <w:color w:val="000000"/>
          <w:shd w:val="clear" w:color="auto" w:fill="FFFFFF"/>
        </w:rPr>
        <w:t> </w:t>
      </w:r>
    </w:p>
    <w:p w14:paraId="72914867" w14:textId="77777777" w:rsidR="00163AC7" w:rsidRPr="00587504" w:rsidRDefault="00163AC7" w:rsidP="00163AC7">
      <w:pPr>
        <w:rPr>
          <w:rFonts w:cs="Arial"/>
        </w:rPr>
      </w:pPr>
      <w:r w:rsidRPr="00587504">
        <w:rPr>
          <w:rStyle w:val="normaltextrun"/>
          <w:rFonts w:cs="Arial"/>
          <w:color w:val="000000"/>
          <w:shd w:val="clear" w:color="auto" w:fill="FFFFFF"/>
        </w:rPr>
        <w:t>We continue to utilise new technology in healthcare and our local residents were among the first as part of a national pilot to test out how people can improve their health outcomes through self-monitoring their blood pressure. To date across Essex, it is estimated that this has prevented 250 heart attacks and 375 strokes. </w:t>
      </w:r>
      <w:r w:rsidRPr="00587504">
        <w:rPr>
          <w:rStyle w:val="eop"/>
          <w:rFonts w:cs="Arial"/>
          <w:color w:val="000000"/>
          <w:shd w:val="clear" w:color="auto" w:fill="FFFFFF"/>
        </w:rPr>
        <w:t> </w:t>
      </w:r>
    </w:p>
    <w:p w14:paraId="1702106B" w14:textId="08916E17" w:rsidR="00163AC7" w:rsidRPr="00DC2FA2" w:rsidRDefault="00163AC7" w:rsidP="00163AC7">
      <w:pPr>
        <w:rPr>
          <w:rFonts w:cs="Arial"/>
          <w:b/>
          <w:bCs/>
        </w:rPr>
      </w:pPr>
      <w:r>
        <w:rPr>
          <w:rFonts w:cs="Arial"/>
          <w:b/>
          <w:bCs/>
        </w:rPr>
        <w:t>P</w:t>
      </w:r>
      <w:r w:rsidRPr="00D66FB9">
        <w:rPr>
          <w:rFonts w:cs="Arial"/>
          <w:b/>
          <w:bCs/>
        </w:rPr>
        <w:t>lace based acknowledgements</w:t>
      </w:r>
    </w:p>
    <w:p w14:paraId="3DF82E7B" w14:textId="77777777" w:rsidR="00163AC7" w:rsidRDefault="00163AC7" w:rsidP="00163AC7">
      <w:pPr>
        <w:rPr>
          <w:rFonts w:cs="Arial"/>
        </w:rPr>
      </w:pPr>
      <w:r>
        <w:rPr>
          <w:rFonts w:cs="Arial"/>
        </w:rPr>
        <w:t xml:space="preserve">Alongside the rollout of the Covid vaccination programme including the busiest period of the programme so far in the “Booster” campaign before Christmas, </w:t>
      </w:r>
      <w:r w:rsidRPr="001322C8">
        <w:rPr>
          <w:rFonts w:cs="Arial"/>
        </w:rPr>
        <w:t xml:space="preserve">NHS </w:t>
      </w:r>
      <w:r>
        <w:rPr>
          <w:rFonts w:cs="Arial"/>
        </w:rPr>
        <w:t>Basildon and Brentwood</w:t>
      </w:r>
      <w:r w:rsidRPr="001322C8">
        <w:rPr>
          <w:rFonts w:cs="Arial"/>
        </w:rPr>
        <w:t xml:space="preserve"> CCG </w:t>
      </w:r>
      <w:r>
        <w:rPr>
          <w:rFonts w:cs="Arial"/>
        </w:rPr>
        <w:t xml:space="preserve">has continued to improve services for our local population. </w:t>
      </w:r>
    </w:p>
    <w:p w14:paraId="4C3720EA" w14:textId="5CB813F1" w:rsidR="00163AC7" w:rsidRDefault="00163AC7" w:rsidP="00163AC7">
      <w:pPr>
        <w:rPr>
          <w:rFonts w:cs="Arial"/>
        </w:rPr>
      </w:pPr>
      <w:r>
        <w:rPr>
          <w:rFonts w:cs="Arial"/>
        </w:rPr>
        <w:t xml:space="preserve">Our GP practices have provided a 10% increase in the volume of consultations they have provided to our population. This has been partially achieved through the </w:t>
      </w:r>
      <w:r>
        <w:rPr>
          <w:rFonts w:cs="Arial"/>
        </w:rPr>
        <w:lastRenderedPageBreak/>
        <w:t>recruitment of 56 new whole time equivalent additional primary care roles. This includes 25 clinical pharmacists, 8 care coordinators and 7 social prescribers. These staff play an increas</w:t>
      </w:r>
      <w:r w:rsidR="0063215A">
        <w:rPr>
          <w:rFonts w:cs="Arial"/>
        </w:rPr>
        <w:t>ingly important</w:t>
      </w:r>
      <w:r>
        <w:rPr>
          <w:rFonts w:cs="Arial"/>
        </w:rPr>
        <w:t xml:space="preserve"> role in supporting GPs to better address patient need. Our primary care providers have also played a crucial role in trying to reduce health inequality through increasing the number of Learning Disability and Serious Mental Illness Health</w:t>
      </w:r>
      <w:r w:rsidR="00A2676D">
        <w:rPr>
          <w:rFonts w:cs="Arial"/>
        </w:rPr>
        <w:t xml:space="preserve"> </w:t>
      </w:r>
      <w:r>
        <w:rPr>
          <w:rFonts w:cs="Arial"/>
        </w:rPr>
        <w:t xml:space="preserve">checks undertaken alongside the crucial role </w:t>
      </w:r>
      <w:r w:rsidR="0063215A">
        <w:rPr>
          <w:rFonts w:cs="Arial"/>
        </w:rPr>
        <w:t xml:space="preserve">of </w:t>
      </w:r>
      <w:r>
        <w:rPr>
          <w:rFonts w:cs="Arial"/>
        </w:rPr>
        <w:t xml:space="preserve">primary care in supporting some of our most vulnerable patients receive the covid vaccine. </w:t>
      </w:r>
    </w:p>
    <w:p w14:paraId="79F68D8B" w14:textId="5C34CAE2" w:rsidR="00163AC7" w:rsidRDefault="00163AC7" w:rsidP="00163AC7">
      <w:pPr>
        <w:rPr>
          <w:rFonts w:cs="Arial"/>
        </w:rPr>
      </w:pPr>
      <w:r>
        <w:rPr>
          <w:rFonts w:cs="Arial"/>
        </w:rPr>
        <w:t>We have made considerable progress on the development of a new mental health model that sees improved integration across the whole health and care system with an increased range of services supporting patients outside of secondary mental health care. This is vital for our communities as we move forward from the pandemic that has impacted on so many people</w:t>
      </w:r>
      <w:r w:rsidR="00004CC5">
        <w:rPr>
          <w:rFonts w:cs="Arial"/>
        </w:rPr>
        <w:t>’</w:t>
      </w:r>
      <w:r>
        <w:rPr>
          <w:rFonts w:cs="Arial"/>
        </w:rPr>
        <w:t>s wellbeing.</w:t>
      </w:r>
    </w:p>
    <w:p w14:paraId="73B7AA77" w14:textId="77777777" w:rsidR="00163AC7" w:rsidRDefault="00163AC7" w:rsidP="00163AC7">
      <w:pPr>
        <w:rPr>
          <w:rFonts w:cs="Arial"/>
        </w:rPr>
      </w:pPr>
      <w:r>
        <w:rPr>
          <w:rFonts w:cs="Arial"/>
        </w:rPr>
        <w:t xml:space="preserve">The CCG has actively supported the implementation of a population health management scheme in East and West Basildon. This scheme aims to ensure our approach to improving wellbeing is driven by data and aimed at preventing ill health rather than only treating the consequences of it. The initial pilots have seen a focus on the wellbeing of women aged 20-40 and people with high BMIs. </w:t>
      </w:r>
    </w:p>
    <w:p w14:paraId="4F442D00" w14:textId="1CE1F09A" w:rsidR="00163AC7" w:rsidRDefault="00163AC7" w:rsidP="00163AC7">
      <w:pPr>
        <w:rPr>
          <w:rFonts w:cs="Arial"/>
        </w:rPr>
      </w:pPr>
      <w:r>
        <w:rPr>
          <w:rFonts w:cs="Arial"/>
        </w:rPr>
        <w:t>We have embraced the opportunity to engage with wider system partners to reduce the level of inactivity in our communities. This year we have appointed to a dedicated role that works closely with health providers and ou</w:t>
      </w:r>
      <w:r w:rsidR="0063215A">
        <w:rPr>
          <w:rFonts w:cs="Arial"/>
        </w:rPr>
        <w:t>r</w:t>
      </w:r>
      <w:r>
        <w:rPr>
          <w:rFonts w:cs="Arial"/>
        </w:rPr>
        <w:t xml:space="preserve"> communities to try and encourage people to take more exercise. This includes supporting our own staff to place importance o</w:t>
      </w:r>
      <w:r w:rsidR="007B605C">
        <w:rPr>
          <w:rFonts w:cs="Arial"/>
        </w:rPr>
        <w:t>n</w:t>
      </w:r>
      <w:r>
        <w:rPr>
          <w:rFonts w:cs="Arial"/>
        </w:rPr>
        <w:t xml:space="preserve"> their own wellbeing. We will continue to build on this for years to come. </w:t>
      </w:r>
    </w:p>
    <w:p w14:paraId="7D58020E" w14:textId="77777777" w:rsidR="00163AC7" w:rsidRDefault="00163AC7" w:rsidP="00163AC7">
      <w:r>
        <w:t xml:space="preserve">The CCG has much to be proud of since its inception in 2013. Our staff have always focussed on trying to improve the health and wellbeing of the population we serve. This work will continue as we move towards the next phase of the NHS and its integration with the care system and with our strong communities. </w:t>
      </w:r>
    </w:p>
    <w:p w14:paraId="106D1DBB" w14:textId="77777777" w:rsidR="00163AC7" w:rsidRDefault="00163AC7" w:rsidP="00163AC7">
      <w:r>
        <w:t xml:space="preserve">It was fitting that the conclusion of the Clinical Commissioning Group’s term as the local NHS body coincided with the award of the Freedom of the Borough of Basildon. I was humbled that alongside other NHS organisations, the CCG received this prestigious award from the Mayor of Basildon for the efforts the NHS had made to look after the people of the Borough during the pandemic. This is a testament to all of the people within the NHS and the wider health and care system who have delivered so much during the biggest challenge the NHS has ever faced. </w:t>
      </w:r>
    </w:p>
    <w:p w14:paraId="1DDC8C04" w14:textId="26A9C3DE" w:rsidR="00163AC7" w:rsidRDefault="00163AC7" w:rsidP="00163AC7">
      <w:r>
        <w:t xml:space="preserve">As we move </w:t>
      </w:r>
      <w:r w:rsidR="00A2676D">
        <w:t>forward,</w:t>
      </w:r>
      <w:r>
        <w:t xml:space="preserve"> we are met with a number of challenges that have been exacerbated by the pandemic, not least the waiting list backlog which has left many people within our local communities waiting significant time before their complications can be suitably resolved. Our organisation will work tireless</w:t>
      </w:r>
      <w:r w:rsidR="007B605C">
        <w:t>ly</w:t>
      </w:r>
      <w:r>
        <w:t xml:space="preserve"> to address these challenges and make the best use of the resources that have been made available for this purpose. We must also focus on improving our approach to prevention so that the NHS can better manage the ever growing demands placed upon it by the demographic changes of today and the future. </w:t>
      </w:r>
    </w:p>
    <w:p w14:paraId="2134EB3F" w14:textId="77777777" w:rsidR="00163AC7" w:rsidRDefault="00163AC7" w:rsidP="00163AC7">
      <w:r>
        <w:t xml:space="preserve">I would like to use this final Annual Report Foreword in my tenure as Chair of NHS Basildon and Brentwood CCG to pay tribute to the members of our communities who </w:t>
      </w:r>
      <w:r>
        <w:lastRenderedPageBreak/>
        <w:t xml:space="preserve">both directly, through the NHS, social care and other partners and indirectly, through informal care, support the wellbeing of our local population. Since its inception, the CCG has played an important role in coordinating the provision of healthcare for our population and ensuring effective use of financial and human resource but we have always recognised that our strength is derived from those directly providing care. May we build upon the foundations we have laid and together improve outcomes for all. </w:t>
      </w:r>
    </w:p>
    <w:p w14:paraId="14A1CB5F" w14:textId="77777777" w:rsidR="00413E88" w:rsidRPr="007830C3" w:rsidRDefault="00413E88" w:rsidP="004A18F2">
      <w:pPr>
        <w:pStyle w:val="BodyText"/>
      </w:pPr>
    </w:p>
    <w:p w14:paraId="73404262" w14:textId="69974461" w:rsidR="006F0C9C" w:rsidRDefault="006F0C9C" w:rsidP="00007823">
      <w:pPr>
        <w:spacing w:before="0" w:after="0"/>
        <w:rPr>
          <w:b/>
        </w:rPr>
      </w:pPr>
    </w:p>
    <w:p w14:paraId="5AC99B49" w14:textId="320B36C0" w:rsidR="00007823" w:rsidRPr="007830C3" w:rsidRDefault="00007823" w:rsidP="00007823">
      <w:pPr>
        <w:spacing w:before="0" w:after="0"/>
        <w:rPr>
          <w:b/>
        </w:rPr>
      </w:pPr>
      <w:r w:rsidRPr="007830C3">
        <w:rPr>
          <w:b/>
        </w:rPr>
        <w:t xml:space="preserve">Dr </w:t>
      </w:r>
      <w:r w:rsidR="0054504D">
        <w:rPr>
          <w:b/>
        </w:rPr>
        <w:t>‘</w:t>
      </w:r>
      <w:r w:rsidRPr="007830C3">
        <w:rPr>
          <w:b/>
        </w:rPr>
        <w:t>Boye Tayo</w:t>
      </w:r>
    </w:p>
    <w:p w14:paraId="3D499CC8" w14:textId="77777777" w:rsidR="00007823" w:rsidRPr="007830C3" w:rsidRDefault="00007823" w:rsidP="00007823">
      <w:pPr>
        <w:spacing w:before="0" w:after="0"/>
      </w:pPr>
      <w:r w:rsidRPr="007830C3">
        <w:t>Basildon and Brentwood CCG Chair</w:t>
      </w:r>
    </w:p>
    <w:p w14:paraId="474E83D8" w14:textId="77777777" w:rsidR="00007823" w:rsidRPr="007830C3" w:rsidRDefault="00007823" w:rsidP="00007823">
      <w:pPr>
        <w:keepNext/>
        <w:keepLines/>
        <w:spacing w:before="0" w:after="0"/>
        <w:jc w:val="both"/>
        <w:outlineLvl w:val="1"/>
        <w:rPr>
          <w:rFonts w:eastAsia="MS Gothic"/>
          <w:b/>
          <w:bCs/>
        </w:rPr>
      </w:pPr>
    </w:p>
    <w:p w14:paraId="2A24D24E" w14:textId="6DAF257B" w:rsidR="00007823" w:rsidRPr="007830C3" w:rsidRDefault="002C570A" w:rsidP="00007823">
      <w:pPr>
        <w:spacing w:before="0" w:after="0"/>
        <w:rPr>
          <w:rFonts w:eastAsia="Calibri"/>
        </w:rPr>
      </w:pPr>
      <w:r>
        <w:rPr>
          <w:rFonts w:eastAsia="Calibri"/>
        </w:rPr>
        <w:t>29</w:t>
      </w:r>
      <w:r w:rsidR="00007823" w:rsidRPr="007830C3">
        <w:rPr>
          <w:rFonts w:eastAsia="Calibri"/>
        </w:rPr>
        <w:t xml:space="preserve"> June 2022</w:t>
      </w:r>
    </w:p>
    <w:p w14:paraId="6AE7DE7A" w14:textId="1DF692FA" w:rsidR="004A18F2" w:rsidRPr="007830C3" w:rsidRDefault="004A18F2" w:rsidP="004A18F2">
      <w:pPr>
        <w:pStyle w:val="Heading1"/>
        <w:rPr>
          <w:color w:val="auto"/>
        </w:rPr>
      </w:pPr>
      <w:r w:rsidRPr="007830C3">
        <w:rPr>
          <w:color w:val="auto"/>
        </w:rPr>
        <w:br w:type="page"/>
      </w:r>
    </w:p>
    <w:p w14:paraId="416F4315" w14:textId="1271771D" w:rsidR="00797C92" w:rsidRPr="007830C3" w:rsidRDefault="00633F7D" w:rsidP="007D0E90">
      <w:pPr>
        <w:pStyle w:val="Subtitle"/>
        <w:rPr>
          <w:color w:val="auto"/>
        </w:rPr>
      </w:pPr>
      <w:bookmarkStart w:id="7" w:name="_Toc94188163"/>
      <w:bookmarkStart w:id="8" w:name="_Toc97218306"/>
      <w:bookmarkStart w:id="9" w:name="_Toc107389432"/>
      <w:r w:rsidRPr="007830C3">
        <w:rPr>
          <w:color w:val="auto"/>
        </w:rPr>
        <w:lastRenderedPageBreak/>
        <w:t>PERFORMANCE REPORT</w:t>
      </w:r>
      <w:bookmarkEnd w:id="7"/>
      <w:bookmarkEnd w:id="8"/>
      <w:bookmarkEnd w:id="9"/>
    </w:p>
    <w:p w14:paraId="0F14E65B" w14:textId="329CB1A7" w:rsidR="001C3774" w:rsidRPr="007830C3" w:rsidRDefault="00B43DC3" w:rsidP="00DE6FF6">
      <w:pPr>
        <w:pStyle w:val="Heading2"/>
      </w:pPr>
      <w:bookmarkStart w:id="10" w:name="_Toc94188164"/>
      <w:bookmarkStart w:id="11" w:name="_Toc97218307"/>
      <w:bookmarkStart w:id="12" w:name="_Toc107389433"/>
      <w:r w:rsidRPr="007830C3">
        <w:t xml:space="preserve">Performance </w:t>
      </w:r>
      <w:r w:rsidR="001C3774" w:rsidRPr="007830C3">
        <w:t>Overview</w:t>
      </w:r>
      <w:bookmarkEnd w:id="10"/>
      <w:bookmarkEnd w:id="11"/>
      <w:bookmarkEnd w:id="12"/>
    </w:p>
    <w:p w14:paraId="10B4B397" w14:textId="1DD799C6" w:rsidR="005613DB" w:rsidRPr="00AE0A91" w:rsidRDefault="005613DB" w:rsidP="00FE4523">
      <w:pPr>
        <w:spacing w:before="0" w:after="200"/>
        <w:rPr>
          <w:rFonts w:cs="Arial"/>
          <w:szCs w:val="24"/>
        </w:rPr>
      </w:pPr>
      <w:r w:rsidRPr="00AE0A91">
        <w:rPr>
          <w:rFonts w:cs="Arial"/>
          <w:szCs w:val="24"/>
        </w:rPr>
        <w:t>The purpose of the performance report is to provide information on the CCG’s objectives for the 2021/22 financial year, the princip</w:t>
      </w:r>
      <w:r w:rsidR="00004CC5">
        <w:rPr>
          <w:rFonts w:cs="Arial"/>
          <w:szCs w:val="24"/>
        </w:rPr>
        <w:t>al</w:t>
      </w:r>
      <w:r w:rsidRPr="00AE0A91">
        <w:rPr>
          <w:rFonts w:cs="Arial"/>
          <w:szCs w:val="24"/>
        </w:rPr>
        <w:t xml:space="preserve"> risks to their achievement and how the CCG performed against these objectives.  This section provides a precis of the rest of the annual report and accounts.</w:t>
      </w:r>
    </w:p>
    <w:p w14:paraId="05F78FC1" w14:textId="7D56F49E" w:rsidR="00D83506" w:rsidRDefault="00D83506" w:rsidP="00D72B1A">
      <w:pPr>
        <w:pStyle w:val="BodyText"/>
        <w:rPr>
          <w:b/>
          <w:bCs/>
          <w:sz w:val="32"/>
          <w:szCs w:val="32"/>
          <w:bdr w:val="none" w:sz="0" w:space="0" w:color="auto" w:frame="1"/>
        </w:rPr>
      </w:pPr>
      <w:bookmarkStart w:id="13" w:name="_Toc107389434"/>
      <w:bookmarkStart w:id="14" w:name="_Toc94188165"/>
      <w:bookmarkStart w:id="15" w:name="_Toc97218308"/>
      <w:r w:rsidRPr="00D72B1A">
        <w:rPr>
          <w:rStyle w:val="Heading2Char"/>
        </w:rPr>
        <w:t>Accountable Officer’s introduction</w:t>
      </w:r>
      <w:bookmarkEnd w:id="13"/>
      <w:r>
        <w:rPr>
          <w:bdr w:val="none" w:sz="0" w:space="0" w:color="auto" w:frame="1"/>
        </w:rPr>
        <w:t xml:space="preserve"> </w:t>
      </w:r>
      <w:r w:rsidRPr="00D72B1A">
        <w:rPr>
          <w:b/>
          <w:bCs/>
          <w:sz w:val="32"/>
          <w:szCs w:val="32"/>
          <w:bdr w:val="none" w:sz="0" w:space="0" w:color="auto" w:frame="1"/>
        </w:rPr>
        <w:t>– Basildon and Brentwood CCG Annual Report 2021/22</w:t>
      </w:r>
    </w:p>
    <w:p w14:paraId="16BDDF85" w14:textId="2B50DA40" w:rsidR="00004CC5" w:rsidRDefault="00004CC5" w:rsidP="00004CC5">
      <w:r>
        <w:t xml:space="preserve">It has been another extraordinary 12 months. Amid unprecedented world events, the NHS faced new </w:t>
      </w:r>
      <w:r w:rsidR="007B605C">
        <w:t>Covid</w:t>
      </w:r>
      <w:r>
        <w:t>-19 variants and had to respond rapidly by expanding its vaccination programme. All aspects of the system continue to be under unprecedented pressure, whether in primary care, with both urgent demand and the support of pat</w:t>
      </w:r>
      <w:r w:rsidR="0063215A">
        <w:t>i</w:t>
      </w:r>
      <w:r>
        <w:t xml:space="preserve">ents with long term conditions, in our community services, who have stepped up to the challenge to deliver innovative ways of caring for more people in the community, our mental health services which are seeing a significant rise in demand and acuity of people accessing services, our acute hospitals, who are seeing rising demand on urgent and emergency care services which is affecting flow through the hospital and impacting on its ability to treat cancer and elective patients in a timely manner, our local authority partners, whose services are stretched in a challenging social care market and of course, our community and voluntary sector partners, without whom we could not have risen to the challenges that the Covid pandemic brought. </w:t>
      </w:r>
    </w:p>
    <w:p w14:paraId="36C85B3F" w14:textId="77777777" w:rsidR="00004CC5" w:rsidRDefault="00004CC5" w:rsidP="00004CC5">
      <w:r>
        <w:t xml:space="preserve">All this has made 2021/22 a very unsettling time. </w:t>
      </w:r>
    </w:p>
    <w:p w14:paraId="159C3C28" w14:textId="77777777" w:rsidR="00004CC5" w:rsidRDefault="00004CC5" w:rsidP="00004CC5">
      <w:r>
        <w:t>Yet despite the pressures, our NHS and other institutions have generally succeeded in helping people get through these unique circumstances. When mid and south Essex residents looked for guidance or essential services, the NHS and its partners from the public and voluntary sectors stepped up, often in new and innovative ways. We were the trusted source of information and support.</w:t>
      </w:r>
    </w:p>
    <w:p w14:paraId="4EBBBC0C" w14:textId="77777777" w:rsidR="00004CC5" w:rsidRDefault="00004CC5" w:rsidP="00004CC5">
      <w:r>
        <w:t>Public services depend on trust. Every time the question of trusted professions comes up in Britain, doctors and nurses are near the top of the list. This shows the mutual confidence our residents and healthcare professionals</w:t>
      </w:r>
      <w:r w:rsidRPr="00476842">
        <w:t xml:space="preserve"> </w:t>
      </w:r>
      <w:r>
        <w:t>have in one another and in the public services we all rely upon. During difficult times collaboration and confidence in one another can help us deal with difficulties and uncertain futures.</w:t>
      </w:r>
    </w:p>
    <w:p w14:paraId="4DF500E7" w14:textId="77777777" w:rsidR="00004CC5" w:rsidRDefault="00004CC5" w:rsidP="00004CC5">
      <w:r>
        <w:t xml:space="preserve">People have trusted the science behind new treatments and the support available from our institutions. In a similar way, our transition to an “integrated care system” – ICS for short – should also inspire confidence. As we restore more normal operations, the new ICS will build on the legacy of the five clinical commissioning groups to show that people’s best interests and improved health outcomes are at the heart of everything we do. Now and in the future.  </w:t>
      </w:r>
    </w:p>
    <w:p w14:paraId="1D639FAB" w14:textId="3D510DC2" w:rsidR="00004CC5" w:rsidRDefault="00004CC5" w:rsidP="00004CC5">
      <w:r>
        <w:lastRenderedPageBreak/>
        <w:t xml:space="preserve">As well as sharing what this CCG has achieved for Basildon and Brentwood residents through well-planned NHS services and partnership working, this document also reflects the seriousness with which we take our responsibilities as part of an ICS. </w:t>
      </w:r>
    </w:p>
    <w:p w14:paraId="7AE6665E" w14:textId="6A45F16C" w:rsidR="00987B1E" w:rsidRDefault="00987B1E" w:rsidP="00987B1E">
      <w:pPr>
        <w:rPr>
          <w:rFonts w:cs="Arial"/>
          <w:szCs w:val="24"/>
        </w:rPr>
      </w:pPr>
      <w:r>
        <w:rPr>
          <w:rFonts w:cs="Arial"/>
          <w:szCs w:val="24"/>
        </w:rPr>
        <w:t>Strengthening relationships across the old CCG areas – w</w:t>
      </w:r>
      <w:r w:rsidR="00861758">
        <w:rPr>
          <w:rFonts w:cs="Arial"/>
          <w:szCs w:val="24"/>
        </w:rPr>
        <w:t>hich</w:t>
      </w:r>
      <w:r>
        <w:rPr>
          <w:rFonts w:cs="Arial"/>
          <w:szCs w:val="24"/>
        </w:rPr>
        <w:t xml:space="preserve"> are now called “Alliances” – is vital to better health outcomes and the reduction in health inequalities and just one example of the focus we are putting on that is the appointment of our first Head of Engagement. This role will focus on nurturing broadly based relationships with our public and partners, so we can design services, identify health outcomes and set standards </w:t>
      </w:r>
      <w:r w:rsidRPr="00924E94">
        <w:rPr>
          <w:rFonts w:cs="Arial"/>
          <w:i/>
          <w:iCs/>
          <w:szCs w:val="24"/>
        </w:rPr>
        <w:t>together</w:t>
      </w:r>
      <w:r>
        <w:rPr>
          <w:rFonts w:cs="Arial"/>
          <w:szCs w:val="24"/>
        </w:rPr>
        <w:t>.</w:t>
      </w:r>
    </w:p>
    <w:p w14:paraId="1770400F" w14:textId="35CB2571" w:rsidR="00004CC5" w:rsidRDefault="00004CC5" w:rsidP="00004CC5">
      <w:r>
        <w:t>A part of this work, our “Moments that Matter” campaign, will showcase the best of what coordinated health and social care can do. It celebrates examples of professionalism and personalised care that have stood out for residents and colleagues. Anyone who has worked in or for one of our CCGs will understand how ‘</w:t>
      </w:r>
      <w:r w:rsidR="00F91D81">
        <w:t>small gestures’</w:t>
      </w:r>
      <w:r>
        <w:t xml:space="preserve"> can sometimes make all the difference to those who look to the NHS for help. </w:t>
      </w:r>
    </w:p>
    <w:p w14:paraId="4D22E855" w14:textId="32A15014" w:rsidR="00004CC5" w:rsidRDefault="00004CC5" w:rsidP="00004CC5">
      <w:pPr>
        <w:rPr>
          <w:rFonts w:cs="Arial"/>
        </w:rPr>
      </w:pPr>
      <w:r>
        <w:rPr>
          <w:rFonts w:cs="Arial"/>
        </w:rPr>
        <w:t xml:space="preserve">As the passage of the Health Bill completes its final stages to create ICS’ on a statutory footing, we can all look to the exciting opportunities that this will bring for our residents.  At the same time, it is </w:t>
      </w:r>
      <w:r w:rsidRPr="003D1C49">
        <w:rPr>
          <w:rFonts w:cs="Arial"/>
        </w:rPr>
        <w:t xml:space="preserve">right that we should mark the passing of a final and tumultuous </w:t>
      </w:r>
      <w:r>
        <w:rPr>
          <w:rFonts w:cs="Arial"/>
        </w:rPr>
        <w:t xml:space="preserve">full </w:t>
      </w:r>
      <w:r w:rsidRPr="003D1C49">
        <w:rPr>
          <w:rFonts w:cs="Arial"/>
        </w:rPr>
        <w:t xml:space="preserve">year for CCGs by noting the distinct contribution they have </w:t>
      </w:r>
      <w:r>
        <w:rPr>
          <w:rFonts w:cs="Arial"/>
        </w:rPr>
        <w:t xml:space="preserve">recently </w:t>
      </w:r>
      <w:r w:rsidRPr="003D1C49">
        <w:rPr>
          <w:rFonts w:cs="Arial"/>
        </w:rPr>
        <w:t xml:space="preserve">made in developing </w:t>
      </w:r>
      <w:r>
        <w:rPr>
          <w:rFonts w:cs="Arial"/>
        </w:rPr>
        <w:t xml:space="preserve">alliance-based services and </w:t>
      </w:r>
      <w:r w:rsidRPr="003D1C49">
        <w:rPr>
          <w:rFonts w:cs="Arial"/>
        </w:rPr>
        <w:t xml:space="preserve">Primary Care Networks </w:t>
      </w:r>
      <w:r>
        <w:rPr>
          <w:rFonts w:cs="Arial"/>
        </w:rPr>
        <w:t>of GP practices. That emphasis on delivering health and wellbeing services for and with residents at a local level will go from strength to strength.</w:t>
      </w:r>
    </w:p>
    <w:p w14:paraId="309B45A9" w14:textId="5CAE849F" w:rsidR="00004CC5" w:rsidRDefault="00004CC5" w:rsidP="00004CC5">
      <w:pPr>
        <w:rPr>
          <w:rFonts w:cs="Arial"/>
        </w:rPr>
      </w:pPr>
      <w:r>
        <w:t xml:space="preserve">So many people have contributed to the CCG’s success - to name them all here would be impossible.  I would nevertheless like to pay tribute to CCG colleagues for the continued support they have shown one another – and most </w:t>
      </w:r>
      <w:r w:rsidRPr="003D1C49">
        <w:rPr>
          <w:rFonts w:cs="Arial"/>
        </w:rPr>
        <w:t xml:space="preserve">importantly, </w:t>
      </w:r>
      <w:r>
        <w:rPr>
          <w:rFonts w:cs="Arial"/>
        </w:rPr>
        <w:t xml:space="preserve">to </w:t>
      </w:r>
      <w:r w:rsidRPr="003D1C49">
        <w:rPr>
          <w:rFonts w:cs="Arial"/>
        </w:rPr>
        <w:t>the 1.2m people we serve</w:t>
      </w:r>
      <w:r>
        <w:rPr>
          <w:rFonts w:cs="Arial"/>
        </w:rPr>
        <w:t xml:space="preserve"> – during these uniquely challenging times.  CCG staff and Board members can be rightly proud of all that they have achieved  - and be assured that the lasting legacy of their work will be seen in the solid foundations they have laid for the ICS. </w:t>
      </w:r>
    </w:p>
    <w:p w14:paraId="6862CBF9" w14:textId="6B273199" w:rsidR="006F0C9C" w:rsidRDefault="006F0C9C" w:rsidP="00AD50DD">
      <w:pPr>
        <w:rPr>
          <w:b/>
          <w:bCs/>
        </w:rPr>
      </w:pPr>
      <w:bookmarkStart w:id="16" w:name="_GoBack"/>
      <w:bookmarkEnd w:id="16"/>
    </w:p>
    <w:p w14:paraId="77A7F6C0" w14:textId="368D5E2E" w:rsidR="00AD50DD" w:rsidRPr="008649F5" w:rsidRDefault="00AD50DD" w:rsidP="00AD50DD">
      <w:pPr>
        <w:rPr>
          <w:b/>
          <w:bCs/>
        </w:rPr>
      </w:pPr>
      <w:r>
        <w:rPr>
          <w:b/>
          <w:bCs/>
        </w:rPr>
        <w:t>Anthony McKeever</w:t>
      </w:r>
    </w:p>
    <w:p w14:paraId="01B21A11" w14:textId="77777777" w:rsidR="00AD50DD" w:rsidRPr="00DE4D5F" w:rsidRDefault="00AD50DD" w:rsidP="00AD50DD">
      <w:pPr>
        <w:ind w:right="1253"/>
      </w:pPr>
      <w:r>
        <w:t>Executive Lead for the Mid and South Essex Health and Care Partnership and Joint Accountable Officer for its five CCGs</w:t>
      </w:r>
      <w:r w:rsidRPr="00FC23B4">
        <w:t xml:space="preserve"> </w:t>
      </w:r>
    </w:p>
    <w:p w14:paraId="289EAA76" w14:textId="32D8D84E" w:rsidR="00AD50DD" w:rsidRPr="00D76BD8" w:rsidRDefault="00A42E55" w:rsidP="00AD50DD">
      <w:pPr>
        <w:rPr>
          <w:rFonts w:cs="Arial"/>
        </w:rPr>
      </w:pPr>
      <w:r>
        <w:t>29 June</w:t>
      </w:r>
      <w:r w:rsidR="00AD50DD" w:rsidRPr="00B620EE">
        <w:t xml:space="preserve"> 20</w:t>
      </w:r>
      <w:r w:rsidR="00AD50DD">
        <w:t>22</w:t>
      </w:r>
      <w:r w:rsidR="00AD50DD" w:rsidRPr="003D1C49">
        <w:rPr>
          <w:rFonts w:cs="Arial"/>
        </w:rPr>
        <w:t xml:space="preserve">  </w:t>
      </w:r>
    </w:p>
    <w:p w14:paraId="5CACF8F6" w14:textId="77777777" w:rsidR="004A717A" w:rsidRPr="0083380D" w:rsidRDefault="004A717A" w:rsidP="00004CC5">
      <w:pPr>
        <w:rPr>
          <w:rFonts w:cs="Arial"/>
        </w:rPr>
      </w:pPr>
    </w:p>
    <w:p w14:paraId="6CD25534" w14:textId="77777777" w:rsidR="00055486" w:rsidRDefault="00055486">
      <w:pPr>
        <w:spacing w:before="0" w:after="200" w:line="276" w:lineRule="auto"/>
        <w:rPr>
          <w:rFonts w:eastAsia="Times" w:cs="Times New Roman"/>
          <w:b/>
          <w:bCs/>
          <w:sz w:val="32"/>
          <w:szCs w:val="32"/>
        </w:rPr>
      </w:pPr>
      <w:bookmarkStart w:id="17" w:name="_Toc94188166"/>
      <w:bookmarkStart w:id="18" w:name="_Toc97218310"/>
      <w:bookmarkEnd w:id="14"/>
      <w:bookmarkEnd w:id="15"/>
      <w:r>
        <w:br w:type="page"/>
      </w:r>
    </w:p>
    <w:p w14:paraId="1FB55CA6" w14:textId="634244E8" w:rsidR="00FC23B4" w:rsidRPr="004A0197" w:rsidRDefault="00FC23B4" w:rsidP="00DE6FF6">
      <w:pPr>
        <w:pStyle w:val="Heading2"/>
      </w:pPr>
      <w:bookmarkStart w:id="19" w:name="_Toc107389435"/>
      <w:r w:rsidRPr="004A0197">
        <w:lastRenderedPageBreak/>
        <w:t>What</w:t>
      </w:r>
      <w:r w:rsidR="005613DB" w:rsidRPr="004A0197">
        <w:t xml:space="preserve"> Basildon and Brentwood</w:t>
      </w:r>
      <w:r w:rsidRPr="004A0197">
        <w:t xml:space="preserve"> CCG does</w:t>
      </w:r>
      <w:bookmarkEnd w:id="17"/>
      <w:bookmarkEnd w:id="18"/>
      <w:bookmarkEnd w:id="19"/>
    </w:p>
    <w:p w14:paraId="7E442A16" w14:textId="6C3DC3D8" w:rsidR="00972C45" w:rsidRPr="007830C3" w:rsidRDefault="00972C45" w:rsidP="00DE6FF6">
      <w:pPr>
        <w:pStyle w:val="Heading3"/>
      </w:pPr>
      <w:bookmarkStart w:id="20" w:name="_Toc95200484"/>
      <w:bookmarkStart w:id="21" w:name="_Toc97218311"/>
      <w:bookmarkStart w:id="22" w:name="_Toc107389436"/>
      <w:r w:rsidRPr="007830C3">
        <w:t>Our Purpose</w:t>
      </w:r>
      <w:bookmarkStart w:id="23" w:name="_Toc94188167"/>
      <w:bookmarkEnd w:id="20"/>
      <w:bookmarkEnd w:id="21"/>
      <w:bookmarkEnd w:id="22"/>
      <w:r w:rsidRPr="007830C3">
        <w:t xml:space="preserve"> </w:t>
      </w:r>
      <w:bookmarkStart w:id="24" w:name="_Toc94188168"/>
      <w:bookmarkEnd w:id="23"/>
    </w:p>
    <w:p w14:paraId="180F783E" w14:textId="24502151" w:rsidR="00972C45" w:rsidRDefault="00972C45" w:rsidP="00293377">
      <w:pPr>
        <w:pStyle w:val="BodyText"/>
        <w:spacing w:after="120"/>
      </w:pPr>
      <w:r w:rsidRPr="007830C3">
        <w:t xml:space="preserve">The Basildon and Brentwood Clinical Commissioning Group was formed on 1 April 2013 following the changes that took place in the NHS as a result of the Health and Social Care Act 2012.  The CCG is the statutory health body responsible for commissioning (i.e. planning, designing and buying) local NHS care and services to meet the needs of the local population. We work in partnership with colleagues from GP Practices, community and hospital services, social care and the independent voluntary sector to improve the health and wellbeing of people in our communities. </w:t>
      </w:r>
    </w:p>
    <w:p w14:paraId="2484ABE1" w14:textId="27604F9E" w:rsidR="00972C45" w:rsidRPr="007830C3" w:rsidRDefault="00972C45" w:rsidP="00EB1E92">
      <w:pPr>
        <w:pStyle w:val="BodyText"/>
        <w:spacing w:before="120" w:after="120"/>
      </w:pPr>
      <w:r w:rsidRPr="007830C3">
        <w:t xml:space="preserve">We aim to commission safe, high quality services with a focus on achieving a sustainable health and care system that improves the health and wellbeing of people in Basildon and Brentwood. Our membership consists of </w:t>
      </w:r>
      <w:r w:rsidRPr="001907D3">
        <w:t>35</w:t>
      </w:r>
      <w:r w:rsidRPr="007830C3">
        <w:t xml:space="preserve"> GP Practices which are responsible for a population </w:t>
      </w:r>
      <w:r w:rsidRPr="001907D3">
        <w:t>of 2</w:t>
      </w:r>
      <w:r w:rsidR="001907D3" w:rsidRPr="001907D3">
        <w:t>8</w:t>
      </w:r>
      <w:r w:rsidRPr="001907D3">
        <w:t>5,</w:t>
      </w:r>
      <w:r w:rsidR="001907D3">
        <w:t xml:space="preserve">655 </w:t>
      </w:r>
      <w:r w:rsidRPr="007830C3">
        <w:t xml:space="preserve">across Basildon and Brentwood. </w:t>
      </w:r>
      <w:r w:rsidR="007830C3" w:rsidRPr="007830C3">
        <w:t>Our Governing Body (The Board)</w:t>
      </w:r>
      <w:r w:rsidRPr="007830C3">
        <w:t xml:space="preserve"> is principally formed of clinical representatives from the four localities across the CCG.</w:t>
      </w:r>
    </w:p>
    <w:p w14:paraId="10C2A9E9" w14:textId="77777777" w:rsidR="00972C45" w:rsidRPr="007830C3" w:rsidRDefault="00972C45" w:rsidP="00EB1E92">
      <w:pPr>
        <w:pStyle w:val="BodyText"/>
        <w:spacing w:before="120" w:after="120"/>
      </w:pPr>
      <w:r w:rsidRPr="007830C3">
        <w:t>The key providers from which the CCG buys health services for the residents of Basildon and Brentwood are:</w:t>
      </w:r>
    </w:p>
    <w:p w14:paraId="16FD1AF3" w14:textId="77777777" w:rsidR="00972C45" w:rsidRPr="007830C3" w:rsidRDefault="00972C45" w:rsidP="000D3041">
      <w:pPr>
        <w:pStyle w:val="BodyText"/>
        <w:numPr>
          <w:ilvl w:val="0"/>
          <w:numId w:val="7"/>
        </w:numPr>
        <w:spacing w:before="360"/>
        <w:ind w:left="714" w:hanging="357"/>
        <w:contextualSpacing/>
      </w:pPr>
      <w:r w:rsidRPr="007830C3">
        <w:t xml:space="preserve">Mid and South Essex NHS Foundation Trust (MSEFT) is the main provider of acute hospital services from its sites at Basildon, Southend and Broomfield.  </w:t>
      </w:r>
    </w:p>
    <w:p w14:paraId="06FFA4D0" w14:textId="77777777" w:rsidR="00972C45" w:rsidRPr="007830C3" w:rsidRDefault="00972C45" w:rsidP="000D3041">
      <w:pPr>
        <w:pStyle w:val="BodyText"/>
        <w:numPr>
          <w:ilvl w:val="0"/>
          <w:numId w:val="7"/>
        </w:numPr>
        <w:ind w:left="714" w:hanging="357"/>
        <w:contextualSpacing/>
      </w:pPr>
      <w:r w:rsidRPr="007830C3">
        <w:t>Essex Partnership University NHS Foundation Trust (EPUT) is the main provider of mental health services.</w:t>
      </w:r>
    </w:p>
    <w:p w14:paraId="18626C73" w14:textId="77777777" w:rsidR="00972C45" w:rsidRPr="007830C3" w:rsidRDefault="00972C45" w:rsidP="000D3041">
      <w:pPr>
        <w:pStyle w:val="BodyText"/>
        <w:numPr>
          <w:ilvl w:val="0"/>
          <w:numId w:val="7"/>
        </w:numPr>
        <w:ind w:left="714" w:hanging="357"/>
        <w:contextualSpacing/>
      </w:pPr>
      <w:r w:rsidRPr="007830C3">
        <w:t>EPUT and the North East London NHS Foundation Trust (NELFT) are our main providers of community services.</w:t>
      </w:r>
    </w:p>
    <w:p w14:paraId="12E723B0" w14:textId="77777777" w:rsidR="00972C45" w:rsidRPr="007830C3" w:rsidRDefault="00972C45" w:rsidP="000D3041">
      <w:pPr>
        <w:pStyle w:val="BodyText"/>
        <w:numPr>
          <w:ilvl w:val="0"/>
          <w:numId w:val="7"/>
        </w:numPr>
        <w:spacing w:after="120"/>
        <w:ind w:left="714" w:hanging="357"/>
      </w:pPr>
      <w:r w:rsidRPr="007830C3">
        <w:t>Emergency health services and transport are provided by the East of England Ambulance Service NHS Trust and urgent care services by IC24.</w:t>
      </w:r>
    </w:p>
    <w:p w14:paraId="4850DB59" w14:textId="77777777" w:rsidR="00972C45" w:rsidRPr="007830C3" w:rsidRDefault="00972C45" w:rsidP="00EB1E92">
      <w:pPr>
        <w:pStyle w:val="BodyText"/>
        <w:spacing w:before="120"/>
      </w:pPr>
      <w:r w:rsidRPr="007830C3">
        <w:t>In addition, the CCG has a range of contracts with other providers of services such as palliative care and end of life services, specialist health services for fertility and termination of pregnancy and community elective care services.  We also buy services from a number of Independent Sector providers.</w:t>
      </w:r>
    </w:p>
    <w:tbl>
      <w:tblPr>
        <w:tblStyle w:val="MediumGrid3-Accent1"/>
        <w:tblW w:w="5000" w:type="pct"/>
        <w:tblLook w:val="0420" w:firstRow="1" w:lastRow="0" w:firstColumn="0" w:lastColumn="0" w:noHBand="0" w:noVBand="1"/>
      </w:tblPr>
      <w:tblGrid>
        <w:gridCol w:w="3529"/>
        <w:gridCol w:w="5783"/>
      </w:tblGrid>
      <w:tr w:rsidR="00AC4966" w:rsidRPr="007830C3" w14:paraId="33F33764" w14:textId="77777777" w:rsidTr="00AC4966">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60FBB8F3" w14:textId="495760C0" w:rsidR="00AC4966" w:rsidRPr="007830C3" w:rsidRDefault="00AC4966" w:rsidP="0001780F">
            <w:pPr>
              <w:pStyle w:val="BodyText"/>
              <w:spacing w:before="0" w:after="0"/>
              <w:rPr>
                <w:color w:val="auto"/>
                <w:sz w:val="28"/>
                <w:szCs w:val="28"/>
              </w:rPr>
            </w:pPr>
            <w:r w:rsidRPr="009C1E46">
              <w:rPr>
                <w:sz w:val="28"/>
                <w:szCs w:val="28"/>
              </w:rPr>
              <w:t xml:space="preserve">Basildon and Brentwood CCG – facts and figures </w:t>
            </w:r>
          </w:p>
        </w:tc>
      </w:tr>
      <w:tr w:rsidR="007830C3" w:rsidRPr="00C61709" w14:paraId="29908F82" w14:textId="77777777" w:rsidTr="00055486">
        <w:trPr>
          <w:cnfStyle w:val="000000100000" w:firstRow="0" w:lastRow="0" w:firstColumn="0" w:lastColumn="0" w:oddVBand="0" w:evenVBand="0" w:oddHBand="1" w:evenHBand="0" w:firstRowFirstColumn="0" w:firstRowLastColumn="0" w:lastRowFirstColumn="0" w:lastRowLastColumn="0"/>
          <w:trHeight w:val="490"/>
        </w:trPr>
        <w:tc>
          <w:tcPr>
            <w:tcW w:w="1895" w:type="pct"/>
          </w:tcPr>
          <w:p w14:paraId="14A0CD80" w14:textId="77777777" w:rsidR="00972C45" w:rsidRPr="00C61709" w:rsidRDefault="00972C45" w:rsidP="0001780F">
            <w:pPr>
              <w:pStyle w:val="BodyText"/>
              <w:spacing w:before="0" w:after="0"/>
              <w:rPr>
                <w:szCs w:val="24"/>
              </w:rPr>
            </w:pPr>
            <w:r w:rsidRPr="00C61709">
              <w:rPr>
                <w:szCs w:val="24"/>
              </w:rPr>
              <w:t>CCG Headquarters</w:t>
            </w:r>
          </w:p>
        </w:tc>
        <w:tc>
          <w:tcPr>
            <w:tcW w:w="3105" w:type="pct"/>
          </w:tcPr>
          <w:p w14:paraId="77F856A0" w14:textId="77777777" w:rsidR="00972C45" w:rsidRPr="00C61709" w:rsidRDefault="00972C45" w:rsidP="0001780F">
            <w:pPr>
              <w:pStyle w:val="BodyText"/>
              <w:spacing w:before="0" w:after="0"/>
              <w:rPr>
                <w:szCs w:val="24"/>
              </w:rPr>
            </w:pPr>
            <w:r w:rsidRPr="00C61709">
              <w:rPr>
                <w:szCs w:val="24"/>
              </w:rPr>
              <w:t>Phoenix Court, Christopher Martin Road, Basildon</w:t>
            </w:r>
          </w:p>
          <w:p w14:paraId="0D2041FF" w14:textId="77777777" w:rsidR="00972C45" w:rsidRPr="00C61709" w:rsidRDefault="00972C45" w:rsidP="0001780F">
            <w:pPr>
              <w:pStyle w:val="BodyText"/>
              <w:spacing w:before="0" w:after="0"/>
              <w:rPr>
                <w:szCs w:val="24"/>
              </w:rPr>
            </w:pPr>
            <w:r w:rsidRPr="00C61709">
              <w:rPr>
                <w:szCs w:val="24"/>
              </w:rPr>
              <w:t>Essex SS14 3HG</w:t>
            </w:r>
          </w:p>
        </w:tc>
      </w:tr>
      <w:tr w:rsidR="007830C3" w:rsidRPr="00C61709" w14:paraId="39D89DE1" w14:textId="77777777" w:rsidTr="00055486">
        <w:trPr>
          <w:trHeight w:val="524"/>
        </w:trPr>
        <w:tc>
          <w:tcPr>
            <w:tcW w:w="1895" w:type="pct"/>
          </w:tcPr>
          <w:p w14:paraId="29DE26B9" w14:textId="77777777" w:rsidR="00972C45" w:rsidRPr="00C61709" w:rsidRDefault="00972C45" w:rsidP="0001780F">
            <w:pPr>
              <w:pStyle w:val="BodyText"/>
              <w:spacing w:before="0" w:after="0"/>
              <w:rPr>
                <w:szCs w:val="24"/>
              </w:rPr>
            </w:pPr>
            <w:r w:rsidRPr="00C61709">
              <w:rPr>
                <w:szCs w:val="24"/>
              </w:rPr>
              <w:t>Communities covered</w:t>
            </w:r>
          </w:p>
        </w:tc>
        <w:tc>
          <w:tcPr>
            <w:tcW w:w="3105" w:type="pct"/>
          </w:tcPr>
          <w:p w14:paraId="4A805F66" w14:textId="77777777" w:rsidR="00972C45" w:rsidRPr="00C61709" w:rsidRDefault="00972C45" w:rsidP="0001780F">
            <w:pPr>
              <w:spacing w:before="0" w:after="0"/>
              <w:rPr>
                <w:szCs w:val="24"/>
              </w:rPr>
            </w:pPr>
            <w:r w:rsidRPr="00C61709">
              <w:rPr>
                <w:szCs w:val="24"/>
              </w:rPr>
              <w:t>The CCG is coterminous with Basildon and Brentwood Borough Councils</w:t>
            </w:r>
          </w:p>
        </w:tc>
      </w:tr>
      <w:tr w:rsidR="007830C3" w:rsidRPr="00C61709" w14:paraId="4FDCDB60" w14:textId="77777777" w:rsidTr="0001780F">
        <w:trPr>
          <w:cnfStyle w:val="000000100000" w:firstRow="0" w:lastRow="0" w:firstColumn="0" w:lastColumn="0" w:oddVBand="0" w:evenVBand="0" w:oddHBand="1" w:evenHBand="0" w:firstRowFirstColumn="0" w:firstRowLastColumn="0" w:lastRowFirstColumn="0" w:lastRowLastColumn="0"/>
          <w:trHeight w:val="672"/>
        </w:trPr>
        <w:tc>
          <w:tcPr>
            <w:tcW w:w="1895" w:type="pct"/>
          </w:tcPr>
          <w:p w14:paraId="462D81B3" w14:textId="0461D0FF" w:rsidR="00972C45" w:rsidRPr="00C61709" w:rsidRDefault="00972C45" w:rsidP="0001780F">
            <w:pPr>
              <w:pStyle w:val="BodyText"/>
              <w:spacing w:before="0" w:after="0"/>
              <w:rPr>
                <w:szCs w:val="24"/>
              </w:rPr>
            </w:pPr>
            <w:r w:rsidRPr="00C61709">
              <w:rPr>
                <w:szCs w:val="24"/>
              </w:rPr>
              <w:t xml:space="preserve">Population (registered with a GP) at </w:t>
            </w:r>
            <w:r w:rsidR="00FE4523" w:rsidRPr="00C61709">
              <w:rPr>
                <w:szCs w:val="24"/>
              </w:rPr>
              <w:t>31 March 2022</w:t>
            </w:r>
          </w:p>
        </w:tc>
        <w:tc>
          <w:tcPr>
            <w:tcW w:w="3105" w:type="pct"/>
          </w:tcPr>
          <w:p w14:paraId="5AD59C5F" w14:textId="064F9D90" w:rsidR="00972C45" w:rsidRPr="00C61709" w:rsidRDefault="00972C45" w:rsidP="0001780F">
            <w:pPr>
              <w:spacing w:before="0" w:after="0"/>
              <w:rPr>
                <w:szCs w:val="24"/>
              </w:rPr>
            </w:pPr>
            <w:r w:rsidRPr="00C61709">
              <w:rPr>
                <w:szCs w:val="24"/>
              </w:rPr>
              <w:t xml:space="preserve">Approx. </w:t>
            </w:r>
            <w:r w:rsidR="001907D3" w:rsidRPr="00C61709">
              <w:rPr>
                <w:szCs w:val="24"/>
              </w:rPr>
              <w:t>285,655</w:t>
            </w:r>
          </w:p>
        </w:tc>
      </w:tr>
      <w:tr w:rsidR="007830C3" w:rsidRPr="00C61709" w14:paraId="1311FB16" w14:textId="77777777" w:rsidTr="0001780F">
        <w:trPr>
          <w:trHeight w:val="672"/>
        </w:trPr>
        <w:tc>
          <w:tcPr>
            <w:tcW w:w="1895" w:type="pct"/>
          </w:tcPr>
          <w:p w14:paraId="66D8DD2C" w14:textId="77777777" w:rsidR="00972C45" w:rsidRPr="00C61709" w:rsidRDefault="00972C45" w:rsidP="0001780F">
            <w:pPr>
              <w:pStyle w:val="BodyText"/>
              <w:spacing w:before="0" w:after="0"/>
              <w:rPr>
                <w:szCs w:val="24"/>
              </w:rPr>
            </w:pPr>
            <w:r w:rsidRPr="00C61709">
              <w:rPr>
                <w:szCs w:val="24"/>
              </w:rPr>
              <w:t>Number of member GP practices at 31 March 2022</w:t>
            </w:r>
          </w:p>
        </w:tc>
        <w:tc>
          <w:tcPr>
            <w:tcW w:w="3105" w:type="pct"/>
          </w:tcPr>
          <w:p w14:paraId="28A9BF05" w14:textId="77777777" w:rsidR="00972C45" w:rsidRPr="00C61709" w:rsidRDefault="00972C45" w:rsidP="0001780F">
            <w:pPr>
              <w:pStyle w:val="BodyText"/>
              <w:spacing w:before="0" w:after="0"/>
              <w:rPr>
                <w:szCs w:val="24"/>
              </w:rPr>
            </w:pPr>
            <w:r w:rsidRPr="00C61709">
              <w:rPr>
                <w:szCs w:val="24"/>
              </w:rPr>
              <w:t>35</w:t>
            </w:r>
          </w:p>
        </w:tc>
      </w:tr>
      <w:tr w:rsidR="007830C3" w:rsidRPr="00C61709" w14:paraId="1C1FD6A0" w14:textId="77777777" w:rsidTr="0001780F">
        <w:trPr>
          <w:cnfStyle w:val="000000100000" w:firstRow="0" w:lastRow="0" w:firstColumn="0" w:lastColumn="0" w:oddVBand="0" w:evenVBand="0" w:oddHBand="1" w:evenHBand="0" w:firstRowFirstColumn="0" w:firstRowLastColumn="0" w:lastRowFirstColumn="0" w:lastRowLastColumn="0"/>
          <w:trHeight w:val="672"/>
        </w:trPr>
        <w:tc>
          <w:tcPr>
            <w:tcW w:w="1895" w:type="pct"/>
          </w:tcPr>
          <w:p w14:paraId="33DA2D6C" w14:textId="77777777" w:rsidR="00972C45" w:rsidRPr="00C61709" w:rsidRDefault="00972C45" w:rsidP="0001780F">
            <w:pPr>
              <w:pStyle w:val="BodyText"/>
              <w:spacing w:before="0" w:after="0"/>
              <w:rPr>
                <w:szCs w:val="24"/>
              </w:rPr>
            </w:pPr>
            <w:r w:rsidRPr="00C61709">
              <w:rPr>
                <w:szCs w:val="24"/>
              </w:rPr>
              <w:t>Expenditure for 2021/22</w:t>
            </w:r>
          </w:p>
        </w:tc>
        <w:tc>
          <w:tcPr>
            <w:tcW w:w="3105" w:type="pct"/>
          </w:tcPr>
          <w:p w14:paraId="540D4513" w14:textId="1F27C246" w:rsidR="00972C45" w:rsidRPr="00293377" w:rsidRDefault="00293377" w:rsidP="0001780F">
            <w:pPr>
              <w:spacing w:before="0" w:after="0"/>
              <w:rPr>
                <w:szCs w:val="24"/>
              </w:rPr>
            </w:pPr>
            <w:r w:rsidRPr="00293377">
              <w:t xml:space="preserve">£431.652m </w:t>
            </w:r>
            <w:r w:rsidR="00972C45" w:rsidRPr="00293377">
              <w:rPr>
                <w:szCs w:val="24"/>
              </w:rPr>
              <w:t xml:space="preserve">for healthcare services and a further </w:t>
            </w:r>
            <w:r w:rsidRPr="00293377">
              <w:t xml:space="preserve">£5.279m </w:t>
            </w:r>
            <w:r w:rsidR="00972C45" w:rsidRPr="00293377">
              <w:rPr>
                <w:szCs w:val="24"/>
              </w:rPr>
              <w:t xml:space="preserve">for running costs, totalling </w:t>
            </w:r>
            <w:r w:rsidRPr="00293377">
              <w:t>£436.931m</w:t>
            </w:r>
          </w:p>
        </w:tc>
      </w:tr>
      <w:tr w:rsidR="007830C3" w:rsidRPr="00C61709" w14:paraId="30717169" w14:textId="77777777" w:rsidTr="0001780F">
        <w:trPr>
          <w:trHeight w:val="427"/>
        </w:trPr>
        <w:tc>
          <w:tcPr>
            <w:tcW w:w="1895" w:type="pct"/>
          </w:tcPr>
          <w:p w14:paraId="0C79811C" w14:textId="77777777" w:rsidR="00972C45" w:rsidRPr="00C61709" w:rsidRDefault="00972C45" w:rsidP="0001780F">
            <w:pPr>
              <w:pStyle w:val="BodyText"/>
              <w:spacing w:before="0" w:after="0"/>
              <w:rPr>
                <w:szCs w:val="24"/>
              </w:rPr>
            </w:pPr>
            <w:r w:rsidRPr="00C61709">
              <w:rPr>
                <w:szCs w:val="24"/>
              </w:rPr>
              <w:t>Average number of employees</w:t>
            </w:r>
          </w:p>
        </w:tc>
        <w:tc>
          <w:tcPr>
            <w:tcW w:w="3105" w:type="pct"/>
          </w:tcPr>
          <w:p w14:paraId="2C5ABF81" w14:textId="31B41021" w:rsidR="00972C45" w:rsidRPr="00C61709" w:rsidRDefault="002D6F92" w:rsidP="0001780F">
            <w:pPr>
              <w:pStyle w:val="BodyText"/>
              <w:spacing w:before="0" w:after="0"/>
              <w:rPr>
                <w:szCs w:val="24"/>
              </w:rPr>
            </w:pPr>
            <w:r>
              <w:rPr>
                <w:szCs w:val="24"/>
              </w:rPr>
              <w:t>77</w:t>
            </w:r>
          </w:p>
        </w:tc>
      </w:tr>
    </w:tbl>
    <w:p w14:paraId="1FD3DD2C" w14:textId="36B328C5" w:rsidR="00102F36" w:rsidRPr="00B340F0" w:rsidRDefault="00102F36" w:rsidP="00C61709">
      <w:pPr>
        <w:pStyle w:val="Heading3"/>
        <w:spacing w:before="600"/>
      </w:pPr>
      <w:bookmarkStart w:id="25" w:name="_Toc107389437"/>
      <w:bookmarkStart w:id="26" w:name="_Toc94188170"/>
      <w:bookmarkStart w:id="27" w:name="_Toc97218314"/>
      <w:bookmarkEnd w:id="24"/>
      <w:r w:rsidRPr="00B340F0">
        <w:lastRenderedPageBreak/>
        <w:t>Our Strategy</w:t>
      </w:r>
      <w:bookmarkEnd w:id="25"/>
    </w:p>
    <w:p w14:paraId="1DD8B069" w14:textId="77777777" w:rsidR="00102F36" w:rsidRPr="00565540" w:rsidRDefault="00102F36" w:rsidP="00102F36">
      <w:pPr>
        <w:pStyle w:val="BodyText"/>
      </w:pPr>
      <w:r>
        <w:t xml:space="preserve">The MSE Health &amp; Care Partnership developed its five year strategy in December 2019.  </w:t>
      </w:r>
      <w:r w:rsidRPr="00565540">
        <w:t xml:space="preserve">The strategy </w:t>
      </w:r>
      <w:r>
        <w:t xml:space="preserve">outlines </w:t>
      </w:r>
      <w:r w:rsidRPr="00565540">
        <w:t xml:space="preserve">4 key ambitions, with the underpinning aim to </w:t>
      </w:r>
      <w:r w:rsidRPr="00565540">
        <w:rPr>
          <w:b/>
          <w:bCs/>
        </w:rPr>
        <w:t xml:space="preserve">reduce health inequalities.  </w:t>
      </w:r>
      <w:r w:rsidRPr="00565540">
        <w:t>The strategy outline</w:t>
      </w:r>
      <w:r>
        <w:t>s</w:t>
      </w:r>
      <w:r w:rsidRPr="00565540">
        <w:t xml:space="preserve"> that we would achieve this through:</w:t>
      </w:r>
    </w:p>
    <w:p w14:paraId="1CF4744E" w14:textId="77777777" w:rsidR="00102F36" w:rsidRPr="00565540" w:rsidRDefault="00102F36" w:rsidP="00630A35">
      <w:pPr>
        <w:pStyle w:val="BodyText"/>
        <w:numPr>
          <w:ilvl w:val="0"/>
          <w:numId w:val="10"/>
        </w:numPr>
        <w:spacing w:before="360"/>
      </w:pPr>
      <w:r w:rsidRPr="00B5279C">
        <w:rPr>
          <w:b/>
        </w:rPr>
        <w:t>Creating opportunity for our residents</w:t>
      </w:r>
      <w:r w:rsidRPr="00565540">
        <w:t xml:space="preserve"> – supporting education, employment and socio-economic improvements for our residents</w:t>
      </w:r>
      <w:r>
        <w:t xml:space="preserve">.  </w:t>
      </w:r>
      <w:r w:rsidRPr="00565540">
        <w:t xml:space="preserve">We have developed this ambition further - for example, extending the successful work led by MSEFT on hospitals as Anchor institutions, and achieving agreement to a system-wide Anchor Charter in 2021. </w:t>
      </w:r>
    </w:p>
    <w:p w14:paraId="691E84BD" w14:textId="77777777" w:rsidR="00102F36" w:rsidRPr="00565540" w:rsidRDefault="00102F36" w:rsidP="00630A35">
      <w:pPr>
        <w:pStyle w:val="BodyText"/>
        <w:numPr>
          <w:ilvl w:val="0"/>
          <w:numId w:val="10"/>
        </w:numPr>
        <w:spacing w:before="360"/>
      </w:pPr>
      <w:r w:rsidRPr="00B5279C">
        <w:rPr>
          <w:b/>
        </w:rPr>
        <w:t>Supporting health and wellbeing</w:t>
      </w:r>
      <w:r w:rsidRPr="00565540">
        <w:t xml:space="preserve"> – including a focus on prevention, self-care, lifestyle support.  We have undertaken much work in this area – particularly through the Covid pandemic, where we were able to use targeted engagement techniques to link with different communities, understanding their needs and barriers to accessing care, vaccinations and so on.  We have also continued to work in partnership to target prevention opportunities and we have agreed with public health colleagues to focus particularly on obesity in the coming months</w:t>
      </w:r>
    </w:p>
    <w:p w14:paraId="52D72D89" w14:textId="77777777" w:rsidR="00102F36" w:rsidRPr="00565540" w:rsidRDefault="00102F36" w:rsidP="00630A35">
      <w:pPr>
        <w:pStyle w:val="BodyText"/>
        <w:numPr>
          <w:ilvl w:val="0"/>
          <w:numId w:val="10"/>
        </w:numPr>
        <w:spacing w:before="360"/>
      </w:pPr>
      <w:r w:rsidRPr="00B5279C">
        <w:rPr>
          <w:b/>
        </w:rPr>
        <w:t>Bringing Care Closer to Home</w:t>
      </w:r>
      <w:r w:rsidRPr="00565540">
        <w:t xml:space="preserve"> – where this is safe and possible.  Again, we have seen many examples of this, with our Covid vaccination van that has now been transformed to a “long-Covid van”, taking assessment and testing to our communities.  We are progressing with the integrated medical centres in Thurrock, again as a new model of care to bring services closer to home.</w:t>
      </w:r>
    </w:p>
    <w:p w14:paraId="23FAC9AC" w14:textId="77777777" w:rsidR="00102F36" w:rsidRPr="00565540" w:rsidRDefault="00102F36" w:rsidP="00630A35">
      <w:pPr>
        <w:pStyle w:val="BodyText"/>
        <w:numPr>
          <w:ilvl w:val="0"/>
          <w:numId w:val="10"/>
        </w:numPr>
        <w:spacing w:before="360"/>
      </w:pPr>
      <w:r w:rsidRPr="00B5279C">
        <w:rPr>
          <w:b/>
        </w:rPr>
        <w:t>Improving and Transforming our Services</w:t>
      </w:r>
      <w:r w:rsidRPr="00565540">
        <w:t xml:space="preserve"> – we know that our services are under considerable pressure and we are not providing the level or quality of service that we would like. There are several transformation programmes progressing, underpinned by system working on workforce, digital, and finance to bring improvements in primary care, cancer care, elective recovery, urgent care, community diagnostics, flow through the system and care arrangements.   Our Stewardship programme will be key in our future approach to service improvement and transformation. </w:t>
      </w:r>
    </w:p>
    <w:p w14:paraId="67178A59" w14:textId="59CBED18" w:rsidR="00102F36" w:rsidRPr="00565540" w:rsidRDefault="00102F36" w:rsidP="00630A35">
      <w:pPr>
        <w:pStyle w:val="BodyText"/>
        <w:spacing w:before="360"/>
      </w:pPr>
      <w:r>
        <w:t xml:space="preserve">While </w:t>
      </w:r>
      <w:r w:rsidRPr="00565540">
        <w:t>the strategy was set in the pre-Covid era, we consider that the key ambitions have stood the test of time and have underpinned our partnership working during the pandemic.</w:t>
      </w:r>
    </w:p>
    <w:p w14:paraId="774C87FB" w14:textId="528374C8" w:rsidR="0043656F" w:rsidRDefault="00102F36" w:rsidP="00630A35">
      <w:pPr>
        <w:pStyle w:val="BodyText"/>
      </w:pPr>
      <w:r w:rsidRPr="00565540">
        <w:t xml:space="preserve">We will therefore take the </w:t>
      </w:r>
      <w:r w:rsidR="006D03DF">
        <w:t>five</w:t>
      </w:r>
      <w:r w:rsidR="006D03DF" w:rsidRPr="00565540">
        <w:t xml:space="preserve"> </w:t>
      </w:r>
      <w:r w:rsidRPr="00565540">
        <w:t xml:space="preserve">year strategy into the new ICS and use the early period of </w:t>
      </w:r>
      <w:r w:rsidR="00FE4523">
        <w:t>Integrated Care Partnership (</w:t>
      </w:r>
      <w:r w:rsidRPr="00565540">
        <w:t>ICP</w:t>
      </w:r>
      <w:r w:rsidR="00FE4523">
        <w:t>)</w:t>
      </w:r>
      <w:r w:rsidRPr="00565540">
        <w:t xml:space="preserve"> formation to begin work to develop the Integr</w:t>
      </w:r>
      <w:r>
        <w:t xml:space="preserve">ated Care Strategy – taking our local authority </w:t>
      </w:r>
      <w:r w:rsidR="00FE4523">
        <w:t>Joint Strategic Needs Assessments (</w:t>
      </w:r>
      <w:r w:rsidRPr="00565540">
        <w:t>JSNAs</w:t>
      </w:r>
      <w:r w:rsidR="00FE4523">
        <w:t>)</w:t>
      </w:r>
      <w:r w:rsidRPr="00565540">
        <w:t xml:space="preserve"> and health and wellbeing strategies to develop a single strategy for Mid &amp; South Essex</w:t>
      </w:r>
      <w:r>
        <w:t xml:space="preserve">. </w:t>
      </w:r>
      <w:r w:rsidR="0043656F">
        <w:t xml:space="preserve"> </w:t>
      </w:r>
    </w:p>
    <w:p w14:paraId="46221696" w14:textId="0BF80714" w:rsidR="0043656F" w:rsidRDefault="0043656F" w:rsidP="00630A35">
      <w:pPr>
        <w:spacing w:before="360"/>
        <w:rPr>
          <w:rFonts w:cs="Arial"/>
          <w:szCs w:val="24"/>
        </w:rPr>
      </w:pPr>
      <w:r w:rsidRPr="0043656F">
        <w:rPr>
          <w:rFonts w:cs="Arial"/>
          <w:szCs w:val="24"/>
        </w:rPr>
        <w:t>A joint strategic needs assessment (JSNA) looks at the current and future health and care needs of local populations to inform planning and commissioning of health, well-</w:t>
      </w:r>
      <w:r w:rsidRPr="0043656F">
        <w:rPr>
          <w:rFonts w:cs="Arial"/>
          <w:szCs w:val="24"/>
        </w:rPr>
        <w:lastRenderedPageBreak/>
        <w:t>being and social care services.  They are often, but not always, lead by the local authority(ies) of an area but do require participation from all appropriate partners to:</w:t>
      </w:r>
    </w:p>
    <w:p w14:paraId="24C94D8A" w14:textId="77777777" w:rsidR="0043656F" w:rsidRPr="0043656F" w:rsidRDefault="0043656F" w:rsidP="00630A35">
      <w:pPr>
        <w:pStyle w:val="ListParagraph"/>
        <w:numPr>
          <w:ilvl w:val="0"/>
          <w:numId w:val="28"/>
        </w:numPr>
        <w:spacing w:before="0" w:after="0" w:line="360" w:lineRule="auto"/>
        <w:contextualSpacing w:val="0"/>
        <w:rPr>
          <w:rFonts w:eastAsia="Times New Roman"/>
        </w:rPr>
      </w:pPr>
      <w:r w:rsidRPr="0043656F">
        <w:rPr>
          <w:rFonts w:eastAsia="Times New Roman" w:cs="Arial"/>
          <w:szCs w:val="24"/>
        </w:rPr>
        <w:t>Collect, analyse and interpret health and care needs information.</w:t>
      </w:r>
    </w:p>
    <w:p w14:paraId="59B060D4" w14:textId="77777777" w:rsidR="0043656F" w:rsidRPr="0043656F" w:rsidRDefault="0043656F" w:rsidP="00630A35">
      <w:pPr>
        <w:pStyle w:val="ListParagraph"/>
        <w:numPr>
          <w:ilvl w:val="0"/>
          <w:numId w:val="28"/>
        </w:numPr>
        <w:spacing w:before="0" w:after="0" w:line="360" w:lineRule="auto"/>
        <w:contextualSpacing w:val="0"/>
        <w:rPr>
          <w:rFonts w:eastAsia="Times New Roman"/>
        </w:rPr>
      </w:pPr>
      <w:r w:rsidRPr="0043656F">
        <w:rPr>
          <w:rFonts w:eastAsia="Times New Roman" w:cs="Arial"/>
          <w:szCs w:val="24"/>
        </w:rPr>
        <w:t>Participate in engagement work between partners or with the population.</w:t>
      </w:r>
    </w:p>
    <w:p w14:paraId="5E7F799C" w14:textId="77777777" w:rsidR="0043656F" w:rsidRPr="0043656F" w:rsidRDefault="0043656F" w:rsidP="00630A35">
      <w:pPr>
        <w:pStyle w:val="ListParagraph"/>
        <w:numPr>
          <w:ilvl w:val="0"/>
          <w:numId w:val="28"/>
        </w:numPr>
        <w:spacing w:before="0" w:after="0" w:line="360" w:lineRule="auto"/>
        <w:contextualSpacing w:val="0"/>
        <w:rPr>
          <w:rFonts w:eastAsia="Times New Roman"/>
        </w:rPr>
      </w:pPr>
      <w:r w:rsidRPr="0043656F">
        <w:rPr>
          <w:rFonts w:eastAsia="Times New Roman" w:cs="Arial"/>
          <w:szCs w:val="24"/>
        </w:rPr>
        <w:t>Follow up and implement recommendations.</w:t>
      </w:r>
    </w:p>
    <w:p w14:paraId="5B693248" w14:textId="77777777" w:rsidR="0043656F" w:rsidRPr="004764C7" w:rsidRDefault="0043656F" w:rsidP="00630A35">
      <w:pPr>
        <w:spacing w:before="360"/>
      </w:pPr>
      <w:r w:rsidRPr="0043656F">
        <w:rPr>
          <w:rFonts w:cs="Arial"/>
          <w:szCs w:val="24"/>
        </w:rPr>
        <w:t>As a partner in the provision of health and care services to the population PCNs will be expected to fully participate and help shape, where appropriate, in the production of these needs assessments.</w:t>
      </w:r>
      <w:r w:rsidRPr="004764C7">
        <w:rPr>
          <w:rFonts w:cs="Arial"/>
          <w:szCs w:val="24"/>
        </w:rPr>
        <w:t xml:space="preserve"> </w:t>
      </w:r>
    </w:p>
    <w:p w14:paraId="0D236163" w14:textId="2BD7AF74" w:rsidR="00102F36" w:rsidRDefault="00102F36" w:rsidP="00630A35">
      <w:pPr>
        <w:pStyle w:val="BodyText"/>
      </w:pPr>
      <w:r w:rsidRPr="00565540">
        <w:t>The plan for achieving this, by April 2023, will be agreed with the ICP once it is formed. </w:t>
      </w:r>
      <w:r w:rsidR="006D03DF">
        <w:t xml:space="preserve">See </w:t>
      </w:r>
      <w:r w:rsidR="006D03DF" w:rsidRPr="007B70C6">
        <w:t>page 1</w:t>
      </w:r>
      <w:r w:rsidR="00BC3673">
        <w:t>4</w:t>
      </w:r>
      <w:r w:rsidR="006D03DF" w:rsidRPr="007B70C6">
        <w:t>.</w:t>
      </w:r>
      <w:r w:rsidRPr="00565540">
        <w:t xml:space="preserve"> </w:t>
      </w:r>
    </w:p>
    <w:p w14:paraId="17D7CFA0" w14:textId="1D80D264" w:rsidR="00102F36" w:rsidRPr="00565540" w:rsidRDefault="00102F36" w:rsidP="004825FE">
      <w:pPr>
        <w:pStyle w:val="BodyText"/>
        <w:spacing w:after="120"/>
      </w:pPr>
      <w:r w:rsidRPr="00565540">
        <w:t>We have been clear that we want the hallmarks of our ICS to be:</w:t>
      </w:r>
    </w:p>
    <w:p w14:paraId="4D44E086" w14:textId="77777777" w:rsidR="00102F36" w:rsidRPr="00565540" w:rsidRDefault="00102F36" w:rsidP="000D3041">
      <w:pPr>
        <w:pStyle w:val="BodyText"/>
        <w:numPr>
          <w:ilvl w:val="0"/>
          <w:numId w:val="10"/>
        </w:numPr>
        <w:spacing w:before="120" w:after="120"/>
      </w:pPr>
      <w:r w:rsidRPr="00565540">
        <w:t>Evidence and data driven</w:t>
      </w:r>
    </w:p>
    <w:p w14:paraId="666665BF" w14:textId="77777777" w:rsidR="00102F36" w:rsidRPr="00565540" w:rsidRDefault="00102F36" w:rsidP="000D3041">
      <w:pPr>
        <w:pStyle w:val="BodyText"/>
        <w:numPr>
          <w:ilvl w:val="0"/>
          <w:numId w:val="10"/>
        </w:numPr>
        <w:spacing w:before="0" w:after="0"/>
      </w:pPr>
      <w:r w:rsidRPr="00565540">
        <w:t>Have a true partnership with our communities and use their lived experience and insight to help us shape our work</w:t>
      </w:r>
    </w:p>
    <w:p w14:paraId="015A2DE7" w14:textId="030169E9" w:rsidR="00102F36" w:rsidRDefault="00102F36" w:rsidP="000D3041">
      <w:pPr>
        <w:pStyle w:val="BodyText"/>
        <w:numPr>
          <w:ilvl w:val="0"/>
          <w:numId w:val="10"/>
        </w:numPr>
        <w:spacing w:before="120" w:after="120"/>
      </w:pPr>
      <w:r w:rsidRPr="00565540">
        <w:t xml:space="preserve">Ensure clinical and care professionals are leading strategy formation and supporting decision-making </w:t>
      </w:r>
    </w:p>
    <w:p w14:paraId="6848B555" w14:textId="77777777" w:rsidR="00055486" w:rsidRDefault="00055486" w:rsidP="00055486">
      <w:pPr>
        <w:pStyle w:val="BodyText"/>
        <w:spacing w:before="120" w:after="120"/>
        <w:ind w:left="360"/>
      </w:pPr>
    </w:p>
    <w:p w14:paraId="358CCB0F" w14:textId="77777777" w:rsidR="00102F36" w:rsidRDefault="00102F36" w:rsidP="00DE6FF6">
      <w:pPr>
        <w:pStyle w:val="Heading3"/>
      </w:pPr>
      <w:bookmarkStart w:id="28" w:name="_Toc94188169"/>
      <w:bookmarkStart w:id="29" w:name="_Toc107389438"/>
      <w:r>
        <w:t>Mid and South Essex Health and Care Partnership</w:t>
      </w:r>
      <w:bookmarkEnd w:id="28"/>
      <w:bookmarkEnd w:id="29"/>
    </w:p>
    <w:p w14:paraId="7556C434" w14:textId="62A87C35" w:rsidR="00102F36" w:rsidRDefault="00102F36" w:rsidP="00102F36">
      <w:r>
        <w:t>Key activities in 202</w:t>
      </w:r>
      <w:r w:rsidR="006D03DF">
        <w:t>1/22</w:t>
      </w:r>
      <w:r>
        <w:t>and progress towards establishment of an ICB/ICP</w:t>
      </w:r>
    </w:p>
    <w:p w14:paraId="1CB20337" w14:textId="74B1D6A4" w:rsidR="00102F36" w:rsidRDefault="00102F36" w:rsidP="00102F36">
      <w:r>
        <w:t>Over 202</w:t>
      </w:r>
      <w:r w:rsidR="006D03DF">
        <w:t>1/22</w:t>
      </w:r>
      <w:r>
        <w:t>the system has progressed towards establishment of the ICS by:</w:t>
      </w:r>
    </w:p>
    <w:p w14:paraId="7432266D" w14:textId="77777777" w:rsidR="00102F36" w:rsidRDefault="00102F36" w:rsidP="000D3041">
      <w:pPr>
        <w:pStyle w:val="ListParagraph"/>
        <w:numPr>
          <w:ilvl w:val="0"/>
          <w:numId w:val="10"/>
        </w:numPr>
      </w:pPr>
      <w:r>
        <w:t>Submitting a successful application to be formally designated as an Integrated Care System</w:t>
      </w:r>
    </w:p>
    <w:p w14:paraId="42F90E72" w14:textId="77777777" w:rsidR="00102F36" w:rsidRDefault="00102F36" w:rsidP="000D3041">
      <w:pPr>
        <w:pStyle w:val="ListParagraph"/>
        <w:numPr>
          <w:ilvl w:val="0"/>
          <w:numId w:val="10"/>
        </w:numPr>
      </w:pPr>
      <w:r>
        <w:t>Refreshed our primary care strategy and established PCN support programmes</w:t>
      </w:r>
    </w:p>
    <w:p w14:paraId="67AC0626" w14:textId="4B691F71" w:rsidR="00102F36" w:rsidRDefault="00102F36" w:rsidP="000D3041">
      <w:pPr>
        <w:pStyle w:val="ListParagraph"/>
        <w:numPr>
          <w:ilvl w:val="0"/>
          <w:numId w:val="10"/>
        </w:numPr>
      </w:pPr>
      <w:r>
        <w:t xml:space="preserve">Further established our population health management capacity and engaged with a national </w:t>
      </w:r>
      <w:r w:rsidR="006D03DF">
        <w:t>Population Health Management (</w:t>
      </w:r>
      <w:r>
        <w:t>PHM</w:t>
      </w:r>
      <w:r w:rsidR="006D03DF">
        <w:t>)</w:t>
      </w:r>
      <w:r>
        <w:t xml:space="preserve"> programme to support turning data into intelligence to design interventions through our PCNs</w:t>
      </w:r>
    </w:p>
    <w:p w14:paraId="4D74DEBC" w14:textId="77777777" w:rsidR="00102F36" w:rsidRDefault="00102F36" w:rsidP="000D3041">
      <w:pPr>
        <w:pStyle w:val="ListParagraph"/>
        <w:numPr>
          <w:ilvl w:val="0"/>
          <w:numId w:val="10"/>
        </w:numPr>
      </w:pPr>
      <w:r>
        <w:t>Our four Alliances have agreed their initial delivery plans to support their local populations, working in partnership with local authority, Healthwatch and community and voluntary sector organisations</w:t>
      </w:r>
    </w:p>
    <w:p w14:paraId="1791A09A" w14:textId="6584462A" w:rsidR="00102F36" w:rsidRDefault="00102F36" w:rsidP="000D3041">
      <w:pPr>
        <w:pStyle w:val="ListParagraph"/>
        <w:numPr>
          <w:ilvl w:val="0"/>
          <w:numId w:val="10"/>
        </w:numPr>
      </w:pPr>
      <w:r>
        <w:t xml:space="preserve">Developing a data and digital roadmap to transform our digital and data capacity and capability – and we have employed a Chief Digital Information Officer </w:t>
      </w:r>
      <w:r w:rsidR="006D03DF">
        <w:t xml:space="preserve">to enable </w:t>
      </w:r>
      <w:r>
        <w:t>the ICS to move forward on this important work that will underpin everything we do</w:t>
      </w:r>
    </w:p>
    <w:p w14:paraId="48CAE04D" w14:textId="77777777" w:rsidR="00102F36" w:rsidRDefault="00102F36" w:rsidP="000D3041">
      <w:pPr>
        <w:pStyle w:val="ListParagraph"/>
        <w:numPr>
          <w:ilvl w:val="0"/>
          <w:numId w:val="10"/>
        </w:numPr>
      </w:pPr>
      <w:r>
        <w:t>Agreeing an engagement strategy that defines how we will gain and use insight from our communities in the work that we do.</w:t>
      </w:r>
    </w:p>
    <w:p w14:paraId="2A0BD832" w14:textId="77777777" w:rsidR="00102F36" w:rsidRDefault="00102F36" w:rsidP="000D3041">
      <w:pPr>
        <w:pStyle w:val="ListParagraph"/>
        <w:numPr>
          <w:ilvl w:val="0"/>
          <w:numId w:val="10"/>
        </w:numPr>
      </w:pPr>
      <w:r>
        <w:t xml:space="preserve">Launched the Citizens’ Panel, of 1500 residents, with whom we share ideas and obtain insights to help us design services appropriately. </w:t>
      </w:r>
    </w:p>
    <w:p w14:paraId="2371B10F" w14:textId="34D1AEEC" w:rsidR="00102F36" w:rsidRDefault="00102F36" w:rsidP="000D3041">
      <w:pPr>
        <w:pStyle w:val="ListParagraph"/>
        <w:numPr>
          <w:ilvl w:val="0"/>
          <w:numId w:val="10"/>
        </w:numPr>
      </w:pPr>
      <w:r>
        <w:lastRenderedPageBreak/>
        <w:t xml:space="preserve">Developed and agreed a system wide quality strategy, bringing together all aspects of the </w:t>
      </w:r>
      <w:r w:rsidR="006D03DF">
        <w:t xml:space="preserve">health </w:t>
      </w:r>
      <w:r>
        <w:t>system.</w:t>
      </w:r>
    </w:p>
    <w:p w14:paraId="5BA25D72" w14:textId="77777777" w:rsidR="00102F36" w:rsidRDefault="00102F36" w:rsidP="000D3041">
      <w:pPr>
        <w:pStyle w:val="ListParagraph"/>
        <w:numPr>
          <w:ilvl w:val="0"/>
          <w:numId w:val="10"/>
        </w:numPr>
      </w:pPr>
      <w:r>
        <w:t>Further developed our system finance approach through the System Finance Leaders Group</w:t>
      </w:r>
    </w:p>
    <w:p w14:paraId="7EE7C5D0" w14:textId="74D2726E" w:rsidR="00102F36" w:rsidRDefault="00102F36" w:rsidP="000D3041">
      <w:pPr>
        <w:pStyle w:val="ListParagraph"/>
        <w:numPr>
          <w:ilvl w:val="0"/>
          <w:numId w:val="10"/>
        </w:numPr>
      </w:pPr>
      <w:r>
        <w:t xml:space="preserve">Embedded joint accountability and assurance through our System Oversight and Assurance Group, co-chaired by the Accountable Officer and the </w:t>
      </w:r>
      <w:r w:rsidR="006D03DF">
        <w:t xml:space="preserve">NHSE </w:t>
      </w:r>
      <w:r>
        <w:t>Regional Director for Strategy and Transformation – and further developed our embedded assurance model with NHSE colleagues so as to reduce traditional transactional assurance processes between the system and NHSE.</w:t>
      </w:r>
    </w:p>
    <w:p w14:paraId="1C9CAFE1" w14:textId="77777777" w:rsidR="00102F36" w:rsidRDefault="00102F36" w:rsidP="000D3041">
      <w:pPr>
        <w:pStyle w:val="ListParagraph"/>
        <w:numPr>
          <w:ilvl w:val="0"/>
          <w:numId w:val="10"/>
        </w:numPr>
      </w:pPr>
      <w:r>
        <w:t xml:space="preserve">Developed a new approach to clinical and professional leadership, including introducing a new clinical and professional congress to support the ICS to ensure the expertise of clinicians and care professionals is at the heart of our work. </w:t>
      </w:r>
    </w:p>
    <w:p w14:paraId="42141332" w14:textId="77777777" w:rsidR="00102F36" w:rsidRDefault="00102F36" w:rsidP="000D3041">
      <w:pPr>
        <w:pStyle w:val="ListParagraph"/>
        <w:numPr>
          <w:ilvl w:val="0"/>
          <w:numId w:val="10"/>
        </w:numPr>
      </w:pPr>
      <w:r>
        <w:t>Launched MSE Partners as a means to supporting innovation and improvement.</w:t>
      </w:r>
    </w:p>
    <w:p w14:paraId="17313172" w14:textId="77777777" w:rsidR="00102F36" w:rsidRPr="00055486" w:rsidRDefault="00102F36" w:rsidP="00630A35">
      <w:pPr>
        <w:spacing w:before="480"/>
        <w:rPr>
          <w:b/>
          <w:bCs/>
        </w:rPr>
      </w:pPr>
      <w:r w:rsidRPr="00055486">
        <w:rPr>
          <w:b/>
          <w:bCs/>
        </w:rPr>
        <w:t>Establishing the ICS</w:t>
      </w:r>
    </w:p>
    <w:p w14:paraId="55429271" w14:textId="1E84AB60" w:rsidR="00102F36" w:rsidRDefault="00102F36" w:rsidP="00102F36">
      <w:r>
        <w:t>In terms of preparing for forthcoming legislation to form the ICS on a statutory footing (which has a national target date of 1 July 2022), we have introduced an ICS Transition Programme Board with seven workstreams to manage and oversee the technical aspects for development of the ICS including the disestablishment of CCGs and the commencement of the new I</w:t>
      </w:r>
      <w:r w:rsidR="006D03DF">
        <w:t xml:space="preserve">ntegrated </w:t>
      </w:r>
      <w:r>
        <w:t>C</w:t>
      </w:r>
      <w:r w:rsidR="006D03DF">
        <w:t xml:space="preserve">are </w:t>
      </w:r>
      <w:r>
        <w:t>B</w:t>
      </w:r>
      <w:r w:rsidR="006D03DF">
        <w:t>oard (ICB)</w:t>
      </w:r>
      <w:r>
        <w:t xml:space="preserve"> as an organisation. The work streams are:</w:t>
      </w:r>
    </w:p>
    <w:p w14:paraId="75F8E372" w14:textId="77777777" w:rsidR="00102F36" w:rsidRDefault="00102F36" w:rsidP="000D3041">
      <w:pPr>
        <w:pStyle w:val="ListParagraph"/>
        <w:numPr>
          <w:ilvl w:val="0"/>
          <w:numId w:val="10"/>
        </w:numPr>
      </w:pPr>
      <w:r>
        <w:t>Quality and safety</w:t>
      </w:r>
    </w:p>
    <w:p w14:paraId="683A89EB" w14:textId="77777777" w:rsidR="00102F36" w:rsidRDefault="00102F36" w:rsidP="000D3041">
      <w:pPr>
        <w:pStyle w:val="ListParagraph"/>
        <w:numPr>
          <w:ilvl w:val="0"/>
          <w:numId w:val="10"/>
        </w:numPr>
      </w:pPr>
      <w:r>
        <w:t>Finance and resources</w:t>
      </w:r>
    </w:p>
    <w:p w14:paraId="28C9DFCD" w14:textId="77777777" w:rsidR="00102F36" w:rsidRDefault="00102F36" w:rsidP="000D3041">
      <w:pPr>
        <w:pStyle w:val="ListParagraph"/>
        <w:numPr>
          <w:ilvl w:val="0"/>
          <w:numId w:val="10"/>
        </w:numPr>
      </w:pPr>
      <w:r>
        <w:t>Governance and accountability</w:t>
      </w:r>
    </w:p>
    <w:p w14:paraId="639B96BC" w14:textId="77777777" w:rsidR="00102F36" w:rsidRDefault="00102F36" w:rsidP="000D3041">
      <w:pPr>
        <w:pStyle w:val="ListParagraph"/>
        <w:numPr>
          <w:ilvl w:val="0"/>
          <w:numId w:val="10"/>
        </w:numPr>
      </w:pPr>
      <w:r>
        <w:t>Data and digital</w:t>
      </w:r>
    </w:p>
    <w:p w14:paraId="62F28D46" w14:textId="77777777" w:rsidR="00102F36" w:rsidRDefault="00102F36" w:rsidP="000D3041">
      <w:pPr>
        <w:pStyle w:val="ListParagraph"/>
        <w:numPr>
          <w:ilvl w:val="0"/>
          <w:numId w:val="10"/>
        </w:numPr>
      </w:pPr>
      <w:r>
        <w:t>Communications and engagement</w:t>
      </w:r>
    </w:p>
    <w:p w14:paraId="0E22B49D" w14:textId="77777777" w:rsidR="00102F36" w:rsidRDefault="00102F36" w:rsidP="000D3041">
      <w:pPr>
        <w:pStyle w:val="ListParagraph"/>
        <w:numPr>
          <w:ilvl w:val="0"/>
          <w:numId w:val="10"/>
        </w:numPr>
      </w:pPr>
      <w:r>
        <w:t>Workforce</w:t>
      </w:r>
    </w:p>
    <w:p w14:paraId="64779A03" w14:textId="486165BB" w:rsidR="00102F36" w:rsidRDefault="00102F36" w:rsidP="000D3041">
      <w:pPr>
        <w:pStyle w:val="ListParagraph"/>
        <w:numPr>
          <w:ilvl w:val="0"/>
          <w:numId w:val="10"/>
        </w:numPr>
      </w:pPr>
      <w:r>
        <w:t xml:space="preserve">Future system operating model </w:t>
      </w:r>
    </w:p>
    <w:p w14:paraId="5B889E55" w14:textId="77777777" w:rsidR="00055486" w:rsidRDefault="00055486" w:rsidP="00055486">
      <w:pPr>
        <w:pStyle w:val="ListParagraph"/>
      </w:pPr>
    </w:p>
    <w:p w14:paraId="5B5C6105" w14:textId="77777777" w:rsidR="00102F36" w:rsidRPr="00055486" w:rsidRDefault="00102F36" w:rsidP="00102F36">
      <w:pPr>
        <w:rPr>
          <w:b/>
          <w:bCs/>
        </w:rPr>
      </w:pPr>
      <w:r w:rsidRPr="00055486">
        <w:rPr>
          <w:b/>
          <w:bCs/>
        </w:rPr>
        <w:t>Integrated Care Board</w:t>
      </w:r>
    </w:p>
    <w:p w14:paraId="0202E74B" w14:textId="77777777" w:rsidR="00102F36" w:rsidRPr="00EE6208" w:rsidRDefault="00102F36" w:rsidP="00102F36">
      <w:r w:rsidRPr="00EE6208">
        <w:t xml:space="preserve">The ICB will take on all of the functions of current CCGs and, over time, some commissioning functions from NHSE. It will be responsible for the system’s entire NHS finance allocation and will take responsibility for workforce, digital, data and engagement.  </w:t>
      </w:r>
    </w:p>
    <w:p w14:paraId="446FDFFE" w14:textId="0CF008AA" w:rsidR="00102F36" w:rsidRDefault="00102F36" w:rsidP="00102F36">
      <w:r>
        <w:t xml:space="preserve">Anthony McKeever has been appointed as </w:t>
      </w:r>
      <w:r w:rsidR="006D03DF">
        <w:t>the Chief Executive Officer (</w:t>
      </w:r>
      <w:r>
        <w:t>CEO</w:t>
      </w:r>
      <w:r w:rsidR="006D03DF">
        <w:t>)</w:t>
      </w:r>
      <w:r>
        <w:t xml:space="preserve"> designate of the new ICB and Professor Mike Thorne CBE, has been appointed as </w:t>
      </w:r>
      <w:r w:rsidR="006D03DF">
        <w:t>C</w:t>
      </w:r>
      <w:r>
        <w:t xml:space="preserve">hair designate of the ICB. </w:t>
      </w:r>
      <w:r w:rsidR="006D03DF">
        <w:t>N</w:t>
      </w:r>
      <w:r>
        <w:t xml:space="preserve">on-executive members for the new </w:t>
      </w:r>
      <w:r w:rsidR="006D03DF">
        <w:t xml:space="preserve">ICB </w:t>
      </w:r>
      <w:r>
        <w:t xml:space="preserve">Board </w:t>
      </w:r>
      <w:r w:rsidR="006D03DF">
        <w:t xml:space="preserve">have been appointed </w:t>
      </w:r>
      <w:r>
        <w:t xml:space="preserve">and </w:t>
      </w:r>
      <w:r w:rsidR="006D03DF">
        <w:t xml:space="preserve">remaining </w:t>
      </w:r>
      <w:r>
        <w:t>appointments to the executive team</w:t>
      </w:r>
      <w:r w:rsidR="006D03DF">
        <w:t xml:space="preserve"> are being finalised.</w:t>
      </w:r>
    </w:p>
    <w:p w14:paraId="12F0F283" w14:textId="232F1632" w:rsidR="00102F36" w:rsidRDefault="00102F36" w:rsidP="00102F36">
      <w:r>
        <w:t xml:space="preserve">The Transition Programme Board has overseen the due diligence requirements to establish the ICB and will complete a “Readiness to Operate” statement to enable NHSE to formally establish the new organisation.  </w:t>
      </w:r>
    </w:p>
    <w:p w14:paraId="409450E6" w14:textId="3047B87C" w:rsidR="00102F36" w:rsidRPr="00055486" w:rsidRDefault="00102F36" w:rsidP="00630A35">
      <w:pPr>
        <w:spacing w:before="600"/>
        <w:rPr>
          <w:b/>
          <w:bCs/>
        </w:rPr>
      </w:pPr>
      <w:r w:rsidRPr="00055486">
        <w:rPr>
          <w:b/>
          <w:bCs/>
        </w:rPr>
        <w:lastRenderedPageBreak/>
        <w:t xml:space="preserve">Integrated Care Partnership </w:t>
      </w:r>
    </w:p>
    <w:p w14:paraId="14F06212" w14:textId="0819CBD0" w:rsidR="00102F36" w:rsidRDefault="00102F36" w:rsidP="00102F36">
      <w:r>
        <w:t>The ICP will be a joint and equal partnership between the NHS and our upper tier local authorities</w:t>
      </w:r>
      <w:r w:rsidR="0063215A">
        <w:t xml:space="preserve"> (UTLAs</w:t>
      </w:r>
      <w:r w:rsidR="00BD5701">
        <w:t>)</w:t>
      </w:r>
      <w:r>
        <w:t xml:space="preserve">.  Together, we have agreed that the ICP will be chaired by Professor Thorne so as to ensure consistency and coherence across the ICS, with the three health and wellbeing board chairs of our upper tier local authorities acting as vice chairs for the ICP. We have agreed membership of the ICP and we are currently progressing discussions to agree its work programme. The first task of the ICP will be to develop a new Integrated Care Strategy for the ICS, and for the population of Mid &amp; South Essex. </w:t>
      </w:r>
    </w:p>
    <w:p w14:paraId="5DF70147" w14:textId="4119742B" w:rsidR="00F94224" w:rsidRPr="00DE6FF6" w:rsidRDefault="00F94224" w:rsidP="00630A35">
      <w:pPr>
        <w:pStyle w:val="Heading3"/>
        <w:spacing w:before="480"/>
      </w:pPr>
      <w:bookmarkStart w:id="30" w:name="_Toc107389439"/>
      <w:r w:rsidRPr="00DE6FF6">
        <w:t>Local Achievements</w:t>
      </w:r>
      <w:bookmarkEnd w:id="26"/>
      <w:bookmarkEnd w:id="27"/>
      <w:bookmarkEnd w:id="30"/>
    </w:p>
    <w:p w14:paraId="5C6EC4AD" w14:textId="77777777" w:rsidR="00DC7D4C" w:rsidRPr="00EE6208" w:rsidRDefault="00DC7D4C" w:rsidP="00DC7D4C">
      <w:pPr>
        <w:pStyle w:val="BodyText"/>
        <w:rPr>
          <w:b/>
          <w:bCs/>
        </w:rPr>
      </w:pPr>
      <w:bookmarkStart w:id="31" w:name="_Toc94188171"/>
      <w:bookmarkStart w:id="32" w:name="_Toc97218315"/>
      <w:r w:rsidRPr="00EE6208">
        <w:rPr>
          <w:b/>
          <w:bCs/>
        </w:rPr>
        <w:t>Covid vaccinations</w:t>
      </w:r>
    </w:p>
    <w:p w14:paraId="207BFE5C" w14:textId="7B67C83B" w:rsidR="00DC7D4C" w:rsidRPr="002710B5" w:rsidRDefault="00DC7D4C" w:rsidP="00DC7D4C">
      <w:pPr>
        <w:pStyle w:val="BodyText"/>
      </w:pPr>
      <w:r w:rsidRPr="002710B5">
        <w:t xml:space="preserve">More than 205,000 people within Basildon and Brentwood have received a </w:t>
      </w:r>
      <w:r w:rsidRPr="00F924EB">
        <w:rPr>
          <w:b/>
          <w:bCs/>
          <w:i/>
          <w:iCs/>
        </w:rPr>
        <w:t>Covid vaccination</w:t>
      </w:r>
      <w:r w:rsidRPr="002710B5">
        <w:t xml:space="preserve"> with over 184,000 having their C</w:t>
      </w:r>
      <w:r w:rsidR="007B605C">
        <w:t>ovid</w:t>
      </w:r>
      <w:r w:rsidRPr="002710B5">
        <w:t xml:space="preserve">-19 Booster jab.  This represents 92% of the </w:t>
      </w:r>
      <w:r w:rsidR="006D03DF">
        <w:t xml:space="preserve">population </w:t>
      </w:r>
      <w:r w:rsidRPr="002710B5">
        <w:t xml:space="preserve">most at risk, those over 50 or people with health conditions, having had a 1st jab and 87% having two jabs and a booster jab.  </w:t>
      </w:r>
      <w:r>
        <w:t xml:space="preserve">During the year, </w:t>
      </w:r>
      <w:r w:rsidRPr="002710B5">
        <w:t>C</w:t>
      </w:r>
      <w:r w:rsidR="007B605C">
        <w:t>ovid</w:t>
      </w:r>
      <w:r w:rsidRPr="002710B5">
        <w:t xml:space="preserve">-19 vaccines </w:t>
      </w:r>
      <w:r>
        <w:t>were offered across a number of venues including from Towngate Theatre, Brentwood Centre, Basildon Hospital and across four other</w:t>
      </w:r>
      <w:r w:rsidRPr="002710B5">
        <w:t xml:space="preserve"> GP led vaccination centres and at some community pharmacies in the </w:t>
      </w:r>
      <w:r>
        <w:t xml:space="preserve">Basildon </w:t>
      </w:r>
      <w:r w:rsidRPr="002710B5">
        <w:t>borough</w:t>
      </w:r>
      <w:r>
        <w:t>.</w:t>
      </w:r>
    </w:p>
    <w:p w14:paraId="4FD9DD46" w14:textId="786F1F2D" w:rsidR="00DC7D4C" w:rsidRDefault="00DC7D4C" w:rsidP="00DC7D4C">
      <w:pPr>
        <w:pStyle w:val="BodyText"/>
      </w:pPr>
      <w:r w:rsidRPr="002710B5">
        <w:t>To increase the uptake of the Covid vaccine the CCG worked in partnership with Basildon Council</w:t>
      </w:r>
      <w:r>
        <w:t>, Council for</w:t>
      </w:r>
      <w:r w:rsidRPr="002710B5">
        <w:t xml:space="preserve"> Voluntary </w:t>
      </w:r>
      <w:r>
        <w:t>Service</w:t>
      </w:r>
      <w:r w:rsidR="00830271">
        <w:t xml:space="preserve"> and</w:t>
      </w:r>
      <w:r>
        <w:t xml:space="preserve"> faith and communit</w:t>
      </w:r>
      <w:r w:rsidR="00830271">
        <w:t>ies</w:t>
      </w:r>
      <w:r>
        <w:t xml:space="preserve"> leaders</w:t>
      </w:r>
      <w:r w:rsidRPr="002710B5">
        <w:t xml:space="preserve"> to </w:t>
      </w:r>
      <w:r>
        <w:t>deliver</w:t>
      </w:r>
      <w:r w:rsidRPr="002710B5">
        <w:t xml:space="preserve"> a number of outreach events including </w:t>
      </w:r>
      <w:r w:rsidR="00830271">
        <w:t xml:space="preserve">those </w:t>
      </w:r>
      <w:r w:rsidRPr="002710B5">
        <w:t xml:space="preserve">at Festival Leisure Centre and housing association </w:t>
      </w:r>
      <w:r>
        <w:t xml:space="preserve">venues.  In addition, Provide and Red Cross supported by making welfare calls and visits to those individuals most at a risk from Covid-19 including the elderly and those with Learning Disabilities and Serious Mental Health Illness (SMI) to ensure they were able to book a vaccine appointment and access the vaccine clinics.  </w:t>
      </w:r>
    </w:p>
    <w:p w14:paraId="740A95B3" w14:textId="77777777" w:rsidR="00DC7D4C" w:rsidRDefault="00DC7D4C" w:rsidP="00DC7D4C">
      <w:pPr>
        <w:pStyle w:val="BodyText"/>
      </w:pPr>
      <w:r>
        <w:t>Further dedicated services were arranged to support individuals including:</w:t>
      </w:r>
    </w:p>
    <w:p w14:paraId="551DFAF9" w14:textId="5A0BF496" w:rsidR="00DC7D4C" w:rsidRDefault="00DC7D4C" w:rsidP="000D3041">
      <w:pPr>
        <w:pStyle w:val="BodyText"/>
        <w:numPr>
          <w:ilvl w:val="0"/>
          <w:numId w:val="11"/>
        </w:numPr>
      </w:pPr>
      <w:r>
        <w:t xml:space="preserve">CCG commissioned </w:t>
      </w:r>
      <w:r w:rsidRPr="002D1A87">
        <w:rPr>
          <w:b/>
          <w:bCs/>
          <w:i/>
          <w:iCs/>
        </w:rPr>
        <w:t>needle phobia service</w:t>
      </w:r>
      <w:r>
        <w:t>, from the Vita Health Group, that used Virtual Reality go</w:t>
      </w:r>
      <w:r w:rsidR="00830271">
        <w:t>g</w:t>
      </w:r>
      <w:r>
        <w:t>gles in the comfort of their own home with a therapist guiding them through the techniques and strategies to manage needle fears.</w:t>
      </w:r>
    </w:p>
    <w:p w14:paraId="7A32018A" w14:textId="641E4B2C" w:rsidR="00DC7D4C" w:rsidRDefault="00DC7D4C" w:rsidP="000D3041">
      <w:pPr>
        <w:pStyle w:val="BodyText"/>
        <w:numPr>
          <w:ilvl w:val="0"/>
          <w:numId w:val="11"/>
        </w:numPr>
      </w:pPr>
      <w:r>
        <w:t xml:space="preserve">For those </w:t>
      </w:r>
      <w:r w:rsidRPr="002710B5">
        <w:t xml:space="preserve">attending an </w:t>
      </w:r>
      <w:r w:rsidRPr="002D1A87">
        <w:rPr>
          <w:b/>
          <w:bCs/>
          <w:i/>
          <w:iCs/>
        </w:rPr>
        <w:t>antenatal or postnatal clinic</w:t>
      </w:r>
      <w:r w:rsidRPr="002710B5">
        <w:t xml:space="preserve"> at </w:t>
      </w:r>
      <w:r>
        <w:t xml:space="preserve">the hospitals within Mid and South Essex they could </w:t>
      </w:r>
      <w:r w:rsidRPr="002710B5">
        <w:t>speak to an expert about</w:t>
      </w:r>
      <w:r>
        <w:t xml:space="preserve"> </w:t>
      </w:r>
      <w:r w:rsidRPr="002710B5">
        <w:t>vaccine safety, the effect on them and their unborn baby</w:t>
      </w:r>
      <w:r>
        <w:t xml:space="preserve"> and access </w:t>
      </w:r>
      <w:r w:rsidRPr="002710B5">
        <w:t>the</w:t>
      </w:r>
      <w:r>
        <w:t xml:space="preserve"> vaccine.</w:t>
      </w:r>
    </w:p>
    <w:p w14:paraId="6B71F83A" w14:textId="77777777" w:rsidR="00DC7D4C" w:rsidRPr="00EE6208" w:rsidRDefault="00DC7D4C" w:rsidP="00630A35">
      <w:pPr>
        <w:pStyle w:val="BodyText"/>
        <w:spacing w:before="360"/>
        <w:rPr>
          <w:b/>
          <w:bCs/>
        </w:rPr>
      </w:pPr>
      <w:bookmarkStart w:id="33" w:name="_Hlk97814919"/>
      <w:r w:rsidRPr="00EE6208">
        <w:rPr>
          <w:b/>
          <w:bCs/>
        </w:rPr>
        <w:t>Primary care access</w:t>
      </w:r>
    </w:p>
    <w:p w14:paraId="0E4CB4E5" w14:textId="4A0A0E3D" w:rsidR="00DC7D4C" w:rsidRDefault="00DC7D4C" w:rsidP="00DC7D4C">
      <w:pPr>
        <w:pStyle w:val="BodyText"/>
      </w:pPr>
      <w:r w:rsidRPr="00C572CD">
        <w:t xml:space="preserve">In response to the pandemic general practice </w:t>
      </w:r>
      <w:r>
        <w:rPr>
          <w:rFonts w:cs="Arial"/>
          <w:color w:val="333333"/>
          <w:shd w:val="clear" w:color="auto" w:fill="FFFFFF"/>
        </w:rPr>
        <w:t>adapted the way they work and how services are provided in order to keep both patients and staff safe. Retaining t</w:t>
      </w:r>
      <w:r>
        <w:t>he</w:t>
      </w:r>
      <w:r w:rsidRPr="00C572CD">
        <w:t xml:space="preserve"> total triage and remote consulting</w:t>
      </w:r>
      <w:r>
        <w:t xml:space="preserve"> during 2021/22</w:t>
      </w:r>
      <w:r w:rsidRPr="00C572CD">
        <w:t>, allow</w:t>
      </w:r>
      <w:r>
        <w:t>s</w:t>
      </w:r>
      <w:r w:rsidRPr="00C572CD">
        <w:t xml:space="preserve"> vulnerable patients to </w:t>
      </w:r>
      <w:r>
        <w:t>access</w:t>
      </w:r>
      <w:r w:rsidRPr="00C572CD">
        <w:t xml:space="preserve"> their GP without the need to visit a practice and risk contraction or spreading of the disease.</w:t>
      </w:r>
      <w:r>
        <w:t xml:space="preserve">  During 2021/22 we saw an increase of 10% in appointments with general practice </w:t>
      </w:r>
      <w:r w:rsidR="00830271">
        <w:t xml:space="preserve">compared to </w:t>
      </w:r>
      <w:r>
        <w:t>the previous year, of which a fifth were face to face appointments.</w:t>
      </w:r>
    </w:p>
    <w:p w14:paraId="2FC4775B" w14:textId="198BE03B" w:rsidR="00DC7D4C" w:rsidRPr="002710B5" w:rsidRDefault="00DC7D4C" w:rsidP="00630A35">
      <w:pPr>
        <w:pStyle w:val="BodyText"/>
        <w:spacing w:before="360"/>
      </w:pPr>
      <w:r>
        <w:lastRenderedPageBreak/>
        <w:t xml:space="preserve">During 2021/22, we have expanded our Primary Care workforce to support improving access to general practice.  </w:t>
      </w:r>
      <w:r w:rsidRPr="002710B5">
        <w:t xml:space="preserve">Our </w:t>
      </w:r>
      <w:r w:rsidR="00830271">
        <w:t>six</w:t>
      </w:r>
      <w:r w:rsidR="00830271" w:rsidRPr="002710B5">
        <w:t xml:space="preserve"> </w:t>
      </w:r>
      <w:r w:rsidRPr="002710B5">
        <w:t xml:space="preserve">PCNs have utilised the </w:t>
      </w:r>
      <w:r w:rsidRPr="00F924EB">
        <w:rPr>
          <w:b/>
          <w:bCs/>
          <w:i/>
          <w:iCs/>
        </w:rPr>
        <w:t>Additional Roles Reimbursement Scheme</w:t>
      </w:r>
      <w:r w:rsidRPr="002710B5">
        <w:t xml:space="preserve"> to expand their staffing capacity and skill-mix, with 56 new whole time equivalent roles (including 25 additional Clinical Pharmacists, 8 Care Coordinators and 7 Social Prescribing Link Workers) recruited to by end-December 2021, with further recruitment continuing during the final quarter of the year.  These staff have provided vital support to the existing practice teams in maintaining patient services despite the challenges created by C</w:t>
      </w:r>
      <w:r w:rsidR="003067AE">
        <w:t>ovid</w:t>
      </w:r>
      <w:r w:rsidRPr="002710B5">
        <w:t>.  They are also key to developing the collaborative working arrangements, both between member practices and other community partners, that will be central to the delivery of integrated community-based services in the coming months.</w:t>
      </w:r>
    </w:p>
    <w:p w14:paraId="1F23A073" w14:textId="77777777" w:rsidR="00DC7D4C" w:rsidRPr="00EE6208" w:rsidRDefault="00DC7D4C" w:rsidP="00630A35">
      <w:pPr>
        <w:pStyle w:val="BodyText"/>
        <w:spacing w:before="360"/>
        <w:rPr>
          <w:b/>
          <w:bCs/>
        </w:rPr>
      </w:pPr>
      <w:r w:rsidRPr="00EE6208">
        <w:rPr>
          <w:b/>
          <w:bCs/>
        </w:rPr>
        <w:t>Reducing health inequalities</w:t>
      </w:r>
    </w:p>
    <w:p w14:paraId="34CF0CB5" w14:textId="42FAA9A2" w:rsidR="00DC7D4C" w:rsidRDefault="00DC7D4C" w:rsidP="00DC7D4C">
      <w:pPr>
        <w:pStyle w:val="BodyText"/>
      </w:pPr>
      <w:r>
        <w:t xml:space="preserve">Leading up to Christmas 2021, GPs were critical in creating the rapid expansion of capacity </w:t>
      </w:r>
      <w:r w:rsidR="00004CC5">
        <w:t xml:space="preserve">of </w:t>
      </w:r>
      <w:r>
        <w:t xml:space="preserve">the vaccination programme which quadrupled from that previously delivered.  However, continued delivery of physical health checks for our most vulnerable populations of Learning Disabilities (LD) and </w:t>
      </w:r>
      <w:r w:rsidR="00830271">
        <w:t>Serious Mental Illness (</w:t>
      </w:r>
      <w:r>
        <w:t>SMI</w:t>
      </w:r>
      <w:r w:rsidR="00830271">
        <w:t>)</w:t>
      </w:r>
      <w:r>
        <w:t xml:space="preserve"> remained a high priority alongside the vaccine booster roll out.  The number of LD Health checks reached </w:t>
      </w:r>
      <w:r w:rsidR="00830271">
        <w:t>72% which was a 16% increase from the previous year.  It will continue to be a priority</w:t>
      </w:r>
      <w:r>
        <w:t xml:space="preserve"> during 2022/23.</w:t>
      </w:r>
    </w:p>
    <w:p w14:paraId="062746B0" w14:textId="77777777" w:rsidR="00DC7D4C" w:rsidRDefault="00DC7D4C" w:rsidP="00DC7D4C">
      <w:pPr>
        <w:pStyle w:val="BodyText"/>
      </w:pPr>
      <w:r>
        <w:t xml:space="preserve">To support improved uptake in SMI Health checks the CCG commissioned Vita Health Group community provider as part of the wider Integrated Primary Community Care (IPCC) service, this commenced implementation in Quarter 4 of 2021/22.  </w:t>
      </w:r>
    </w:p>
    <w:p w14:paraId="2BCF73A1" w14:textId="77777777" w:rsidR="00DC7D4C" w:rsidRPr="00EE6208" w:rsidRDefault="00DC7D4C" w:rsidP="00630A35">
      <w:pPr>
        <w:pStyle w:val="BodyText"/>
        <w:spacing w:before="360"/>
        <w:rPr>
          <w:b/>
          <w:bCs/>
        </w:rPr>
      </w:pPr>
      <w:r w:rsidRPr="00EE6208">
        <w:rPr>
          <w:b/>
          <w:bCs/>
        </w:rPr>
        <w:t xml:space="preserve">Integrated Primary Community Care (IPCC) service </w:t>
      </w:r>
    </w:p>
    <w:p w14:paraId="3B7C20AE" w14:textId="77777777" w:rsidR="00C61709" w:rsidRDefault="00DC7D4C" w:rsidP="00C61709">
      <w:r w:rsidRPr="00482647">
        <w:t>In line with the M</w:t>
      </w:r>
      <w:r w:rsidR="00830271">
        <w:t xml:space="preserve">ental </w:t>
      </w:r>
      <w:r w:rsidRPr="00482647">
        <w:t>H</w:t>
      </w:r>
      <w:r w:rsidR="00830271">
        <w:t>ealth</w:t>
      </w:r>
      <w:r w:rsidRPr="00482647">
        <w:t xml:space="preserve"> Long Term Plan, the CCG is committed to deliver Mental Health Transformation which focuses on better whole system integration of mental health services for our population. From Quarter 1 of 2021</w:t>
      </w:r>
      <w:r w:rsidR="00830271">
        <w:t>/22</w:t>
      </w:r>
      <w:r w:rsidRPr="00482647">
        <w:t xml:space="preserve"> the CCG has continued to increase its workforce to include M</w:t>
      </w:r>
      <w:r w:rsidR="00830271">
        <w:t xml:space="preserve">ental </w:t>
      </w:r>
      <w:r w:rsidRPr="00482647">
        <w:t>H</w:t>
      </w:r>
      <w:r w:rsidR="00830271">
        <w:t>ealth</w:t>
      </w:r>
      <w:r w:rsidRPr="00482647">
        <w:t xml:space="preserve"> Practitioners working within PCNs </w:t>
      </w:r>
      <w:r w:rsidR="00830271">
        <w:t xml:space="preserve">to </w:t>
      </w:r>
      <w:r w:rsidRPr="00482647">
        <w:t>support primary care as part of the wider mental health integrated team approach. These teams offer improved access to service users requiring mental health, management and support and also play a vital role in ensuring there are seamless transfers of care where required. The integration of mental health services will continue to develop and enhance</w:t>
      </w:r>
      <w:r w:rsidR="00830271">
        <w:t>d</w:t>
      </w:r>
      <w:r w:rsidRPr="00482647">
        <w:t xml:space="preserve"> in 2022/23 with the emphasis continuing to focus on better mental health outcomes for the people of Basildon and Brentwood.</w:t>
      </w:r>
    </w:p>
    <w:p w14:paraId="4BC64F38" w14:textId="23FE8E40" w:rsidR="00DC7D4C" w:rsidRPr="00EE6208" w:rsidRDefault="00DC7D4C" w:rsidP="00630A35">
      <w:pPr>
        <w:spacing w:before="360"/>
        <w:rPr>
          <w:b/>
          <w:bCs/>
        </w:rPr>
      </w:pPr>
      <w:r w:rsidRPr="00EE6208">
        <w:rPr>
          <w:b/>
          <w:bCs/>
        </w:rPr>
        <w:t>Population Health Management</w:t>
      </w:r>
    </w:p>
    <w:bookmarkEnd w:id="33"/>
    <w:p w14:paraId="11D9ED5D" w14:textId="0AF24905" w:rsidR="00DC7D4C" w:rsidRPr="002710B5" w:rsidRDefault="00DC7D4C" w:rsidP="00DC7D4C">
      <w:pPr>
        <w:pStyle w:val="BodyText"/>
      </w:pPr>
      <w:r w:rsidRPr="002710B5">
        <w:t xml:space="preserve">Two PCNs have established </w:t>
      </w:r>
      <w:r w:rsidRPr="00F924EB">
        <w:rPr>
          <w:b/>
          <w:bCs/>
          <w:i/>
          <w:iCs/>
        </w:rPr>
        <w:t>Population Health Management pilots</w:t>
      </w:r>
      <w:r w:rsidRPr="002710B5">
        <w:t xml:space="preserve">: East Basildon PCN </w:t>
      </w:r>
      <w:r w:rsidR="00830271">
        <w:t>is</w:t>
      </w:r>
      <w:r w:rsidRPr="002710B5">
        <w:t xml:space="preserve"> participating in the </w:t>
      </w:r>
      <w:r w:rsidR="007B605C">
        <w:t>thi</w:t>
      </w:r>
      <w:r w:rsidRPr="002710B5">
        <w:t xml:space="preserve">rd wave NHSE </w:t>
      </w:r>
      <w:r w:rsidR="007B605C">
        <w:t>(</w:t>
      </w:r>
      <w:r w:rsidRPr="002710B5">
        <w:t>PHM</w:t>
      </w:r>
      <w:r w:rsidR="007B605C">
        <w:t>)</w:t>
      </w:r>
      <w:r w:rsidRPr="002710B5">
        <w:t xml:space="preserve"> Development programme, to develop a multi-organisational approach to improving the wellbeing of women between the ages of 20 to 50, who have a history of obesity, musculo-skeletal pain and depression. West Basildon PCN ha</w:t>
      </w:r>
      <w:r w:rsidR="00830271">
        <w:t>s</w:t>
      </w:r>
      <w:r w:rsidRPr="002710B5">
        <w:t xml:space="preserve"> initiated a programme, working in collaboration with colleagues from the CCG and Essex Public Health team to identify ways of improving the wellbeing of women aged between 20 </w:t>
      </w:r>
      <w:r w:rsidR="00830271">
        <w:t>and</w:t>
      </w:r>
      <w:r w:rsidR="00830271" w:rsidRPr="002710B5">
        <w:t xml:space="preserve"> </w:t>
      </w:r>
      <w:r w:rsidRPr="002710B5">
        <w:t xml:space="preserve">40, and living in the most </w:t>
      </w:r>
      <w:r w:rsidRPr="002710B5">
        <w:lastRenderedPageBreak/>
        <w:t xml:space="preserve">deprived areas of west Basildon, who have a BMI &gt; 25 and have experienced gestational diabetes and/or hypertension.  </w:t>
      </w:r>
    </w:p>
    <w:p w14:paraId="7073D057" w14:textId="2A1FA1B2" w:rsidR="00DC7D4C" w:rsidRPr="008B3854" w:rsidRDefault="00DC7D4C" w:rsidP="00DC7D4C">
      <w:pPr>
        <w:pStyle w:val="NormalWeb"/>
        <w:shd w:val="clear" w:color="auto" w:fill="FFFFFF"/>
        <w:spacing w:before="0"/>
        <w:rPr>
          <w:rFonts w:ascii="Arial" w:eastAsiaTheme="minorHAnsi" w:hAnsi="Arial" w:cstheme="minorBidi"/>
          <w:szCs w:val="22"/>
          <w:lang w:eastAsia="en-US"/>
        </w:rPr>
      </w:pPr>
      <w:r w:rsidRPr="008B3854">
        <w:rPr>
          <w:rFonts w:ascii="Arial" w:eastAsiaTheme="minorHAnsi" w:hAnsi="Arial" w:cstheme="minorBidi"/>
          <w:szCs w:val="22"/>
          <w:lang w:eastAsia="en-US"/>
        </w:rPr>
        <w:t xml:space="preserve">The </w:t>
      </w:r>
      <w:r w:rsidR="00830271" w:rsidRPr="008B3854">
        <w:rPr>
          <w:rFonts w:ascii="Arial" w:eastAsiaTheme="minorHAnsi" w:hAnsi="Arial" w:cstheme="minorBidi"/>
          <w:szCs w:val="22"/>
          <w:lang w:eastAsia="en-US"/>
        </w:rPr>
        <w:t>C</w:t>
      </w:r>
      <w:r w:rsidR="00830271">
        <w:rPr>
          <w:rFonts w:ascii="Arial" w:eastAsiaTheme="minorHAnsi" w:hAnsi="Arial" w:cstheme="minorBidi"/>
          <w:szCs w:val="22"/>
          <w:lang w:eastAsia="en-US"/>
        </w:rPr>
        <w:t>ovid</w:t>
      </w:r>
      <w:r w:rsidRPr="008B3854">
        <w:rPr>
          <w:rFonts w:ascii="Arial" w:eastAsiaTheme="minorHAnsi" w:hAnsi="Arial" w:cstheme="minorBidi"/>
          <w:szCs w:val="22"/>
          <w:lang w:eastAsia="en-US"/>
        </w:rPr>
        <w:t xml:space="preserve">-19 pandemic has impacted on both IAPT </w:t>
      </w:r>
      <w:r w:rsidR="00830271">
        <w:rPr>
          <w:rFonts w:ascii="Arial" w:eastAsiaTheme="minorHAnsi" w:hAnsi="Arial" w:cstheme="minorBidi"/>
          <w:szCs w:val="22"/>
          <w:lang w:eastAsia="en-US"/>
        </w:rPr>
        <w:t xml:space="preserve">(psychological therapy) </w:t>
      </w:r>
      <w:r w:rsidRPr="008B3854">
        <w:rPr>
          <w:rFonts w:ascii="Arial" w:eastAsiaTheme="minorHAnsi" w:hAnsi="Arial" w:cstheme="minorBidi"/>
          <w:szCs w:val="22"/>
          <w:lang w:eastAsia="en-US"/>
        </w:rPr>
        <w:t xml:space="preserve">services and the populations they serve. At the start of the </w:t>
      </w:r>
      <w:r w:rsidR="00830271" w:rsidRPr="008B3854">
        <w:rPr>
          <w:rFonts w:ascii="Arial" w:eastAsiaTheme="minorHAnsi" w:hAnsi="Arial" w:cstheme="minorBidi"/>
          <w:szCs w:val="22"/>
          <w:lang w:eastAsia="en-US"/>
        </w:rPr>
        <w:t>C</w:t>
      </w:r>
      <w:r w:rsidR="00830271">
        <w:rPr>
          <w:rFonts w:ascii="Arial" w:eastAsiaTheme="minorHAnsi" w:hAnsi="Arial" w:cstheme="minorBidi"/>
          <w:szCs w:val="22"/>
          <w:lang w:eastAsia="en-US"/>
        </w:rPr>
        <w:t>ovid</w:t>
      </w:r>
      <w:r w:rsidRPr="008B3854">
        <w:rPr>
          <w:rFonts w:ascii="Arial" w:eastAsiaTheme="minorHAnsi" w:hAnsi="Arial" w:cstheme="minorBidi"/>
          <w:szCs w:val="22"/>
          <w:lang w:eastAsia="en-US"/>
        </w:rPr>
        <w:t xml:space="preserve">-19 pandemic in March 2020, all IAPT services moved to </w:t>
      </w:r>
      <w:r w:rsidR="00830271">
        <w:rPr>
          <w:rFonts w:ascii="Arial" w:eastAsiaTheme="minorHAnsi" w:hAnsi="Arial" w:cstheme="minorBidi"/>
          <w:szCs w:val="22"/>
          <w:lang w:eastAsia="en-US"/>
        </w:rPr>
        <w:t xml:space="preserve">a </w:t>
      </w:r>
      <w:r w:rsidRPr="008B3854">
        <w:rPr>
          <w:rFonts w:ascii="Arial" w:eastAsiaTheme="minorHAnsi" w:hAnsi="Arial" w:cstheme="minorBidi"/>
          <w:szCs w:val="22"/>
          <w:lang w:eastAsia="en-US"/>
        </w:rPr>
        <w:t xml:space="preserve">non-face to face delivery of therapy, using telephone or video appointments and webinars.  </w:t>
      </w:r>
      <w:r>
        <w:rPr>
          <w:rFonts w:ascii="Arial" w:eastAsiaTheme="minorHAnsi" w:hAnsi="Arial" w:cstheme="minorBidi"/>
          <w:szCs w:val="22"/>
          <w:lang w:eastAsia="en-US"/>
        </w:rPr>
        <w:t>Vita Health Group introduced the</w:t>
      </w:r>
      <w:r w:rsidRPr="008B3854">
        <w:rPr>
          <w:rFonts w:ascii="Arial" w:eastAsiaTheme="minorHAnsi" w:hAnsi="Arial" w:cstheme="minorBidi"/>
          <w:szCs w:val="22"/>
          <w:lang w:eastAsia="en-US"/>
        </w:rPr>
        <w:t xml:space="preserve"> Limbic digital ‘Chat-bot’ a digital referral assistant</w:t>
      </w:r>
      <w:r>
        <w:rPr>
          <w:rFonts w:ascii="Arial" w:eastAsiaTheme="minorHAnsi" w:hAnsi="Arial" w:cstheme="minorBidi"/>
          <w:szCs w:val="22"/>
          <w:lang w:eastAsia="en-US"/>
        </w:rPr>
        <w:t xml:space="preserve"> to </w:t>
      </w:r>
      <w:r w:rsidRPr="008B3854">
        <w:rPr>
          <w:rFonts w:ascii="Arial" w:eastAsiaTheme="minorHAnsi" w:hAnsi="Arial" w:cstheme="minorBidi"/>
          <w:szCs w:val="22"/>
          <w:lang w:eastAsia="en-US"/>
        </w:rPr>
        <w:t>provide faste</w:t>
      </w:r>
      <w:r>
        <w:rPr>
          <w:rFonts w:ascii="Arial" w:eastAsiaTheme="minorHAnsi" w:hAnsi="Arial" w:cstheme="minorBidi"/>
          <w:szCs w:val="22"/>
          <w:lang w:eastAsia="en-US"/>
        </w:rPr>
        <w:t>r</w:t>
      </w:r>
      <w:r w:rsidRPr="008B3854">
        <w:rPr>
          <w:rFonts w:ascii="Arial" w:eastAsiaTheme="minorHAnsi" w:hAnsi="Arial" w:cstheme="minorBidi"/>
          <w:szCs w:val="22"/>
          <w:lang w:eastAsia="en-US"/>
        </w:rPr>
        <w:t xml:space="preserve"> access </w:t>
      </w:r>
      <w:r>
        <w:rPr>
          <w:rFonts w:ascii="Arial" w:eastAsiaTheme="minorHAnsi" w:hAnsi="Arial" w:cstheme="minorBidi"/>
          <w:szCs w:val="22"/>
          <w:lang w:eastAsia="en-US"/>
        </w:rPr>
        <w:t xml:space="preserve">to </w:t>
      </w:r>
      <w:r w:rsidRPr="008B3854">
        <w:rPr>
          <w:rFonts w:ascii="Arial" w:eastAsiaTheme="minorHAnsi" w:hAnsi="Arial" w:cstheme="minorBidi"/>
          <w:szCs w:val="22"/>
          <w:lang w:eastAsia="en-US"/>
        </w:rPr>
        <w:t xml:space="preserve">online treatment options such as Webinars or Online Therapy.  </w:t>
      </w:r>
      <w:r>
        <w:rPr>
          <w:rFonts w:ascii="Arial" w:eastAsiaTheme="minorHAnsi" w:hAnsi="Arial" w:cstheme="minorBidi"/>
          <w:szCs w:val="22"/>
          <w:lang w:eastAsia="en-US"/>
        </w:rPr>
        <w:t>There are currently</w:t>
      </w:r>
      <w:r w:rsidRPr="008B3854">
        <w:rPr>
          <w:rFonts w:ascii="Arial" w:eastAsiaTheme="minorHAnsi" w:hAnsi="Arial" w:cstheme="minorBidi"/>
          <w:szCs w:val="22"/>
          <w:lang w:eastAsia="en-US"/>
        </w:rPr>
        <w:t xml:space="preserve"> 25 webinars running concurrently with 8 different ones offering alternate start time options each week</w:t>
      </w:r>
      <w:r>
        <w:rPr>
          <w:rFonts w:ascii="Arial" w:eastAsiaTheme="minorHAnsi" w:hAnsi="Arial" w:cstheme="minorBidi"/>
          <w:szCs w:val="22"/>
          <w:lang w:eastAsia="en-US"/>
        </w:rPr>
        <w:t xml:space="preserve"> including four</w:t>
      </w:r>
      <w:r w:rsidRPr="008B3854">
        <w:rPr>
          <w:rFonts w:ascii="Arial" w:eastAsiaTheme="minorHAnsi" w:hAnsi="Arial" w:cstheme="minorBidi"/>
          <w:szCs w:val="22"/>
          <w:lang w:eastAsia="en-US"/>
        </w:rPr>
        <w:t xml:space="preserve"> </w:t>
      </w:r>
      <w:r>
        <w:rPr>
          <w:rFonts w:ascii="Arial" w:eastAsiaTheme="minorHAnsi" w:hAnsi="Arial" w:cstheme="minorBidi"/>
          <w:szCs w:val="22"/>
          <w:lang w:eastAsia="en-US"/>
        </w:rPr>
        <w:t>long term condition</w:t>
      </w:r>
      <w:r w:rsidRPr="008B3854">
        <w:rPr>
          <w:rFonts w:ascii="Arial" w:eastAsiaTheme="minorHAnsi" w:hAnsi="Arial" w:cstheme="minorBidi"/>
          <w:szCs w:val="22"/>
          <w:lang w:eastAsia="en-US"/>
        </w:rPr>
        <w:t xml:space="preserve"> webinars.</w:t>
      </w:r>
      <w:r>
        <w:rPr>
          <w:rFonts w:ascii="Arial" w:eastAsiaTheme="minorHAnsi" w:hAnsi="Arial" w:cstheme="minorBidi"/>
          <w:szCs w:val="22"/>
          <w:lang w:eastAsia="en-US"/>
        </w:rPr>
        <w:t xml:space="preserve">  Face to face delivery has now recommenced but the digital offers have proved to be popular.</w:t>
      </w:r>
    </w:p>
    <w:p w14:paraId="260C855B" w14:textId="77777777" w:rsidR="00DC7D4C" w:rsidRPr="00EE6208" w:rsidRDefault="00DC7D4C" w:rsidP="00DC7D4C">
      <w:pPr>
        <w:rPr>
          <w:rFonts w:ascii="Calibri" w:hAnsi="Calibri"/>
          <w:b/>
          <w:bCs/>
          <w:sz w:val="22"/>
        </w:rPr>
      </w:pPr>
      <w:r w:rsidRPr="00EE6208">
        <w:rPr>
          <w:b/>
          <w:bCs/>
        </w:rPr>
        <w:t>Yoga4Health</w:t>
      </w:r>
    </w:p>
    <w:p w14:paraId="4964AF54" w14:textId="1A8AEB74" w:rsidR="00DC7D4C" w:rsidRDefault="00DC7D4C" w:rsidP="00DC7D4C">
      <w:r>
        <w:t xml:space="preserve">Basildon and Brentwood CCG successfully secured a Local Delivery Pilot Microgrant through Active Essex that are open for local people to help their community become more active. The Yoga4Health on Prescription 10 week programme was created to support NHS patients to gain self-care skills. It is an evidence based programme that was commissioned by the NHS and created by the Yoga in Health Care Alliance. Practices are very gentle and can be practiced on a mat or in a chair. The course is suitable for people suffering with stress, social isolation, mild anxiety or depression, at risk of Type 2 diabetes or </w:t>
      </w:r>
      <w:r w:rsidR="00830271">
        <w:t xml:space="preserve">those with </w:t>
      </w:r>
      <w:r>
        <w:t>cardiovascular issues. It is hoped this programme will introduce patients to a different type of activity, create social groups, help them to become healthier and encourage them</w:t>
      </w:r>
      <w:r w:rsidR="00830271">
        <w:t xml:space="preserve"> to undertake</w:t>
      </w:r>
      <w:r>
        <w:t xml:space="preserve"> independent activity.</w:t>
      </w:r>
    </w:p>
    <w:p w14:paraId="36A6F6FE" w14:textId="77777777" w:rsidR="00DC7D4C" w:rsidRPr="00EE6208" w:rsidRDefault="00DC7D4C" w:rsidP="00DC7D4C">
      <w:pPr>
        <w:rPr>
          <w:b/>
          <w:bCs/>
        </w:rPr>
      </w:pPr>
      <w:r w:rsidRPr="00EE6208">
        <w:rPr>
          <w:b/>
          <w:bCs/>
        </w:rPr>
        <w:t>Workplace Wellbeing</w:t>
      </w:r>
    </w:p>
    <w:p w14:paraId="3E5E4112" w14:textId="441A4FDB" w:rsidR="00DC7D4C" w:rsidRDefault="00DC7D4C" w:rsidP="00DC7D4C">
      <w:r>
        <w:t xml:space="preserve">Basildon and Brentwood CCG work closely with Active Essex and their Workplace Health Programme 2022/23. From this, </w:t>
      </w:r>
      <w:r w:rsidR="00830271">
        <w:t xml:space="preserve">the CCG </w:t>
      </w:r>
      <w:r w:rsidR="00740C80">
        <w:t xml:space="preserve">was </w:t>
      </w:r>
      <w:r>
        <w:t xml:space="preserve">able to successfully secure a Local Delivery Pilot Microgrant to help support and increase the activity of their Colleagues. </w:t>
      </w:r>
      <w:r w:rsidR="00740C80">
        <w:t xml:space="preserve">The </w:t>
      </w:r>
      <w:r>
        <w:t xml:space="preserve">CCG </w:t>
      </w:r>
      <w:r w:rsidR="00740C80">
        <w:t xml:space="preserve">has </w:t>
      </w:r>
      <w:r>
        <w:t xml:space="preserve">worked on delivery of a year long activity plan, providing Colleagues with </w:t>
      </w:r>
      <w:r w:rsidR="00740C80">
        <w:t xml:space="preserve">access to free </w:t>
      </w:r>
      <w:r>
        <w:t xml:space="preserve">classes to try each month such as: Badminton, Rounders, Volleyball, Yoga and Mindfulness, etc. Alongside this, </w:t>
      </w:r>
      <w:r w:rsidR="00740C80">
        <w:t xml:space="preserve">the CCG has </w:t>
      </w:r>
      <w:r>
        <w:t xml:space="preserve">encouraged </w:t>
      </w:r>
      <w:r w:rsidR="00740C80">
        <w:t>staff to take part in employees</w:t>
      </w:r>
      <w:r w:rsidR="00D3395B">
        <w:t xml:space="preserve">’ </w:t>
      </w:r>
      <w:r>
        <w:t>Active Essex’s March Big Team Challenge – Steps to Japan where Teams contribute</w:t>
      </w:r>
      <w:r w:rsidR="00740C80">
        <w:t>d</w:t>
      </w:r>
      <w:r>
        <w:t xml:space="preserve"> their steps in order to try walk around the jewels in Japan. </w:t>
      </w:r>
    </w:p>
    <w:p w14:paraId="40F31E5D" w14:textId="77777777" w:rsidR="00DC7D4C" w:rsidRPr="00EE6208" w:rsidRDefault="00DC7D4C" w:rsidP="00DC7D4C">
      <w:pPr>
        <w:rPr>
          <w:b/>
          <w:bCs/>
        </w:rPr>
      </w:pPr>
      <w:r w:rsidRPr="00EE6208">
        <w:rPr>
          <w:b/>
          <w:bCs/>
        </w:rPr>
        <w:t xml:space="preserve">Community Engagement &amp; Partnership Officer </w:t>
      </w:r>
    </w:p>
    <w:p w14:paraId="49E0B2EC" w14:textId="30CEF0D8" w:rsidR="00DC7D4C" w:rsidRDefault="00DC7D4C" w:rsidP="00DC7D4C">
      <w:r>
        <w:t xml:space="preserve">The Community Engagement &amp; Partnership Officer role is jointly funded by </w:t>
      </w:r>
      <w:r w:rsidR="00740C80">
        <w:t>the</w:t>
      </w:r>
      <w:r>
        <w:t xml:space="preserve"> CCG, Active Essex and Basildon Council to work alongside the Local Delivery Pilot supporting and promoting physical activity and health and wellbeing across the patch. This role is developing to help bridge the gap between Active Essex, Healthcare and activity, by linking in with Primary Care Networks, GP’s, Social Prescribers and other Health Care Professionals. This role also engages with Community Services and the voluntary sector to get a real ‘grass roots’ understanding of what is already going on in the community</w:t>
      </w:r>
      <w:r w:rsidR="00740C80">
        <w:t xml:space="preserve"> and</w:t>
      </w:r>
      <w:r>
        <w:t xml:space="preserve"> encouraging them to include activity where possible, </w:t>
      </w:r>
      <w:r w:rsidR="00740C80">
        <w:t xml:space="preserve">to </w:t>
      </w:r>
      <w:r>
        <w:t xml:space="preserve">signpost to possible funding opportunities and </w:t>
      </w:r>
      <w:r w:rsidR="00740C80">
        <w:t xml:space="preserve">to offer </w:t>
      </w:r>
      <w:r>
        <w:t>support</w:t>
      </w:r>
      <w:r w:rsidR="00740C80">
        <w:t xml:space="preserve"> </w:t>
      </w:r>
      <w:r>
        <w:t xml:space="preserve">where necessary. Examples of </w:t>
      </w:r>
      <w:r>
        <w:lastRenderedPageBreak/>
        <w:t>projects</w:t>
      </w:r>
      <w:r w:rsidR="00740C80">
        <w:t xml:space="preserve"> underway</w:t>
      </w:r>
      <w:r>
        <w:t xml:space="preserve"> include: Walking Groups, Buggy Walks, Yoga, Workplace Wellbeing and Dance on prescription, etc.</w:t>
      </w:r>
    </w:p>
    <w:p w14:paraId="0FC59C9F" w14:textId="01D91DBE" w:rsidR="00FC23B4" w:rsidRPr="004A0197" w:rsidRDefault="00FC23B4" w:rsidP="007B2EDF">
      <w:pPr>
        <w:pStyle w:val="Heading3"/>
      </w:pPr>
      <w:bookmarkStart w:id="34" w:name="_Toc107389440"/>
      <w:r w:rsidRPr="004A0197">
        <w:t>How we have performed</w:t>
      </w:r>
      <w:bookmarkEnd w:id="31"/>
      <w:bookmarkEnd w:id="32"/>
      <w:bookmarkEnd w:id="34"/>
    </w:p>
    <w:p w14:paraId="394C9064" w14:textId="254A7DD4" w:rsidR="00357717" w:rsidRDefault="00357717" w:rsidP="00357717">
      <w:bookmarkStart w:id="35" w:name="_Toc94188172"/>
      <w:bookmarkStart w:id="36" w:name="_Toc97218316"/>
      <w:r>
        <w:t xml:space="preserve">The CCG monitors health outcomes against a range of NHS Constitutional Standards that are set nationally. Performance across the system has generally been below the set standards due to capacity pressures throughout the health and care system. </w:t>
      </w:r>
    </w:p>
    <w:p w14:paraId="494C1B14" w14:textId="77777777" w:rsidR="00357717" w:rsidRDefault="00357717" w:rsidP="00357717">
      <w:r>
        <w:t>The CCG is working with local providers of services</w:t>
      </w:r>
      <w:r w:rsidRPr="009210B2">
        <w:t xml:space="preserve"> </w:t>
      </w:r>
      <w:r>
        <w:t xml:space="preserve">and </w:t>
      </w:r>
      <w:r w:rsidRPr="009210B2">
        <w:t>NHS England/Improvement</w:t>
      </w:r>
      <w:r>
        <w:t xml:space="preserve"> (which is the regulatory organisation for the CCG and providers of services) to agree the system transformation required to support improvements in care for patients.</w:t>
      </w:r>
    </w:p>
    <w:p w14:paraId="07B7A470" w14:textId="735EC8F8" w:rsidR="00357717" w:rsidRDefault="00357717" w:rsidP="00357717">
      <w:pPr>
        <w:pStyle w:val="BodyText"/>
      </w:pPr>
      <w:r>
        <w:t xml:space="preserve">As seen nationally, performance against the standards has been directly impacted by the Covid-19 pandemic. A key issue experienced nationally is the increase </w:t>
      </w:r>
      <w:r w:rsidR="00740C80">
        <w:t xml:space="preserve">in patients </w:t>
      </w:r>
      <w:r>
        <w:t xml:space="preserve">waiting for planned elective care during the </w:t>
      </w:r>
      <w:r w:rsidR="00740C80">
        <w:t xml:space="preserve">Covid-19 </w:t>
      </w:r>
      <w:r>
        <w:t xml:space="preserve">pandemic. As directed </w:t>
      </w:r>
      <w:r w:rsidR="00740C80">
        <w:t xml:space="preserve">through </w:t>
      </w:r>
      <w:r>
        <w:t xml:space="preserve">national guidance whilst capacity was reduced, non-urgent diagnostic tests together with elective planned appointments and procedures were paused to prioritise emergency, urgent and cancer work. </w:t>
      </w:r>
    </w:p>
    <w:p w14:paraId="2B2C0BD2" w14:textId="1650D8D1" w:rsidR="00357717" w:rsidRDefault="00357717" w:rsidP="00357717">
      <w:r>
        <w:t xml:space="preserve">A key risk that could affect the delivery of future performance and recovery is ensuring workforce is in place to meet the delivery of the increased capacity required to recover from the </w:t>
      </w:r>
      <w:r w:rsidR="00740C80">
        <w:t>Covid</w:t>
      </w:r>
      <w:r>
        <w:t xml:space="preserve">-19 pandemic and meet demand. </w:t>
      </w:r>
    </w:p>
    <w:p w14:paraId="7CC22084" w14:textId="43957F5E" w:rsidR="00740C80" w:rsidRDefault="00357717" w:rsidP="00357717">
      <w:pPr>
        <w:pStyle w:val="BodyText"/>
      </w:pPr>
      <w:r>
        <w:t>The following is an overview of how the system has performed against the constitutional standards.</w:t>
      </w:r>
    </w:p>
    <w:p w14:paraId="59441F93" w14:textId="352732FE" w:rsidR="00740C80" w:rsidRDefault="00740C80" w:rsidP="00740C80">
      <w:pPr>
        <w:pStyle w:val="Heading3"/>
        <w:rPr>
          <w:b w:val="0"/>
          <w:bCs w:val="0"/>
        </w:rPr>
      </w:pPr>
      <w:bookmarkStart w:id="37" w:name="_Toc107389441"/>
      <w:r>
        <w:t>Key issues and risks</w:t>
      </w:r>
      <w:bookmarkEnd w:id="37"/>
    </w:p>
    <w:p w14:paraId="3BDC1829" w14:textId="369A942E" w:rsidR="00740C80" w:rsidRDefault="00740C80" w:rsidP="00740C80">
      <w:r>
        <w:t xml:space="preserve">The </w:t>
      </w:r>
      <w:r w:rsidR="00E2234D">
        <w:t>Covid</w:t>
      </w:r>
      <w:r>
        <w:t>-19 pandemic had a significant impact upon the operation of NHS services across the country, which brought with it several associated risks, firstly in relation to the effects of the virus itself and secondly in relation to the effects that management of the pandemic has had on core services and the achievement of constitutional standards.</w:t>
      </w:r>
    </w:p>
    <w:p w14:paraId="16C7ACAF" w14:textId="4A2CCC82" w:rsidR="00740C80" w:rsidRDefault="00740C80" w:rsidP="00740C80">
      <w:r>
        <w:t xml:space="preserve">The former has been managed well during the year, which is reflected in the lowering of risk in relation to the effects of the virus as a result of the success of the </w:t>
      </w:r>
      <w:r w:rsidR="00E2234D">
        <w:t>Covid</w:t>
      </w:r>
      <w:r>
        <w:t xml:space="preserve">-19 vaccination programme and greater understanding of how to care for patients with the virus.  The </w:t>
      </w:r>
      <w:r w:rsidR="00E2234D">
        <w:t xml:space="preserve">Mid and South Essex </w:t>
      </w:r>
      <w:r>
        <w:t>CCGs continue to manage the impact of risks on core services, focusing on restoring performance back to pre-</w:t>
      </w:r>
      <w:r w:rsidR="00E2234D">
        <w:t>Covid</w:t>
      </w:r>
      <w:r w:rsidR="003067AE">
        <w:t xml:space="preserve"> </w:t>
      </w:r>
      <w:r>
        <w:t>levels.</w:t>
      </w:r>
    </w:p>
    <w:p w14:paraId="3744470B" w14:textId="02373FC3" w:rsidR="00740C80" w:rsidRDefault="00740C80" w:rsidP="00740C80">
      <w:r>
        <w:t>Further information on the CCG’s key risks and risk profile is provided in the Risks section of the Performance Analysis report.</w:t>
      </w:r>
    </w:p>
    <w:p w14:paraId="12111A10" w14:textId="77777777" w:rsidR="00630A35" w:rsidRDefault="00630A35">
      <w:pPr>
        <w:spacing w:before="0" w:after="200" w:line="276" w:lineRule="auto"/>
        <w:rPr>
          <w:rFonts w:eastAsia="Times" w:cs="Times New Roman"/>
          <w:b/>
          <w:bCs/>
          <w:sz w:val="32"/>
          <w:szCs w:val="32"/>
        </w:rPr>
      </w:pPr>
      <w:r>
        <w:br w:type="page"/>
      </w:r>
    </w:p>
    <w:p w14:paraId="1EB89D0C" w14:textId="437F9F5A" w:rsidR="00E2234D" w:rsidRPr="007830C3" w:rsidRDefault="00E2234D" w:rsidP="00E2234D">
      <w:pPr>
        <w:pStyle w:val="Heading2"/>
      </w:pPr>
      <w:bookmarkStart w:id="38" w:name="_Toc107389442"/>
      <w:r w:rsidRPr="007830C3">
        <w:lastRenderedPageBreak/>
        <w:t>Performance analysis</w:t>
      </w:r>
      <w:bookmarkEnd w:id="38"/>
      <w:r w:rsidRPr="007830C3">
        <w:t xml:space="preserve">  </w:t>
      </w:r>
    </w:p>
    <w:p w14:paraId="2B6D914E" w14:textId="77777777" w:rsidR="00E2234D" w:rsidRPr="008931E6" w:rsidRDefault="00E2234D" w:rsidP="00E2234D">
      <w:pPr>
        <w:pStyle w:val="Heading3"/>
      </w:pPr>
      <w:bookmarkStart w:id="39" w:name="_Toc107389443"/>
      <w:r w:rsidRPr="008931E6">
        <w:t>Introduction</w:t>
      </w:r>
      <w:bookmarkEnd w:id="39"/>
    </w:p>
    <w:p w14:paraId="256C1CCD" w14:textId="5DDCF426" w:rsidR="00E2234D" w:rsidRDefault="00E2234D" w:rsidP="00E2234D">
      <w:r>
        <w:t>2021/22 has</w:t>
      </w:r>
      <w:r w:rsidR="00E7202B">
        <w:t>,</w:t>
      </w:r>
      <w:r>
        <w:t xml:space="preserve"> as outlined within this report</w:t>
      </w:r>
      <w:r w:rsidR="00E7202B">
        <w:t>,</w:t>
      </w:r>
      <w:r>
        <w:t xml:space="preserve"> provided challenges to delivery and recovery of performance standards.  The below summary shows the performance as reported </w:t>
      </w:r>
      <w:r w:rsidR="00DF0334">
        <w:t>in March</w:t>
      </w:r>
      <w:r>
        <w:t xml:space="preserve"> 2022, this is the most up to date information at time of writing this report.</w:t>
      </w:r>
    </w:p>
    <w:p w14:paraId="3F99B88B" w14:textId="04A4D5B4" w:rsidR="00E2234D" w:rsidRDefault="00E2234D" w:rsidP="00E2234D">
      <w:r>
        <w:t>Mid and South Essex continues to work collaboratively with our provider partners to support recovery of performance standards and outcomes for our population.  This work is ongoing and continues into 2022/23.</w:t>
      </w:r>
    </w:p>
    <w:p w14:paraId="3CF7706D" w14:textId="77777777" w:rsidR="00FF0245" w:rsidRDefault="00FF0245" w:rsidP="00FF0245">
      <w:pPr>
        <w:pStyle w:val="Heading3"/>
      </w:pPr>
      <w:bookmarkStart w:id="40" w:name="_Toc107389444"/>
      <w:r>
        <w:t>Performance Summary</w:t>
      </w:r>
      <w:bookmarkEnd w:id="40"/>
    </w:p>
    <w:p w14:paraId="1C95C474" w14:textId="6016B2B7" w:rsidR="00E2234D" w:rsidRPr="00740C80" w:rsidRDefault="00E2234D" w:rsidP="00740C80">
      <w:r>
        <w:t>The following is an overview of how the system has performed against the constitutional standards.</w:t>
      </w:r>
    </w:p>
    <w:p w14:paraId="28BE4232" w14:textId="77777777" w:rsidR="00357717" w:rsidRPr="00591E47" w:rsidRDefault="00357717" w:rsidP="000D3041">
      <w:pPr>
        <w:pStyle w:val="BodyText"/>
        <w:numPr>
          <w:ilvl w:val="0"/>
          <w:numId w:val="27"/>
        </w:numPr>
        <w:ind w:left="426" w:hanging="426"/>
        <w:rPr>
          <w:b/>
          <w:bCs/>
        </w:rPr>
      </w:pPr>
      <w:r w:rsidRPr="00591E47">
        <w:rPr>
          <w:b/>
          <w:bCs/>
        </w:rPr>
        <w:t>NHS Constitution – Urgent and Emergency Care (UEC)</w:t>
      </w:r>
    </w:p>
    <w:p w14:paraId="25FE30A9" w14:textId="77777777" w:rsidR="00357717" w:rsidRPr="00C240AF" w:rsidRDefault="00357717" w:rsidP="00591E47">
      <w:pPr>
        <w:pStyle w:val="BodyText"/>
      </w:pPr>
      <w:r>
        <w:t xml:space="preserve">For UEC the </w:t>
      </w:r>
      <w:r w:rsidRPr="00C240AF">
        <w:t xml:space="preserve">NHS constitution includes standards for both Ambulance Response Times and Emergency Department (ED) waiting times. </w:t>
      </w:r>
    </w:p>
    <w:p w14:paraId="239D9B96" w14:textId="566C987A" w:rsidR="00357717" w:rsidRPr="00E936F7" w:rsidRDefault="00357717" w:rsidP="00357717">
      <w:pPr>
        <w:pStyle w:val="Heading4"/>
        <w:spacing w:before="120" w:after="200" w:line="276" w:lineRule="auto"/>
        <w:jc w:val="both"/>
        <w:rPr>
          <w:rFonts w:eastAsiaTheme="minorHAnsi" w:cstheme="minorBidi"/>
          <w:b w:val="0"/>
          <w:bCs w:val="0"/>
          <w:color w:val="auto"/>
        </w:rPr>
      </w:pPr>
      <w:r w:rsidRPr="00E936F7">
        <w:rPr>
          <w:rFonts w:eastAsiaTheme="minorHAnsi" w:cstheme="minorBidi"/>
          <w:b w:val="0"/>
          <w:bCs w:val="0"/>
          <w:color w:val="auto"/>
        </w:rPr>
        <w:t xml:space="preserve">Ambulance </w:t>
      </w:r>
      <w:r>
        <w:rPr>
          <w:rFonts w:eastAsiaTheme="minorHAnsi" w:cstheme="minorBidi"/>
          <w:b w:val="0"/>
          <w:bCs w:val="0"/>
          <w:color w:val="auto"/>
        </w:rPr>
        <w:t>response times are significantly challenged. This is evident from the latest snapshot position which were for category:</w:t>
      </w:r>
    </w:p>
    <w:p w14:paraId="70669B50" w14:textId="6529E41D" w:rsidR="00357717" w:rsidRPr="006A2D43" w:rsidRDefault="00DF0334" w:rsidP="000D3041">
      <w:pPr>
        <w:pStyle w:val="ListParagraph"/>
        <w:numPr>
          <w:ilvl w:val="0"/>
          <w:numId w:val="14"/>
        </w:numPr>
        <w:rPr>
          <w:i/>
          <w:iCs/>
        </w:rPr>
      </w:pPr>
      <w:r>
        <w:t xml:space="preserve">Category </w:t>
      </w:r>
      <w:r w:rsidR="00357717">
        <w:t>One c</w:t>
      </w:r>
      <w:r w:rsidR="00357717" w:rsidRPr="006A2D43">
        <w:t>alls</w:t>
      </w:r>
      <w:r w:rsidR="00357717">
        <w:t xml:space="preserve"> - for life-threatening injuries and illness:</w:t>
      </w:r>
      <w:r w:rsidR="00357717" w:rsidRPr="006A2D43">
        <w:t xml:space="preserve"> </w:t>
      </w:r>
    </w:p>
    <w:p w14:paraId="2B613364" w14:textId="77777777" w:rsidR="00357717" w:rsidRPr="006A2D43" w:rsidRDefault="00357717" w:rsidP="000D3041">
      <w:pPr>
        <w:pStyle w:val="ListParagraph"/>
        <w:numPr>
          <w:ilvl w:val="1"/>
          <w:numId w:val="14"/>
        </w:numPr>
        <w:rPr>
          <w:i/>
          <w:iCs/>
        </w:rPr>
      </w:pPr>
      <w:r w:rsidRPr="006A2D43">
        <w:t>Mean</w:t>
      </w:r>
      <w:r>
        <w:t>:</w:t>
      </w:r>
      <w:r w:rsidRPr="006A2D43">
        <w:t xml:space="preserve"> </w:t>
      </w:r>
      <w:r>
        <w:t>00:</w:t>
      </w:r>
      <w:r w:rsidRPr="006A2D43">
        <w:t>09:32 (standard &lt;=7min)</w:t>
      </w:r>
    </w:p>
    <w:p w14:paraId="4AFD4963" w14:textId="6DC78DB4" w:rsidR="00357717" w:rsidRPr="006A2D43" w:rsidRDefault="00357717" w:rsidP="000D3041">
      <w:pPr>
        <w:pStyle w:val="ListParagraph"/>
        <w:numPr>
          <w:ilvl w:val="1"/>
          <w:numId w:val="14"/>
        </w:numPr>
        <w:rPr>
          <w:i/>
          <w:iCs/>
        </w:rPr>
      </w:pPr>
      <w:r w:rsidRPr="006A2D43">
        <w:t>90</w:t>
      </w:r>
      <w:r w:rsidRPr="006A2D43">
        <w:rPr>
          <w:vertAlign w:val="superscript"/>
        </w:rPr>
        <w:t>th</w:t>
      </w:r>
      <w:r w:rsidRPr="006A2D43">
        <w:t xml:space="preserve"> Centile: </w:t>
      </w:r>
      <w:r>
        <w:t>00:</w:t>
      </w:r>
      <w:r w:rsidRPr="006A2D43">
        <w:t>16:5</w:t>
      </w:r>
      <w:r w:rsidR="001907D3">
        <w:t>7</w:t>
      </w:r>
      <w:r w:rsidRPr="006A2D43">
        <w:t xml:space="preserve"> (</w:t>
      </w:r>
      <w:r>
        <w:t>standard</w:t>
      </w:r>
      <w:r w:rsidRPr="006A2D43">
        <w:t xml:space="preserve"> &lt;= 15min)</w:t>
      </w:r>
    </w:p>
    <w:p w14:paraId="71F52E6F" w14:textId="661979AA" w:rsidR="00357717" w:rsidRDefault="00DF0334" w:rsidP="000D3041">
      <w:pPr>
        <w:pStyle w:val="ListParagraph"/>
        <w:numPr>
          <w:ilvl w:val="0"/>
          <w:numId w:val="14"/>
        </w:numPr>
      </w:pPr>
      <w:r>
        <w:t xml:space="preserve">Category </w:t>
      </w:r>
      <w:r w:rsidR="00357717">
        <w:t>Two calls - for emergencies:</w:t>
      </w:r>
    </w:p>
    <w:p w14:paraId="66033F80" w14:textId="77777777" w:rsidR="00357717" w:rsidRPr="006A2D43" w:rsidRDefault="00357717" w:rsidP="000D3041">
      <w:pPr>
        <w:pStyle w:val="ListParagraph"/>
        <w:numPr>
          <w:ilvl w:val="1"/>
          <w:numId w:val="14"/>
        </w:numPr>
        <w:rPr>
          <w:i/>
          <w:iCs/>
        </w:rPr>
      </w:pPr>
      <w:r w:rsidRPr="006A2D43">
        <w:t>Mean</w:t>
      </w:r>
      <w:r>
        <w:t>:</w:t>
      </w:r>
      <w:r w:rsidRPr="006A2D43">
        <w:t xml:space="preserve"> </w:t>
      </w:r>
      <w:r>
        <w:t>00:58</w:t>
      </w:r>
      <w:r w:rsidRPr="006A2D43">
        <w:t>:</w:t>
      </w:r>
      <w:r>
        <w:t>37</w:t>
      </w:r>
      <w:r w:rsidRPr="006A2D43">
        <w:t xml:space="preserve"> (standard &lt;</w:t>
      </w:r>
      <w:r>
        <w:t>= 18</w:t>
      </w:r>
      <w:r w:rsidRPr="006A2D43">
        <w:t>min)</w:t>
      </w:r>
    </w:p>
    <w:p w14:paraId="25A7EFFD" w14:textId="78B39038" w:rsidR="00357717" w:rsidRPr="006A2D43" w:rsidRDefault="00357717" w:rsidP="000D3041">
      <w:pPr>
        <w:pStyle w:val="ListParagraph"/>
        <w:numPr>
          <w:ilvl w:val="1"/>
          <w:numId w:val="14"/>
        </w:numPr>
        <w:rPr>
          <w:i/>
          <w:iCs/>
        </w:rPr>
      </w:pPr>
      <w:r w:rsidRPr="006A2D43">
        <w:t>90</w:t>
      </w:r>
      <w:r w:rsidRPr="006A2D43">
        <w:rPr>
          <w:vertAlign w:val="superscript"/>
        </w:rPr>
        <w:t>th</w:t>
      </w:r>
      <w:r w:rsidRPr="006A2D43">
        <w:t xml:space="preserve"> Centile: </w:t>
      </w:r>
      <w:r>
        <w:t>02:</w:t>
      </w:r>
      <w:r w:rsidR="00591E47">
        <w:t>06</w:t>
      </w:r>
      <w:r>
        <w:t>:</w:t>
      </w:r>
      <w:r w:rsidR="001907D3">
        <w:t>21</w:t>
      </w:r>
      <w:r w:rsidRPr="006A2D43">
        <w:t xml:space="preserve"> (</w:t>
      </w:r>
      <w:r>
        <w:t>standard</w:t>
      </w:r>
      <w:r w:rsidRPr="006A2D43">
        <w:t xml:space="preserve"> &lt;= </w:t>
      </w:r>
      <w:r>
        <w:t>40</w:t>
      </w:r>
      <w:r w:rsidRPr="006A2D43">
        <w:t>min)</w:t>
      </w:r>
    </w:p>
    <w:p w14:paraId="36AE7243" w14:textId="61E488AE" w:rsidR="00357717" w:rsidRPr="00F04319" w:rsidRDefault="00DF0334" w:rsidP="000D3041">
      <w:pPr>
        <w:pStyle w:val="ListParagraph"/>
        <w:numPr>
          <w:ilvl w:val="0"/>
          <w:numId w:val="14"/>
        </w:numPr>
        <w:rPr>
          <w:i/>
          <w:iCs/>
        </w:rPr>
      </w:pPr>
      <w:r>
        <w:t xml:space="preserve">Category </w:t>
      </w:r>
      <w:r w:rsidR="00357717">
        <w:t>Three calls - for urgent:</w:t>
      </w:r>
    </w:p>
    <w:p w14:paraId="5D623467" w14:textId="58D8CF9F" w:rsidR="00357717" w:rsidRPr="00F04319" w:rsidRDefault="00357717" w:rsidP="000D3041">
      <w:pPr>
        <w:pStyle w:val="ListParagraph"/>
        <w:numPr>
          <w:ilvl w:val="1"/>
          <w:numId w:val="14"/>
        </w:numPr>
        <w:rPr>
          <w:i/>
          <w:iCs/>
        </w:rPr>
      </w:pPr>
      <w:r w:rsidRPr="006A2D43">
        <w:t>90</w:t>
      </w:r>
      <w:r w:rsidRPr="006A2D43">
        <w:rPr>
          <w:vertAlign w:val="superscript"/>
        </w:rPr>
        <w:t>th</w:t>
      </w:r>
      <w:r w:rsidRPr="006A2D43">
        <w:t xml:space="preserve"> Centile: </w:t>
      </w:r>
      <w:r>
        <w:t>0</w:t>
      </w:r>
      <w:r w:rsidR="001907D3">
        <w:t>8</w:t>
      </w:r>
      <w:r>
        <w:t>:</w:t>
      </w:r>
      <w:r w:rsidR="001907D3">
        <w:t>16</w:t>
      </w:r>
      <w:r>
        <w:t>:</w:t>
      </w:r>
      <w:r w:rsidR="001907D3">
        <w:t>2</w:t>
      </w:r>
      <w:r>
        <w:t>1</w:t>
      </w:r>
      <w:r w:rsidRPr="006A2D43">
        <w:t xml:space="preserve"> (</w:t>
      </w:r>
      <w:r>
        <w:t>standard</w:t>
      </w:r>
      <w:r w:rsidRPr="006A2D43">
        <w:t xml:space="preserve"> &lt;= </w:t>
      </w:r>
      <w:r>
        <w:t>2 hours</w:t>
      </w:r>
      <w:r w:rsidRPr="006A2D43">
        <w:t>)</w:t>
      </w:r>
    </w:p>
    <w:p w14:paraId="1B8138E0" w14:textId="357C5A26" w:rsidR="00357717" w:rsidRPr="00F04319" w:rsidRDefault="00DF0334" w:rsidP="000D3041">
      <w:pPr>
        <w:pStyle w:val="ListParagraph"/>
        <w:numPr>
          <w:ilvl w:val="0"/>
          <w:numId w:val="14"/>
        </w:numPr>
        <w:rPr>
          <w:i/>
          <w:iCs/>
        </w:rPr>
      </w:pPr>
      <w:r>
        <w:t xml:space="preserve">Category </w:t>
      </w:r>
      <w:r w:rsidR="00357717">
        <w:t>Four calls - for less urgent:</w:t>
      </w:r>
    </w:p>
    <w:p w14:paraId="476F9A9A" w14:textId="10D16D6A" w:rsidR="00357717" w:rsidRPr="006A2D43" w:rsidRDefault="00357717" w:rsidP="000D3041">
      <w:pPr>
        <w:pStyle w:val="ListParagraph"/>
        <w:numPr>
          <w:ilvl w:val="1"/>
          <w:numId w:val="14"/>
        </w:numPr>
        <w:rPr>
          <w:i/>
          <w:iCs/>
        </w:rPr>
      </w:pPr>
      <w:r w:rsidRPr="006A2D43">
        <w:t>90</w:t>
      </w:r>
      <w:r w:rsidRPr="006A2D43">
        <w:rPr>
          <w:vertAlign w:val="superscript"/>
        </w:rPr>
        <w:t>th</w:t>
      </w:r>
      <w:r w:rsidRPr="006A2D43">
        <w:t xml:space="preserve"> Centile: </w:t>
      </w:r>
      <w:r w:rsidR="001907D3">
        <w:t>10</w:t>
      </w:r>
      <w:r>
        <w:t>:</w:t>
      </w:r>
      <w:r w:rsidR="001907D3">
        <w:t>51</w:t>
      </w:r>
      <w:r>
        <w:t>:</w:t>
      </w:r>
      <w:r w:rsidR="001907D3">
        <w:t>13</w:t>
      </w:r>
      <w:r w:rsidRPr="006A2D43">
        <w:t xml:space="preserve"> (</w:t>
      </w:r>
      <w:r>
        <w:t>standard</w:t>
      </w:r>
      <w:r w:rsidRPr="006A2D43">
        <w:t xml:space="preserve"> &lt;= </w:t>
      </w:r>
      <w:r>
        <w:t>3 hours</w:t>
      </w:r>
      <w:r w:rsidRPr="006A2D43">
        <w:t>)</w:t>
      </w:r>
    </w:p>
    <w:p w14:paraId="1F8AECC0" w14:textId="26B45BF4" w:rsidR="00357717" w:rsidRDefault="00357717" w:rsidP="00357717">
      <w:r>
        <w:t xml:space="preserve">ED waiting times are also challenged. For Mid and South Essex NHS Foundation Trust (MSEFT), during 2021/22 (Apr-21 to Jan-22) </w:t>
      </w:r>
      <w:r w:rsidR="001907D3">
        <w:t>77.6</w:t>
      </w:r>
      <w:r>
        <w:t xml:space="preserve">% of patients arriving within A&amp;E were </w:t>
      </w:r>
      <w:r w:rsidRPr="00C8149B">
        <w:t>seen, treated, and discharged, or admitted to a ward</w:t>
      </w:r>
      <w:r>
        <w:t xml:space="preserve"> with four hours of arrival (</w:t>
      </w:r>
      <w:r w:rsidR="00DF0334">
        <w:t xml:space="preserve">i.e. the </w:t>
      </w:r>
      <w:r>
        <w:t>standard of &gt;= 95%).</w:t>
      </w:r>
    </w:p>
    <w:p w14:paraId="2FA93D52" w14:textId="056F8AD4" w:rsidR="00357717" w:rsidRDefault="00357717" w:rsidP="00357717">
      <w:r>
        <w:t xml:space="preserve">As a system the CCG are working with all partners including MSEFT, Community providers, Local Authorities and </w:t>
      </w:r>
      <w:r w:rsidR="00DF0334">
        <w:t>East of England Ambulance Service Trust (</w:t>
      </w:r>
      <w:r>
        <w:t>EEAST</w:t>
      </w:r>
      <w:r w:rsidR="00DF0334">
        <w:t>)</w:t>
      </w:r>
      <w:r>
        <w:t xml:space="preserve"> to improve response times and ED waiting times. </w:t>
      </w:r>
    </w:p>
    <w:p w14:paraId="0AA235C7" w14:textId="0A2B30F4" w:rsidR="00357717" w:rsidRDefault="00357717" w:rsidP="00357717">
      <w:r>
        <w:t xml:space="preserve">All partners are members of the Strategic Partnership Urgent and Emergency Care Board </w:t>
      </w:r>
      <w:r w:rsidR="00DF0334">
        <w:t xml:space="preserve">which provides </w:t>
      </w:r>
      <w:r>
        <w:t xml:space="preserve">oversight and input into the improvement of the system UEC performance. Daily operational calls are in place with system partners, ensuring plans are in place or reviewed to mitigate presenting pressures across the system. </w:t>
      </w:r>
    </w:p>
    <w:p w14:paraId="0BF5D59C" w14:textId="77777777" w:rsidR="00357717" w:rsidRDefault="00357717" w:rsidP="00357717">
      <w:r>
        <w:lastRenderedPageBreak/>
        <w:t xml:space="preserve">Mid and South Essex system through collaborative working between partner organisations are working on several initiatives to improve ambulance offload times (for conveyed patients) and flow through ED.  </w:t>
      </w:r>
    </w:p>
    <w:p w14:paraId="71106BA1" w14:textId="3601B8B0" w:rsidR="00357717" w:rsidRDefault="00357717" w:rsidP="00357717">
      <w:r>
        <w:t>Community providers are supporting for example, through the Urgent Community Response Team (UCRT) working with EEAST to, where appropriate, provide an alternative to conveying patients to acute hospital. The Virtual Wards work is continuing to be developed to support admission and reduce the need for conveyance of frail elderly patients where more appropriate</w:t>
      </w:r>
      <w:r w:rsidR="00564146">
        <w:t xml:space="preserve"> options are available</w:t>
      </w:r>
      <w:r>
        <w:t xml:space="preserve">.    </w:t>
      </w:r>
    </w:p>
    <w:p w14:paraId="1DFDF4E7" w14:textId="31C26C55" w:rsidR="00357717" w:rsidRDefault="00357717" w:rsidP="00357717">
      <w:r>
        <w:rPr>
          <w:color w:val="000000" w:themeColor="text1"/>
        </w:rPr>
        <w:t xml:space="preserve">Another example of collaborative working between partner organisations is </w:t>
      </w:r>
      <w:r w:rsidR="00564146">
        <w:rPr>
          <w:color w:val="000000" w:themeColor="text1"/>
        </w:rPr>
        <w:t xml:space="preserve">where the </w:t>
      </w:r>
      <w:r>
        <w:rPr>
          <w:color w:val="000000" w:themeColor="text1"/>
        </w:rPr>
        <w:t xml:space="preserve">EEAST </w:t>
      </w:r>
      <w:r w:rsidRPr="001F115E">
        <w:rPr>
          <w:color w:val="000000" w:themeColor="text1"/>
        </w:rPr>
        <w:t>H</w:t>
      </w:r>
      <w:r>
        <w:rPr>
          <w:color w:val="000000" w:themeColor="text1"/>
        </w:rPr>
        <w:t xml:space="preserve">ospital </w:t>
      </w:r>
      <w:r w:rsidRPr="001F115E">
        <w:rPr>
          <w:color w:val="000000" w:themeColor="text1"/>
        </w:rPr>
        <w:t>A</w:t>
      </w:r>
      <w:r>
        <w:rPr>
          <w:color w:val="000000" w:themeColor="text1"/>
        </w:rPr>
        <w:t xml:space="preserve">mbulance </w:t>
      </w:r>
      <w:r w:rsidRPr="001F115E">
        <w:rPr>
          <w:color w:val="000000" w:themeColor="text1"/>
        </w:rPr>
        <w:t>L</w:t>
      </w:r>
      <w:r>
        <w:rPr>
          <w:color w:val="000000" w:themeColor="text1"/>
        </w:rPr>
        <w:t xml:space="preserve">iaison </w:t>
      </w:r>
      <w:r w:rsidRPr="001F115E">
        <w:rPr>
          <w:color w:val="000000" w:themeColor="text1"/>
        </w:rPr>
        <w:t>O</w:t>
      </w:r>
      <w:r>
        <w:rPr>
          <w:color w:val="000000" w:themeColor="text1"/>
        </w:rPr>
        <w:t xml:space="preserve">fficer (HALO) </w:t>
      </w:r>
      <w:r w:rsidR="00564146">
        <w:rPr>
          <w:color w:val="000000" w:themeColor="text1"/>
        </w:rPr>
        <w:t xml:space="preserve">is </w:t>
      </w:r>
      <w:r>
        <w:rPr>
          <w:color w:val="000000" w:themeColor="text1"/>
        </w:rPr>
        <w:t>work</w:t>
      </w:r>
      <w:r w:rsidR="00564146">
        <w:rPr>
          <w:color w:val="000000" w:themeColor="text1"/>
        </w:rPr>
        <w:t>ing</w:t>
      </w:r>
      <w:r>
        <w:rPr>
          <w:color w:val="000000" w:themeColor="text1"/>
        </w:rPr>
        <w:t xml:space="preserve"> within MSEFT Emergency Departments (ED) to facilitate the triaging and handover of patients arriving via ambulance to release EEAST staff.  </w:t>
      </w:r>
      <w:r>
        <w:t xml:space="preserve"> </w:t>
      </w:r>
    </w:p>
    <w:p w14:paraId="32A90DAC" w14:textId="40F58813" w:rsidR="00357717" w:rsidRPr="00C8149B" w:rsidRDefault="00357717" w:rsidP="00357717">
      <w:r>
        <w:t>To facilitate optimal flow through the hospital, Local Authorities ensure continued support for timely discharges from the acute</w:t>
      </w:r>
      <w:r w:rsidR="00564146">
        <w:t xml:space="preserve"> hospital setting</w:t>
      </w:r>
      <w:r>
        <w:t xml:space="preserve">. </w:t>
      </w:r>
    </w:p>
    <w:p w14:paraId="1A7E4B77" w14:textId="77777777" w:rsidR="00357717" w:rsidRPr="00591E47" w:rsidRDefault="00357717" w:rsidP="000D3041">
      <w:pPr>
        <w:pStyle w:val="BodyText"/>
        <w:numPr>
          <w:ilvl w:val="0"/>
          <w:numId w:val="26"/>
        </w:numPr>
        <w:ind w:left="426"/>
        <w:rPr>
          <w:b/>
          <w:bCs/>
        </w:rPr>
      </w:pPr>
      <w:r w:rsidRPr="00591E47">
        <w:rPr>
          <w:b/>
          <w:bCs/>
        </w:rPr>
        <w:t>NHS Constitution – Diagnostics</w:t>
      </w:r>
    </w:p>
    <w:p w14:paraId="7A21CEBF" w14:textId="3E4E59C2" w:rsidR="00357717" w:rsidRDefault="00357717" w:rsidP="00004CC5">
      <w:pPr>
        <w:pStyle w:val="Heading4"/>
        <w:spacing w:before="120" w:after="200"/>
        <w:jc w:val="both"/>
        <w:rPr>
          <w:rFonts w:eastAsiaTheme="minorHAnsi" w:cstheme="minorBidi"/>
          <w:b w:val="0"/>
          <w:bCs w:val="0"/>
          <w:color w:val="auto"/>
        </w:rPr>
      </w:pPr>
      <w:r w:rsidRPr="007F6D70">
        <w:rPr>
          <w:rFonts w:eastAsiaTheme="minorHAnsi" w:cstheme="minorBidi"/>
          <w:b w:val="0"/>
          <w:bCs w:val="0"/>
          <w:color w:val="auto"/>
        </w:rPr>
        <w:t>As seen nationally during the C</w:t>
      </w:r>
      <w:r w:rsidR="003067AE">
        <w:rPr>
          <w:rFonts w:eastAsiaTheme="minorHAnsi" w:cstheme="minorBidi"/>
          <w:b w:val="0"/>
          <w:bCs w:val="0"/>
          <w:color w:val="auto"/>
        </w:rPr>
        <w:t>ovid</w:t>
      </w:r>
      <w:r w:rsidRPr="007F6D70">
        <w:rPr>
          <w:rFonts w:eastAsiaTheme="minorHAnsi" w:cstheme="minorBidi"/>
          <w:b w:val="0"/>
          <w:bCs w:val="0"/>
          <w:color w:val="auto"/>
        </w:rPr>
        <w:t>-19 pandemic</w:t>
      </w:r>
      <w:r>
        <w:rPr>
          <w:rFonts w:eastAsiaTheme="minorHAnsi" w:cstheme="minorBidi"/>
          <w:b w:val="0"/>
          <w:bCs w:val="0"/>
          <w:color w:val="auto"/>
        </w:rPr>
        <w:t>, waiting times for diagnostic tests or procedures ha</w:t>
      </w:r>
      <w:r w:rsidR="00004CC5">
        <w:rPr>
          <w:rFonts w:eastAsiaTheme="minorHAnsi" w:cstheme="minorBidi"/>
          <w:b w:val="0"/>
          <w:bCs w:val="0"/>
          <w:color w:val="auto"/>
        </w:rPr>
        <w:t>ve</w:t>
      </w:r>
      <w:r>
        <w:rPr>
          <w:rFonts w:eastAsiaTheme="minorHAnsi" w:cstheme="minorBidi"/>
          <w:b w:val="0"/>
          <w:bCs w:val="0"/>
          <w:color w:val="auto"/>
        </w:rPr>
        <w:t xml:space="preserve"> increased significantly with a large increase in the number of patients waiting over</w:t>
      </w:r>
      <w:r w:rsidR="00564146">
        <w:rPr>
          <w:rFonts w:eastAsiaTheme="minorHAnsi" w:cstheme="minorBidi"/>
          <w:b w:val="0"/>
          <w:bCs w:val="0"/>
          <w:color w:val="auto"/>
        </w:rPr>
        <w:t xml:space="preserve"> the</w:t>
      </w:r>
      <w:r>
        <w:rPr>
          <w:rFonts w:eastAsiaTheme="minorHAnsi" w:cstheme="minorBidi"/>
          <w:b w:val="0"/>
          <w:bCs w:val="0"/>
          <w:color w:val="auto"/>
        </w:rPr>
        <w:t xml:space="preserve"> six week and 13 week</w:t>
      </w:r>
      <w:r w:rsidR="00564146">
        <w:rPr>
          <w:rFonts w:eastAsiaTheme="minorHAnsi" w:cstheme="minorBidi"/>
          <w:b w:val="0"/>
          <w:bCs w:val="0"/>
          <w:color w:val="auto"/>
        </w:rPr>
        <w:t xml:space="preserve"> targets</w:t>
      </w:r>
      <w:r>
        <w:rPr>
          <w:rFonts w:eastAsiaTheme="minorHAnsi" w:cstheme="minorBidi"/>
          <w:b w:val="0"/>
          <w:bCs w:val="0"/>
          <w:color w:val="auto"/>
        </w:rPr>
        <w:t>.</w:t>
      </w:r>
    </w:p>
    <w:p w14:paraId="7E057044" w14:textId="77777777" w:rsidR="00357717" w:rsidRDefault="00357717" w:rsidP="00591E47">
      <w:pPr>
        <w:pStyle w:val="BodyText"/>
      </w:pPr>
      <w:r>
        <w:t xml:space="preserve">During 2021/22, 68% of patients waited less than six weeks (below standard of &gt;= 99%) with circa 14% of patients waiting over 13 weeks (below standard of zero) at MSEFT.  </w:t>
      </w:r>
    </w:p>
    <w:p w14:paraId="31B0DCB6" w14:textId="0828BB3E" w:rsidR="00357717" w:rsidRPr="00591E47" w:rsidRDefault="00357717" w:rsidP="000D3041">
      <w:pPr>
        <w:pStyle w:val="BodyText"/>
        <w:numPr>
          <w:ilvl w:val="0"/>
          <w:numId w:val="14"/>
        </w:numPr>
        <w:ind w:left="426"/>
        <w:rPr>
          <w:b/>
          <w:bCs/>
        </w:rPr>
      </w:pPr>
      <w:r w:rsidRPr="00591E47">
        <w:rPr>
          <w:b/>
          <w:bCs/>
        </w:rPr>
        <w:t>NHS Constitution – Cancer waiting times</w:t>
      </w:r>
      <w:r w:rsidR="00564146" w:rsidRPr="00591E47">
        <w:rPr>
          <w:b/>
          <w:bCs/>
        </w:rPr>
        <w:t xml:space="preserve"> </w:t>
      </w:r>
    </w:p>
    <w:p w14:paraId="690FFD45" w14:textId="55AC8F2A" w:rsidR="00357717" w:rsidRDefault="00357717" w:rsidP="00357717">
      <w:r>
        <w:t>As seen nationally during the C</w:t>
      </w:r>
      <w:r w:rsidR="003067AE">
        <w:t>ovid</w:t>
      </w:r>
      <w:r>
        <w:t xml:space="preserve">-19 pandemic, demand in terms of the number of two week wait (2WW) referrals decreased significantly and now, as expected demand on cancer services particularly the 2ww referrals is increasing as the country comes out of the pandemic.   </w:t>
      </w:r>
    </w:p>
    <w:p w14:paraId="25742107" w14:textId="5ED64CB4" w:rsidR="00357717" w:rsidRDefault="00357717" w:rsidP="00357717">
      <w:r>
        <w:t xml:space="preserve">For Mid and South Essex NHS Foundation Trust (MSEFT), during 2021/22 (Apr-21 to </w:t>
      </w:r>
      <w:r w:rsidR="00564146">
        <w:t>Mar</w:t>
      </w:r>
      <w:r>
        <w:t>-22):</w:t>
      </w:r>
    </w:p>
    <w:p w14:paraId="5EEFBE75" w14:textId="77777777" w:rsidR="001907D3" w:rsidRDefault="001907D3" w:rsidP="000D3041">
      <w:pPr>
        <w:pStyle w:val="ListParagraph"/>
        <w:numPr>
          <w:ilvl w:val="0"/>
          <w:numId w:val="14"/>
        </w:numPr>
      </w:pPr>
      <w:r>
        <w:t>69.8% of patients were seen by a specialist within 2 weeks of being booked on a 2WW pathway (below standard of &gt;= 93%).</w:t>
      </w:r>
    </w:p>
    <w:p w14:paraId="2E6A8591" w14:textId="77777777" w:rsidR="001907D3" w:rsidRDefault="001907D3" w:rsidP="001907D3">
      <w:pPr>
        <w:pStyle w:val="ListParagraph"/>
      </w:pPr>
    </w:p>
    <w:p w14:paraId="4792D734" w14:textId="77777777" w:rsidR="001907D3" w:rsidRDefault="001907D3" w:rsidP="000D3041">
      <w:pPr>
        <w:pStyle w:val="ListParagraph"/>
        <w:numPr>
          <w:ilvl w:val="0"/>
          <w:numId w:val="14"/>
        </w:numPr>
        <w:ind w:left="714" w:hanging="357"/>
      </w:pPr>
      <w:r>
        <w:t>68.8% of patients were informed within 28 days whether they have cancer or not (below standard of &gt;= 75%).</w:t>
      </w:r>
    </w:p>
    <w:p w14:paraId="6756C353" w14:textId="77777777" w:rsidR="001907D3" w:rsidRDefault="001907D3" w:rsidP="001907D3">
      <w:pPr>
        <w:pStyle w:val="ListParagraph"/>
      </w:pPr>
    </w:p>
    <w:p w14:paraId="06903467" w14:textId="77777777" w:rsidR="001907D3" w:rsidRDefault="001907D3" w:rsidP="000D3041">
      <w:pPr>
        <w:pStyle w:val="ListParagraph"/>
        <w:numPr>
          <w:ilvl w:val="0"/>
          <w:numId w:val="14"/>
        </w:numPr>
        <w:ind w:left="714" w:hanging="357"/>
      </w:pPr>
      <w:r>
        <w:t xml:space="preserve">85.7% of patients started first definitive treatment for a new primary cancer within 31 days of the decision to treat (below standard of &gt;= 96%).  </w:t>
      </w:r>
    </w:p>
    <w:p w14:paraId="65370073" w14:textId="77777777" w:rsidR="001907D3" w:rsidRDefault="001907D3" w:rsidP="001907D3">
      <w:pPr>
        <w:pStyle w:val="ListParagraph"/>
      </w:pPr>
    </w:p>
    <w:p w14:paraId="0A191BFD" w14:textId="77777777" w:rsidR="001907D3" w:rsidRDefault="001907D3" w:rsidP="000D3041">
      <w:pPr>
        <w:pStyle w:val="ListParagraph"/>
        <w:numPr>
          <w:ilvl w:val="0"/>
          <w:numId w:val="14"/>
        </w:numPr>
        <w:ind w:left="714" w:hanging="357"/>
      </w:pPr>
      <w:r>
        <w:t xml:space="preserve">55.3% of patients started first definitive treatment of cancer from receipt of urgent referral for suspected cancer within 62 days (below standard of &gt;= 85%). </w:t>
      </w:r>
    </w:p>
    <w:p w14:paraId="160C1621" w14:textId="77777777" w:rsidR="00357717" w:rsidRDefault="00357717" w:rsidP="00357717">
      <w:r>
        <w:lastRenderedPageBreak/>
        <w:t xml:space="preserve">Delivery of the 62-day performance continues to be the most challenged cancer standard. </w:t>
      </w:r>
    </w:p>
    <w:p w14:paraId="68B99C1E" w14:textId="48674CFE" w:rsidR="00357717" w:rsidRDefault="00357717" w:rsidP="00357717">
      <w:r>
        <w:t xml:space="preserve">The CCG is working with MSEFT and Cancer Alliance through plans to transform the diagnosis, treatment, and care for cancer patients to recover </w:t>
      </w:r>
      <w:r w:rsidR="00564146">
        <w:t xml:space="preserve">previous levels of </w:t>
      </w:r>
      <w:r>
        <w:t xml:space="preserve">performance for the local population.  </w:t>
      </w:r>
    </w:p>
    <w:p w14:paraId="33A72A94" w14:textId="77777777" w:rsidR="00357717" w:rsidRPr="00591E47" w:rsidRDefault="00357717" w:rsidP="000D3041">
      <w:pPr>
        <w:pStyle w:val="BodyText"/>
        <w:numPr>
          <w:ilvl w:val="0"/>
          <w:numId w:val="25"/>
        </w:numPr>
        <w:ind w:left="284"/>
        <w:rPr>
          <w:b/>
          <w:bCs/>
        </w:rPr>
      </w:pPr>
      <w:r w:rsidRPr="00591E47">
        <w:rPr>
          <w:b/>
          <w:bCs/>
        </w:rPr>
        <w:t>NHS Constitution – Planned Care</w:t>
      </w:r>
    </w:p>
    <w:p w14:paraId="2F193706" w14:textId="15D79DAA" w:rsidR="00357717" w:rsidRDefault="00357717" w:rsidP="00591E47">
      <w:pPr>
        <w:pStyle w:val="BodyText"/>
      </w:pPr>
      <w:r w:rsidRPr="007F6D70">
        <w:t>As seen nationally during the C</w:t>
      </w:r>
      <w:r w:rsidR="003067AE">
        <w:t>ovid</w:t>
      </w:r>
      <w:r w:rsidRPr="007F6D70">
        <w:t>-19 pandemic</w:t>
      </w:r>
      <w:r>
        <w:t>, waiting times from referral to first definitive consultant led elective (non-urgent) treatment (RTT) has increased significantly with a large increase in the number of patients waiting over 18 and 52 weeks.</w:t>
      </w:r>
    </w:p>
    <w:p w14:paraId="7560B10D" w14:textId="77777777" w:rsidR="00357717" w:rsidRDefault="00357717" w:rsidP="001907D3">
      <w:pPr>
        <w:pStyle w:val="Heading4"/>
        <w:spacing w:before="120" w:after="200"/>
        <w:jc w:val="both"/>
        <w:rPr>
          <w:rFonts w:eastAsiaTheme="minorHAnsi" w:cstheme="minorBidi"/>
          <w:b w:val="0"/>
          <w:bCs w:val="0"/>
          <w:color w:val="auto"/>
        </w:rPr>
      </w:pPr>
      <w:r>
        <w:rPr>
          <w:rFonts w:eastAsiaTheme="minorHAnsi" w:cstheme="minorBidi"/>
          <w:b w:val="0"/>
          <w:bCs w:val="0"/>
          <w:color w:val="auto"/>
        </w:rPr>
        <w:t xml:space="preserve">During 2021/22, 34.5% of patients waited less than 18 weeks (below standard of &gt;= 92%) with circa 4% of patients waiting over 52 weeks (below standard of zero) at MSEFT.  </w:t>
      </w:r>
    </w:p>
    <w:p w14:paraId="197531B1" w14:textId="16C31780" w:rsidR="00357717" w:rsidRDefault="00564146" w:rsidP="00357717">
      <w:r>
        <w:t xml:space="preserve">The </w:t>
      </w:r>
      <w:r w:rsidR="00357717">
        <w:t xml:space="preserve">Mid and South Essex </w:t>
      </w:r>
      <w:r>
        <w:t xml:space="preserve">health </w:t>
      </w:r>
      <w:r w:rsidR="00357717">
        <w:t>system through collaborative working between partner organisations including MSEFT, Independent Sector Providers, Community Providers and primary care are working together to ease pressure at the acute trust, ensuring patients with 2ww or urgent referral are prioritised, and available capacity is maximised across the system.</w:t>
      </w:r>
    </w:p>
    <w:p w14:paraId="6EF6D81F" w14:textId="77777777" w:rsidR="00591E47" w:rsidRDefault="00357717" w:rsidP="00591E47">
      <w:r>
        <w:t xml:space="preserve">Community providers are working with MSEFT to, where appropriate, provide an alternative place for treatment to waiting and being treated at MSEFT. Local Independent Sector providers are providing additional system capacity for patients waiting at MSEFT facilitated by commissioners and MSEFT. Primary care is supporting with demand management/referral diversion plans.  </w:t>
      </w:r>
    </w:p>
    <w:p w14:paraId="5DA8FF99" w14:textId="3402EACF" w:rsidR="00357717" w:rsidRPr="00591E47" w:rsidRDefault="00357717" w:rsidP="000D3041">
      <w:pPr>
        <w:pStyle w:val="ListParagraph"/>
        <w:numPr>
          <w:ilvl w:val="0"/>
          <w:numId w:val="14"/>
        </w:numPr>
        <w:ind w:left="284"/>
        <w:rPr>
          <w:b/>
          <w:bCs/>
        </w:rPr>
      </w:pPr>
      <w:r w:rsidRPr="00591E47">
        <w:rPr>
          <w:b/>
          <w:bCs/>
        </w:rPr>
        <w:t>NHS Constitution – Improving Access to Psychological Therapies (IAPT) and waiting times</w:t>
      </w:r>
    </w:p>
    <w:p w14:paraId="37628698" w14:textId="77777777" w:rsidR="00357717" w:rsidRDefault="00357717" w:rsidP="00357717">
      <w:r>
        <w:t xml:space="preserve">The number of people accessing psychological therapies is below target (as at January 2022). </w:t>
      </w:r>
    </w:p>
    <w:p w14:paraId="59D25247" w14:textId="77777777" w:rsidR="00357717" w:rsidRDefault="00357717" w:rsidP="00357717">
      <w:r>
        <w:t xml:space="preserve">The waiting list for IAPT service is meeting the six and 18 week standards for receiving first treatment as follows: </w:t>
      </w:r>
    </w:p>
    <w:p w14:paraId="3E50838C" w14:textId="77777777" w:rsidR="001907D3" w:rsidRDefault="001907D3" w:rsidP="000D3041">
      <w:pPr>
        <w:pStyle w:val="ListParagraph"/>
        <w:numPr>
          <w:ilvl w:val="0"/>
          <w:numId w:val="14"/>
        </w:numPr>
      </w:pPr>
      <w:r>
        <w:t xml:space="preserve">91% of patients received first treatment within six weeks </w:t>
      </w:r>
    </w:p>
    <w:p w14:paraId="31D3699A" w14:textId="77777777" w:rsidR="001907D3" w:rsidRDefault="001907D3" w:rsidP="001907D3">
      <w:pPr>
        <w:pStyle w:val="ListParagraph"/>
      </w:pPr>
      <w:r>
        <w:t xml:space="preserve">(above standard of &gt;=75%) </w:t>
      </w:r>
    </w:p>
    <w:p w14:paraId="16870753" w14:textId="77777777" w:rsidR="001907D3" w:rsidRDefault="001907D3" w:rsidP="000D3041">
      <w:pPr>
        <w:pStyle w:val="ListParagraph"/>
        <w:numPr>
          <w:ilvl w:val="0"/>
          <w:numId w:val="14"/>
        </w:numPr>
      </w:pPr>
      <w:r>
        <w:t xml:space="preserve">96% of patients received first treatment within 18 weeks </w:t>
      </w:r>
    </w:p>
    <w:p w14:paraId="5530AE7A" w14:textId="37AC4EEF" w:rsidR="001907D3" w:rsidRDefault="001907D3" w:rsidP="001907D3">
      <w:pPr>
        <w:pStyle w:val="ListParagraph"/>
      </w:pPr>
      <w:r>
        <w:t xml:space="preserve">(above standard of &gt;= 95%) </w:t>
      </w:r>
    </w:p>
    <w:p w14:paraId="2B8046BE" w14:textId="6346BBE5" w:rsidR="00357717" w:rsidRDefault="00357717" w:rsidP="00357717">
      <w:r>
        <w:t>Of the people who complete treatment, 5</w:t>
      </w:r>
      <w:r w:rsidR="001907D3">
        <w:t>1.9</w:t>
      </w:r>
      <w:r>
        <w:t>% moved into recovery (above the standard of &gt;= 50%).</w:t>
      </w:r>
    </w:p>
    <w:p w14:paraId="2BA33E13" w14:textId="23ADAF4A" w:rsidR="00630A35" w:rsidRDefault="00630A35" w:rsidP="00357717"/>
    <w:p w14:paraId="592A6FB7" w14:textId="4C0CA469" w:rsidR="00630A35" w:rsidRDefault="00630A35" w:rsidP="00357717"/>
    <w:p w14:paraId="1C0C1D53" w14:textId="77777777" w:rsidR="00630A35" w:rsidRDefault="00630A35" w:rsidP="00357717"/>
    <w:p w14:paraId="7326A13E" w14:textId="795AA0AB" w:rsidR="00357717" w:rsidRPr="0043656F" w:rsidRDefault="00357717" w:rsidP="000D3041">
      <w:pPr>
        <w:pStyle w:val="ListParagraph"/>
        <w:numPr>
          <w:ilvl w:val="0"/>
          <w:numId w:val="14"/>
        </w:numPr>
        <w:spacing w:before="0" w:after="200" w:line="276" w:lineRule="auto"/>
        <w:ind w:left="284"/>
        <w:rPr>
          <w:b/>
          <w:bCs/>
        </w:rPr>
      </w:pPr>
      <w:r w:rsidRPr="0043656F">
        <w:rPr>
          <w:b/>
          <w:bCs/>
        </w:rPr>
        <w:lastRenderedPageBreak/>
        <w:t xml:space="preserve">NHS Constitution – Psychosis waiting times. </w:t>
      </w:r>
    </w:p>
    <w:p w14:paraId="2C04B209" w14:textId="77777777" w:rsidR="00357717" w:rsidRPr="0096437C" w:rsidRDefault="00357717" w:rsidP="001907D3">
      <w:pPr>
        <w:pStyle w:val="Heading4"/>
        <w:spacing w:before="120" w:after="200"/>
        <w:jc w:val="both"/>
      </w:pPr>
      <w:r>
        <w:rPr>
          <w:rFonts w:eastAsiaTheme="minorHAnsi" w:cstheme="minorBidi"/>
          <w:b w:val="0"/>
          <w:bCs w:val="0"/>
          <w:color w:val="auto"/>
        </w:rPr>
        <w:t xml:space="preserve">During 2021/22, 86% of people experiencing first episode psychosis started treatment, </w:t>
      </w:r>
      <w:r w:rsidRPr="006C2E5B">
        <w:rPr>
          <w:rFonts w:eastAsiaTheme="minorHAnsi" w:cstheme="minorBidi"/>
          <w:b w:val="0"/>
          <w:bCs w:val="0"/>
          <w:color w:val="auto"/>
        </w:rPr>
        <w:t>with NICE recommended package of care</w:t>
      </w:r>
      <w:r>
        <w:rPr>
          <w:rFonts w:eastAsiaTheme="minorHAnsi" w:cstheme="minorBidi"/>
          <w:b w:val="0"/>
          <w:bCs w:val="0"/>
          <w:color w:val="auto"/>
        </w:rPr>
        <w:t>, within two weeks from referral (above the standard of &gt;= 60%).</w:t>
      </w:r>
    </w:p>
    <w:p w14:paraId="4B2ED1B8" w14:textId="77777777" w:rsidR="00357717" w:rsidRPr="00591E47" w:rsidRDefault="00357717" w:rsidP="000D3041">
      <w:pPr>
        <w:pStyle w:val="BodyText"/>
        <w:numPr>
          <w:ilvl w:val="0"/>
          <w:numId w:val="14"/>
        </w:numPr>
        <w:tabs>
          <w:tab w:val="left" w:pos="284"/>
        </w:tabs>
        <w:ind w:left="284" w:hanging="284"/>
        <w:rPr>
          <w:b/>
          <w:bCs/>
        </w:rPr>
      </w:pPr>
      <w:r w:rsidRPr="00591E47">
        <w:rPr>
          <w:b/>
          <w:bCs/>
        </w:rPr>
        <w:t>Severe Mental Illness (SMI) Health Checks</w:t>
      </w:r>
    </w:p>
    <w:p w14:paraId="5E306080" w14:textId="77777777" w:rsidR="00357717" w:rsidRDefault="00357717" w:rsidP="00357717">
      <w:r>
        <w:t xml:space="preserve">Circa 2,400 people are living with Severe Mental Illness (SMI) within the CCG population. As at March 2022, 41.6% of people living with SMI have received their full physical health assessments (below standard of &gt;= 60%). </w:t>
      </w:r>
    </w:p>
    <w:p w14:paraId="00F2F47B" w14:textId="77777777" w:rsidR="00357717" w:rsidRPr="001F4621" w:rsidRDefault="00357717" w:rsidP="00357717">
      <w:r>
        <w:t xml:space="preserve">The CCG is working closely with primary care GP Practices to increase coverage of people living with SMI receiving their health checks ensuring the 60% standard is met during 2022. </w:t>
      </w:r>
    </w:p>
    <w:p w14:paraId="0399CE55" w14:textId="77777777" w:rsidR="00357717" w:rsidRDefault="00357717" w:rsidP="000D3041">
      <w:pPr>
        <w:pStyle w:val="ListParagraph"/>
        <w:numPr>
          <w:ilvl w:val="0"/>
          <w:numId w:val="14"/>
        </w:numPr>
        <w:ind w:left="284" w:hanging="284"/>
        <w:rPr>
          <w:b/>
          <w:bCs/>
        </w:rPr>
      </w:pPr>
      <w:r w:rsidRPr="001F4621">
        <w:rPr>
          <w:b/>
          <w:bCs/>
        </w:rPr>
        <w:t xml:space="preserve">NHS Constitution – Children and Young People </w:t>
      </w:r>
      <w:r>
        <w:rPr>
          <w:b/>
          <w:bCs/>
        </w:rPr>
        <w:t xml:space="preserve">access to mental health services and </w:t>
      </w:r>
      <w:r w:rsidRPr="001F4621">
        <w:rPr>
          <w:b/>
          <w:bCs/>
        </w:rPr>
        <w:t xml:space="preserve">eating disorders treatment waiting times. </w:t>
      </w:r>
    </w:p>
    <w:p w14:paraId="3E8D3679" w14:textId="6A684937" w:rsidR="00357717" w:rsidRPr="00301976" w:rsidRDefault="00357717" w:rsidP="00357717">
      <w:pPr>
        <w:rPr>
          <w:b/>
          <w:bCs/>
        </w:rPr>
      </w:pPr>
      <w:r>
        <w:t>The number of</w:t>
      </w:r>
      <w:r w:rsidRPr="00DB0489">
        <w:t xml:space="preserve"> Children</w:t>
      </w:r>
      <w:r>
        <w:t xml:space="preserve"> and Young People accessing Mental Health Services is below national</w:t>
      </w:r>
      <w:r w:rsidRPr="00104B77">
        <w:t xml:space="preserve"> trajectory of 3</w:t>
      </w:r>
      <w:r>
        <w:t>5</w:t>
      </w:r>
      <w:r w:rsidRPr="00104B77">
        <w:t>%</w:t>
      </w:r>
      <w:r>
        <w:t xml:space="preserve"> at 3</w:t>
      </w:r>
      <w:r w:rsidR="001907D3">
        <w:t>2.7</w:t>
      </w:r>
      <w:r>
        <w:t>%</w:t>
      </w:r>
      <w:r w:rsidR="001907D3">
        <w:t xml:space="preserve">.  </w:t>
      </w:r>
      <w:r>
        <w:t>North East London Foundation Trust are working through an agreed recruitment plan for expanding the workforce to improve access.</w:t>
      </w:r>
    </w:p>
    <w:p w14:paraId="4A6F89A5" w14:textId="77777777" w:rsidR="00357717" w:rsidRPr="00591E47" w:rsidRDefault="00357717" w:rsidP="000D3041">
      <w:pPr>
        <w:pStyle w:val="BodyText"/>
        <w:numPr>
          <w:ilvl w:val="0"/>
          <w:numId w:val="14"/>
        </w:numPr>
        <w:ind w:left="284" w:hanging="284"/>
        <w:rPr>
          <w:b/>
          <w:bCs/>
        </w:rPr>
      </w:pPr>
      <w:r w:rsidRPr="00591E47">
        <w:rPr>
          <w:b/>
          <w:bCs/>
        </w:rPr>
        <w:t>NHS Constitution – Dementia</w:t>
      </w:r>
    </w:p>
    <w:p w14:paraId="21E31397" w14:textId="2D44896F" w:rsidR="0071304C" w:rsidRPr="007830C3" w:rsidRDefault="00357717" w:rsidP="00E404BB">
      <w:r>
        <w:t xml:space="preserve">The standard is for the number of people on the dementia GP Practice register to be at least 66.7% of the estimated prevalence.  The CCG register is at </w:t>
      </w:r>
      <w:r w:rsidRPr="001907D3">
        <w:t>55.</w:t>
      </w:r>
      <w:r w:rsidR="001907D3">
        <w:t>4</w:t>
      </w:r>
      <w:r w:rsidRPr="001907D3">
        <w:t>%</w:t>
      </w:r>
      <w:r>
        <w:t xml:space="preserve"> (as at </w:t>
      </w:r>
      <w:r w:rsidR="00564146">
        <w:t xml:space="preserve">March </w:t>
      </w:r>
      <w:r>
        <w:t xml:space="preserve">2022). The CCG is working closely with primary care GP practices to encourage GP referrals into the commissioned Memory Assessment Service to increase dementia diagnosis rate.   </w:t>
      </w:r>
      <w:bookmarkEnd w:id="35"/>
      <w:bookmarkEnd w:id="36"/>
    </w:p>
    <w:p w14:paraId="42DECBEC" w14:textId="37B63EF3" w:rsidR="00163AC7" w:rsidRPr="00163AC7" w:rsidRDefault="00FF0245" w:rsidP="00C021FC">
      <w:pPr>
        <w:pStyle w:val="Heading3"/>
        <w:spacing w:before="360"/>
      </w:pPr>
      <w:bookmarkStart w:id="41" w:name="_Toc73008657"/>
      <w:bookmarkStart w:id="42" w:name="_Toc107389445"/>
      <w:bookmarkStart w:id="43" w:name="_Hlk70077298"/>
      <w:bookmarkStart w:id="44" w:name="_Toc94188177"/>
      <w:bookmarkStart w:id="45" w:name="_Toc97218322"/>
      <w:r>
        <w:t>Improve</w:t>
      </w:r>
      <w:r w:rsidR="00163AC7" w:rsidRPr="00163AC7">
        <w:t xml:space="preserve"> Quality</w:t>
      </w:r>
      <w:bookmarkEnd w:id="41"/>
      <w:bookmarkEnd w:id="42"/>
    </w:p>
    <w:p w14:paraId="7841FF69" w14:textId="77777777" w:rsidR="00163AC7" w:rsidRDefault="00163AC7" w:rsidP="00163AC7">
      <w:pPr>
        <w:rPr>
          <w:szCs w:val="24"/>
          <w:lang w:eastAsia="en-GB"/>
        </w:rPr>
      </w:pPr>
      <w:r>
        <w:rPr>
          <w:szCs w:val="24"/>
          <w:lang w:eastAsia="en-GB"/>
        </w:rPr>
        <w:t xml:space="preserve">2021/22 has continued to bring challenges and demands on our services, during which time colleagues from all sectors have done so much to ensure we continue to maintain quality care to thousands of patients across our system.  </w:t>
      </w:r>
    </w:p>
    <w:p w14:paraId="1FCB7C64" w14:textId="77777777" w:rsidR="00163AC7" w:rsidRDefault="00163AC7" w:rsidP="00163AC7">
      <w:pPr>
        <w:rPr>
          <w:szCs w:val="24"/>
          <w:lang w:eastAsia="en-GB"/>
        </w:rPr>
      </w:pPr>
      <w:r>
        <w:rPr>
          <w:szCs w:val="24"/>
          <w:lang w:eastAsia="en-GB"/>
        </w:rPr>
        <w:t xml:space="preserve">Mid and South Essex CCGs (MSE) have maintained core quality functions, such as serious incident monitoring and investigation, safeguarding, quality assurance and infection prevention and control, whilst recognising the challenges created by the pandemic. At times having to prioritise our work to flex with the needs of the system and continuing, where able, to work towards the transformation of services and processes in readiness for transition into an Integrated Care System (ICS). </w:t>
      </w:r>
    </w:p>
    <w:p w14:paraId="4A670740" w14:textId="17CDB014" w:rsidR="00163AC7" w:rsidRDefault="00163AC7" w:rsidP="00163AC7">
      <w:pPr>
        <w:rPr>
          <w:szCs w:val="24"/>
          <w:lang w:eastAsia="en-GB"/>
        </w:rPr>
      </w:pPr>
      <w:r>
        <w:rPr>
          <w:szCs w:val="24"/>
          <w:lang w:eastAsia="en-GB"/>
        </w:rPr>
        <w:t xml:space="preserve">Throughout 2021/22 the Quality team has adopted a continued response to the management of </w:t>
      </w:r>
      <w:r w:rsidR="00564146">
        <w:rPr>
          <w:szCs w:val="24"/>
          <w:lang w:eastAsia="en-GB"/>
        </w:rPr>
        <w:t>Covid</w:t>
      </w:r>
      <w:r>
        <w:rPr>
          <w:szCs w:val="24"/>
          <w:lang w:eastAsia="en-GB"/>
        </w:rPr>
        <w:t>-19 and associated workforce challenges, whilst continuing to influence the provision of safe, clinically effective healthcare locally.</w:t>
      </w:r>
    </w:p>
    <w:p w14:paraId="48E8A836" w14:textId="77777777" w:rsidR="00630A35" w:rsidRDefault="00630A35" w:rsidP="00163AC7">
      <w:pPr>
        <w:rPr>
          <w:szCs w:val="24"/>
          <w:lang w:eastAsia="en-GB"/>
        </w:rPr>
      </w:pPr>
    </w:p>
    <w:p w14:paraId="7C8B1ED3" w14:textId="77777777" w:rsidR="00163AC7" w:rsidRDefault="00163AC7" w:rsidP="00163AC7">
      <w:pPr>
        <w:rPr>
          <w:b/>
          <w:bCs/>
          <w:szCs w:val="24"/>
          <w:lang w:eastAsia="en-GB"/>
        </w:rPr>
      </w:pPr>
      <w:r>
        <w:rPr>
          <w:b/>
          <w:bCs/>
          <w:szCs w:val="24"/>
          <w:lang w:eastAsia="en-GB"/>
        </w:rPr>
        <w:lastRenderedPageBreak/>
        <w:t>Care Quality Commission (CQC)</w:t>
      </w:r>
    </w:p>
    <w:p w14:paraId="002A7978" w14:textId="77777777" w:rsidR="00163AC7" w:rsidRDefault="00163AC7" w:rsidP="00163AC7">
      <w:pPr>
        <w:rPr>
          <w:szCs w:val="24"/>
          <w:lang w:eastAsia="en-GB"/>
        </w:rPr>
      </w:pPr>
      <w:r>
        <w:rPr>
          <w:szCs w:val="24"/>
          <w:lang w:eastAsia="en-GB"/>
        </w:rPr>
        <w:t xml:space="preserve">The ratings of our main providers remain as ‘outstanding’ for Provide Community Interest Company, ‘good’ for Essex Partnership University Trust (EPUT) community services and ‘requires improvement’ for Mid and South Essex Foundation Trust (MSEFT), EPUT Mental Health Services, North East London Foundation Trust community services and East of England Ambulance service.  </w:t>
      </w:r>
    </w:p>
    <w:p w14:paraId="47E58C50" w14:textId="7473A2C5" w:rsidR="00163AC7" w:rsidRDefault="00163AC7" w:rsidP="00163AC7">
      <w:pPr>
        <w:rPr>
          <w:szCs w:val="24"/>
          <w:lang w:eastAsia="en-GB"/>
        </w:rPr>
      </w:pPr>
      <w:r>
        <w:rPr>
          <w:szCs w:val="24"/>
          <w:lang w:eastAsia="en-GB"/>
        </w:rPr>
        <w:t>As part of a new risk-based approach to inspections CQC undertook a formal reinspection of MSEFT Maternity services, and Emergency Departments.  In terms of Maternity services, CQC gave an overall rating of ‘Requires Improvement’. This represents an improvement and acknowledges the hard work being undertaken as part of the MSE wide Maternity Improvement Programme. The CQC Section 31 notice for Maternity remains in place, as well as ongoing support as part of the NHSE/I Maternity Safety Support Programme. The Maternity Improvement Programme has been updated to reflect CQC’s most recent recommendations and strengthened to include learning from the Ockenden Report.  Both will support and further improve the transformation of Maternity services across MSE.</w:t>
      </w:r>
    </w:p>
    <w:p w14:paraId="055339C8" w14:textId="77777777" w:rsidR="00163AC7" w:rsidRDefault="00163AC7" w:rsidP="00163AC7">
      <w:pPr>
        <w:rPr>
          <w:rFonts w:cs="Arial"/>
          <w:szCs w:val="24"/>
        </w:rPr>
      </w:pPr>
      <w:r>
        <w:rPr>
          <w:szCs w:val="24"/>
          <w:lang w:eastAsia="en-GB"/>
        </w:rPr>
        <w:t xml:space="preserve">CQC undertook a review in June 2021 of care for people with a learning disability during the Covid-19 pandemic. The report published looked at how providers worked collaboratively in a system in response to the Covid-19 pandemic and the experiences of people with a learning disability living independently within the community. </w:t>
      </w:r>
      <w:r>
        <w:rPr>
          <w:rFonts w:eastAsia="Calibri" w:cs="Arial"/>
          <w:color w:val="000000" w:themeColor="text1"/>
          <w:kern w:val="24"/>
        </w:rPr>
        <w:t xml:space="preserve"> The report showed positive aspects, that care was provided, and communication was good at the height of the pandemic. Advocacy was also seen as a positive aspect displayed at this time. </w:t>
      </w:r>
    </w:p>
    <w:p w14:paraId="730343FD" w14:textId="77777777" w:rsidR="00163AC7" w:rsidRDefault="00163AC7" w:rsidP="00163AC7">
      <w:pPr>
        <w:rPr>
          <w:b/>
          <w:bCs/>
          <w:szCs w:val="24"/>
          <w:lang w:eastAsia="en-GB"/>
        </w:rPr>
      </w:pPr>
      <w:r>
        <w:rPr>
          <w:b/>
          <w:bCs/>
          <w:szCs w:val="24"/>
          <w:lang w:eastAsia="en-GB"/>
        </w:rPr>
        <w:t xml:space="preserve">System Quality </w:t>
      </w:r>
    </w:p>
    <w:p w14:paraId="5F54430F" w14:textId="2BC9AE5E" w:rsidR="00163AC7" w:rsidRDefault="00163AC7" w:rsidP="00163AC7">
      <w:pPr>
        <w:rPr>
          <w:szCs w:val="24"/>
          <w:lang w:eastAsia="en-GB"/>
        </w:rPr>
      </w:pPr>
      <w:r>
        <w:rPr>
          <w:szCs w:val="24"/>
          <w:lang w:eastAsia="en-GB"/>
        </w:rPr>
        <w:t xml:space="preserve">In line with national NHSE guidance the MSE CCGs Executive Director of Nursing </w:t>
      </w:r>
      <w:r w:rsidR="00564146">
        <w:rPr>
          <w:szCs w:val="24"/>
          <w:lang w:eastAsia="en-GB"/>
        </w:rPr>
        <w:t xml:space="preserve">and Quality </w:t>
      </w:r>
      <w:r>
        <w:rPr>
          <w:szCs w:val="24"/>
          <w:lang w:eastAsia="en-GB"/>
        </w:rPr>
        <w:t>has successfully established the Mid and South Essex System Quality Group.  This has significantly strengthened the quality surv</w:t>
      </w:r>
      <w:r w:rsidR="00004CC5">
        <w:rPr>
          <w:szCs w:val="24"/>
          <w:lang w:eastAsia="en-GB"/>
        </w:rPr>
        <w:t>eillance</w:t>
      </w:r>
      <w:r>
        <w:rPr>
          <w:szCs w:val="24"/>
          <w:lang w:eastAsia="en-GB"/>
        </w:rPr>
        <w:t xml:space="preserve">, oversight and wider system learning from all key providers and partners.  This group will be instrumental in developing system strategy leading into the Integrated Care Board and Partnership.    </w:t>
      </w:r>
    </w:p>
    <w:p w14:paraId="3BDAB6AC" w14:textId="77777777" w:rsidR="00163AC7" w:rsidRDefault="00163AC7" w:rsidP="00163AC7">
      <w:pPr>
        <w:rPr>
          <w:szCs w:val="24"/>
          <w:lang w:eastAsia="en-GB"/>
        </w:rPr>
      </w:pPr>
      <w:r>
        <w:rPr>
          <w:szCs w:val="24"/>
          <w:lang w:eastAsia="en-GB"/>
        </w:rPr>
        <w:t>MSE CCGs have also initiated the Patient Safety Specialist meeting as one of the elements from the National Patient Safety Strategy.  This meeting aims to share knowledge and learning across our system through the collaboration of all acute and community partners.</w:t>
      </w:r>
    </w:p>
    <w:p w14:paraId="7412522B" w14:textId="77777777" w:rsidR="00163AC7" w:rsidRDefault="00163AC7" w:rsidP="00163AC7">
      <w:pPr>
        <w:rPr>
          <w:szCs w:val="24"/>
          <w:lang w:eastAsia="en-GB"/>
        </w:rPr>
      </w:pPr>
      <w:r>
        <w:rPr>
          <w:szCs w:val="24"/>
          <w:lang w:eastAsia="en-GB"/>
        </w:rPr>
        <w:t>MSE Quality teams have also supported MSEFT to undertake deep dive harm reviews on all patients whose care pathways breached cancer standards and those breaching referral to treatment standards. This has enabled the Trust to identify where harm has occurred and for learning to be used to change pathways and processes moving forward.</w:t>
      </w:r>
    </w:p>
    <w:p w14:paraId="2887BB14" w14:textId="77777777" w:rsidR="00163AC7" w:rsidRDefault="00163AC7" w:rsidP="00163AC7">
      <w:pPr>
        <w:rPr>
          <w:szCs w:val="24"/>
          <w:lang w:eastAsia="en-GB"/>
        </w:rPr>
      </w:pPr>
      <w:r>
        <w:rPr>
          <w:szCs w:val="24"/>
          <w:lang w:eastAsia="en-GB"/>
        </w:rPr>
        <w:t xml:space="preserve">For Mental Health service provision across the population of Mid and South Essex the Quality teams have been working closely with Essex Partnership University NHS Foundation Trust (EPUT), the newly formed Mental Health Provider Collaborative and other local providers to ensure robust oversight of the quality and safety of care </w:t>
      </w:r>
      <w:r>
        <w:rPr>
          <w:szCs w:val="24"/>
          <w:lang w:eastAsia="en-GB"/>
        </w:rPr>
        <w:lastRenderedPageBreak/>
        <w:t xml:space="preserve">provided.  During 2020/21 the CCGs have robustly reviewed their mental health commissioning arrangements through the CCG Mental Health Taskforce and supported the ongoing Parliamentary commissioned Essex Mental Health Independent Investigation.   </w:t>
      </w:r>
    </w:p>
    <w:p w14:paraId="51D57D17" w14:textId="77777777" w:rsidR="00163AC7" w:rsidRDefault="00163AC7" w:rsidP="00163AC7">
      <w:pPr>
        <w:rPr>
          <w:b/>
          <w:bCs/>
          <w:szCs w:val="24"/>
          <w:lang w:eastAsia="en-GB"/>
        </w:rPr>
      </w:pPr>
      <w:r>
        <w:rPr>
          <w:b/>
          <w:bCs/>
          <w:szCs w:val="24"/>
          <w:lang w:eastAsia="en-GB"/>
        </w:rPr>
        <w:t>S</w:t>
      </w:r>
      <w:r>
        <w:rPr>
          <w:b/>
          <w:bCs/>
          <w:szCs w:val="24"/>
        </w:rPr>
        <w:t>pecial Educational Needs and Disability (SEND)</w:t>
      </w:r>
    </w:p>
    <w:p w14:paraId="062CBC17" w14:textId="77777777" w:rsidR="00163AC7" w:rsidRDefault="00163AC7" w:rsidP="00163AC7">
      <w:pPr>
        <w:rPr>
          <w:szCs w:val="24"/>
          <w:lang w:eastAsia="en-GB"/>
        </w:rPr>
      </w:pPr>
      <w:r>
        <w:rPr>
          <w:szCs w:val="24"/>
          <w:lang w:eastAsia="en-GB"/>
        </w:rPr>
        <w:t>Thurrock - Ofsted and CQC visited Thurrock in December 2021 to assess the levels of progress made by the Council in addressing areas identified as needing focus and development as highlighted through a joint local area SEND Ofsted inspection report in April 2019.  The report found sufficient improvements on the storage of accurate records and oversight of the provision for children and young people. The rigorous quality assurance for services provided to 0- to 25-year-olds with SEND, and the quality and reviewing of Education, Health and Care (EHC) plans were also highlighted as key improvements.</w:t>
      </w:r>
    </w:p>
    <w:p w14:paraId="7D3884EF" w14:textId="77777777" w:rsidR="00163AC7" w:rsidRDefault="00163AC7" w:rsidP="00163AC7">
      <w:pPr>
        <w:pStyle w:val="summary"/>
        <w:rPr>
          <w:rFonts w:ascii="Arial" w:eastAsiaTheme="minorHAnsi" w:hAnsi="Arial" w:cstheme="minorBidi"/>
        </w:rPr>
      </w:pPr>
      <w:r>
        <w:rPr>
          <w:rFonts w:ascii="Arial" w:eastAsiaTheme="minorHAnsi" w:hAnsi="Arial" w:cstheme="minorBidi"/>
        </w:rPr>
        <w:t>Southend - An Ofsted and CQC revisit to special education needs and disabilities (SEND) services in Southend-on-Sea in November 2021 found sufficient progress made in three out of four areas of significant weakness as identified through the 2018 SEND Inspection.  The report highlighted improvements to the Local Offer, the multi-agency approach to Education Health and Care (EHC) plans and better evaluation of education needs, as well as commenting on the ‘palpable’ change in culture and greater commitment to joint working for the best outcomes for children and young people with SEND in Southend.</w:t>
      </w:r>
    </w:p>
    <w:p w14:paraId="7C50C912" w14:textId="77777777" w:rsidR="00163AC7" w:rsidRDefault="00163AC7" w:rsidP="00163AC7">
      <w:pPr>
        <w:pStyle w:val="summary"/>
        <w:rPr>
          <w:rFonts w:ascii="Arial" w:eastAsiaTheme="minorHAnsi" w:hAnsi="Arial" w:cstheme="minorBidi"/>
        </w:rPr>
      </w:pPr>
      <w:r>
        <w:rPr>
          <w:rFonts w:ascii="Arial" w:eastAsiaTheme="minorHAnsi" w:hAnsi="Arial" w:cstheme="minorBidi"/>
        </w:rPr>
        <w:t>Essex - The SEND team are currently working up their plans prior to the forthcoming inspection due in April and May 2022.</w:t>
      </w:r>
    </w:p>
    <w:p w14:paraId="423EA84E" w14:textId="77777777" w:rsidR="00163AC7" w:rsidRDefault="00163AC7" w:rsidP="00163AC7">
      <w:pPr>
        <w:rPr>
          <w:b/>
          <w:bCs/>
          <w:szCs w:val="24"/>
          <w:lang w:eastAsia="en-GB"/>
        </w:rPr>
      </w:pPr>
      <w:r>
        <w:rPr>
          <w:b/>
          <w:bCs/>
          <w:szCs w:val="24"/>
          <w:lang w:eastAsia="en-GB"/>
        </w:rPr>
        <w:t>Infection Prevention and Control</w:t>
      </w:r>
    </w:p>
    <w:p w14:paraId="5C64C0BD" w14:textId="77777777" w:rsidR="00635C4B" w:rsidRDefault="00635C4B" w:rsidP="00635C4B">
      <w:pPr>
        <w:contextualSpacing/>
        <w:rPr>
          <w:szCs w:val="24"/>
          <w:lang w:eastAsia="en-GB"/>
        </w:rPr>
      </w:pPr>
      <w:r w:rsidRPr="00791E30">
        <w:rPr>
          <w:szCs w:val="24"/>
          <w:lang w:eastAsia="en-GB"/>
        </w:rPr>
        <w:t xml:space="preserve">The Infection Prevention and Control team has been integral to the </w:t>
      </w:r>
      <w:r>
        <w:rPr>
          <w:szCs w:val="24"/>
          <w:lang w:eastAsia="en-GB"/>
        </w:rPr>
        <w:t xml:space="preserve">Covid-19 </w:t>
      </w:r>
      <w:r w:rsidRPr="00791E30">
        <w:rPr>
          <w:szCs w:val="24"/>
          <w:lang w:eastAsia="en-GB"/>
        </w:rPr>
        <w:t xml:space="preserve">pandemic </w:t>
      </w:r>
      <w:r>
        <w:rPr>
          <w:szCs w:val="24"/>
          <w:lang w:eastAsia="en-GB"/>
        </w:rPr>
        <w:t xml:space="preserve">system </w:t>
      </w:r>
      <w:r w:rsidRPr="00791E30">
        <w:rPr>
          <w:szCs w:val="24"/>
          <w:lang w:eastAsia="en-GB"/>
        </w:rPr>
        <w:t>response</w:t>
      </w:r>
      <w:r>
        <w:rPr>
          <w:szCs w:val="24"/>
          <w:lang w:eastAsia="en-GB"/>
        </w:rPr>
        <w:t xml:space="preserve"> during 2021/22.  They have maintained high levels of oversight</w:t>
      </w:r>
      <w:r w:rsidRPr="00791E30">
        <w:rPr>
          <w:szCs w:val="24"/>
          <w:lang w:eastAsia="en-GB"/>
        </w:rPr>
        <w:t xml:space="preserve"> </w:t>
      </w:r>
      <w:r>
        <w:rPr>
          <w:szCs w:val="24"/>
          <w:lang w:eastAsia="en-GB"/>
        </w:rPr>
        <w:t xml:space="preserve">and partnership working with local agents such as Public Health to ensure information, advice, and rapid learning has been robustly available.  </w:t>
      </w:r>
    </w:p>
    <w:p w14:paraId="2042F6B1" w14:textId="77777777" w:rsidR="00635C4B" w:rsidRDefault="00635C4B" w:rsidP="00635C4B">
      <w:pPr>
        <w:contextualSpacing/>
        <w:rPr>
          <w:szCs w:val="24"/>
          <w:lang w:eastAsia="en-GB"/>
        </w:rPr>
      </w:pPr>
    </w:p>
    <w:p w14:paraId="43FEAA95" w14:textId="0D890AC6" w:rsidR="00635C4B" w:rsidRDefault="00635C4B" w:rsidP="00635C4B">
      <w:pPr>
        <w:contextualSpacing/>
        <w:rPr>
          <w:szCs w:val="24"/>
          <w:lang w:eastAsia="en-GB"/>
        </w:rPr>
      </w:pPr>
      <w:r w:rsidRPr="00635C4B">
        <w:rPr>
          <w:szCs w:val="24"/>
          <w:lang w:eastAsia="en-GB"/>
        </w:rPr>
        <w:t>The team have also maintained oversight of healthcare associated infections such as Meticillin resistant Staphylococcus aureus bacteraemia (MRSAB) and Clostridioides difficile infection (CDI) cases. In</w:t>
      </w:r>
      <w:r w:rsidR="00B070DF">
        <w:rPr>
          <w:szCs w:val="24"/>
          <w:lang w:eastAsia="en-GB"/>
        </w:rPr>
        <w:t xml:space="preserve"> </w:t>
      </w:r>
      <w:r>
        <w:rPr>
          <w:szCs w:val="24"/>
          <w:lang w:eastAsia="en-GB"/>
        </w:rPr>
        <w:t xml:space="preserve">the </w:t>
      </w:r>
      <w:r w:rsidRPr="00635C4B">
        <w:rPr>
          <w:szCs w:val="24"/>
          <w:lang w:eastAsia="en-GB"/>
        </w:rPr>
        <w:t>year there were a total of 33 CCG and 9 Acute MRSAB cases and 382 CCG and 221 Acute CDI cases.  Learning from these infections has been identified and we will be supporting providers moving forward to ensure this learning is embedded into practice.</w:t>
      </w:r>
    </w:p>
    <w:p w14:paraId="1BE2FE82" w14:textId="77777777" w:rsidR="00635C4B" w:rsidRDefault="00635C4B" w:rsidP="00635C4B">
      <w:pPr>
        <w:contextualSpacing/>
        <w:rPr>
          <w:szCs w:val="24"/>
          <w:lang w:eastAsia="en-GB"/>
        </w:rPr>
      </w:pPr>
    </w:p>
    <w:p w14:paraId="6E4A75AD" w14:textId="2089FB42" w:rsidR="00635C4B" w:rsidRDefault="00635C4B" w:rsidP="00635C4B">
      <w:pPr>
        <w:contextualSpacing/>
        <w:rPr>
          <w:szCs w:val="24"/>
          <w:lang w:eastAsia="en-GB"/>
        </w:rPr>
      </w:pPr>
      <w:r w:rsidRPr="00D20C7B">
        <w:rPr>
          <w:szCs w:val="24"/>
          <w:lang w:eastAsia="en-GB"/>
        </w:rPr>
        <w:t xml:space="preserve">With reference to the 2019 Group A Streptococcus (iGAS) outbreak in </w:t>
      </w:r>
      <w:r>
        <w:rPr>
          <w:szCs w:val="24"/>
          <w:lang w:eastAsia="en-GB"/>
        </w:rPr>
        <w:t>M</w:t>
      </w:r>
      <w:r w:rsidRPr="00D20C7B">
        <w:rPr>
          <w:szCs w:val="24"/>
          <w:lang w:eastAsia="en-GB"/>
        </w:rPr>
        <w:t xml:space="preserve">id and </w:t>
      </w:r>
      <w:r>
        <w:rPr>
          <w:szCs w:val="24"/>
          <w:lang w:eastAsia="en-GB"/>
        </w:rPr>
        <w:t>W</w:t>
      </w:r>
      <w:r w:rsidRPr="00D20C7B">
        <w:rPr>
          <w:szCs w:val="24"/>
          <w:lang w:eastAsia="en-GB"/>
        </w:rPr>
        <w:t>est</w:t>
      </w:r>
      <w:r>
        <w:rPr>
          <w:szCs w:val="24"/>
          <w:lang w:eastAsia="en-GB"/>
        </w:rPr>
        <w:t xml:space="preserve"> </w:t>
      </w:r>
      <w:r w:rsidRPr="00D20C7B">
        <w:rPr>
          <w:szCs w:val="24"/>
          <w:lang w:eastAsia="en-GB"/>
        </w:rPr>
        <w:t>Essex</w:t>
      </w:r>
      <w:r>
        <w:rPr>
          <w:szCs w:val="24"/>
          <w:lang w:eastAsia="en-GB"/>
        </w:rPr>
        <w:t xml:space="preserve"> work has continued to ensure that all learning has been taken forward and disseminated regionally and national during 2021.</w:t>
      </w:r>
    </w:p>
    <w:p w14:paraId="6878CC12" w14:textId="7D39B81C" w:rsidR="00630A35" w:rsidRDefault="00630A35" w:rsidP="00635C4B">
      <w:pPr>
        <w:contextualSpacing/>
        <w:rPr>
          <w:szCs w:val="24"/>
          <w:lang w:eastAsia="en-GB"/>
        </w:rPr>
      </w:pPr>
    </w:p>
    <w:p w14:paraId="2A5907C1" w14:textId="348B3B13" w:rsidR="00630A35" w:rsidRDefault="00630A35" w:rsidP="00635C4B">
      <w:pPr>
        <w:contextualSpacing/>
        <w:rPr>
          <w:szCs w:val="24"/>
          <w:lang w:eastAsia="en-GB"/>
        </w:rPr>
      </w:pPr>
    </w:p>
    <w:p w14:paraId="5C661813" w14:textId="77777777" w:rsidR="00630A35" w:rsidRDefault="00630A35" w:rsidP="00635C4B">
      <w:pPr>
        <w:contextualSpacing/>
        <w:rPr>
          <w:szCs w:val="24"/>
          <w:lang w:eastAsia="en-GB"/>
        </w:rPr>
      </w:pPr>
    </w:p>
    <w:p w14:paraId="1B32B274" w14:textId="04F947CC" w:rsidR="00635C4B" w:rsidRDefault="00635C4B" w:rsidP="00635C4B">
      <w:pPr>
        <w:contextualSpacing/>
        <w:rPr>
          <w:szCs w:val="24"/>
          <w:lang w:eastAsia="en-GB"/>
        </w:rPr>
      </w:pPr>
    </w:p>
    <w:p w14:paraId="05407BFE" w14:textId="77777777" w:rsidR="00163AC7" w:rsidRDefault="00163AC7" w:rsidP="00163AC7">
      <w:pPr>
        <w:rPr>
          <w:b/>
          <w:bCs/>
          <w:szCs w:val="24"/>
          <w:lang w:eastAsia="en-GB"/>
        </w:rPr>
      </w:pPr>
      <w:r>
        <w:rPr>
          <w:b/>
          <w:bCs/>
          <w:szCs w:val="24"/>
          <w:lang w:eastAsia="en-GB"/>
        </w:rPr>
        <w:lastRenderedPageBreak/>
        <w:t>Patient Experience</w:t>
      </w:r>
    </w:p>
    <w:p w14:paraId="15E1657D" w14:textId="1358FF49" w:rsidR="00163AC7" w:rsidRDefault="00163AC7" w:rsidP="00163AC7">
      <w:pPr>
        <w:rPr>
          <w:szCs w:val="24"/>
          <w:lang w:eastAsia="en-GB"/>
        </w:rPr>
      </w:pPr>
      <w:r>
        <w:rPr>
          <w:szCs w:val="24"/>
          <w:lang w:eastAsia="en-GB"/>
        </w:rPr>
        <w:t>During 2021/22 as part of the development of the Quality strategy, the Quality teams have strengthened the voice of the patient through ways such as a programme of patient stories which capture authentic lived experiences.  This, in turn, is shared with commissioners and has directly influenced commissioning decisions.  Furthermore, as part of stakeholder development of the MSE Quality strategy, a key priority highlighted going into 2022/23 is the call for ongoing focus to ensure robust coproduction with patients and services users.</w:t>
      </w:r>
    </w:p>
    <w:p w14:paraId="14202EFB" w14:textId="77777777" w:rsidR="00163AC7" w:rsidRDefault="00163AC7" w:rsidP="00163AC7">
      <w:pPr>
        <w:rPr>
          <w:szCs w:val="24"/>
          <w:lang w:eastAsia="en-GB"/>
        </w:rPr>
      </w:pPr>
      <w:r>
        <w:rPr>
          <w:b/>
          <w:bCs/>
          <w:szCs w:val="24"/>
          <w:lang w:eastAsia="en-GB"/>
        </w:rPr>
        <w:t>Care Sector</w:t>
      </w:r>
    </w:p>
    <w:p w14:paraId="31B70577" w14:textId="77777777" w:rsidR="00163AC7" w:rsidRDefault="00163AC7" w:rsidP="00163AC7">
      <w:pPr>
        <w:rPr>
          <w:szCs w:val="24"/>
          <w:lang w:eastAsia="en-GB"/>
        </w:rPr>
      </w:pPr>
      <w:r>
        <w:rPr>
          <w:szCs w:val="24"/>
          <w:lang w:eastAsia="en-GB"/>
        </w:rPr>
        <w:t>The Quality team helped to progress the provision of Enhanced Care in Care Homes. Providing support to homes during the Covid-19 pandemic with training, new technology to support our patients remotely and daily hub calls to rapidly enable support to our homes in a timely way.</w:t>
      </w:r>
    </w:p>
    <w:p w14:paraId="37DCA0D3" w14:textId="019B7235" w:rsidR="00EC016D" w:rsidRDefault="00EC016D" w:rsidP="00163AC7">
      <w:pPr>
        <w:pStyle w:val="BodyText"/>
        <w:rPr>
          <w:b/>
          <w:bCs/>
        </w:rPr>
      </w:pPr>
      <w:r w:rsidRPr="00163AC7">
        <w:rPr>
          <w:b/>
          <w:bCs/>
        </w:rPr>
        <w:t xml:space="preserve">Complaints </w:t>
      </w:r>
    </w:p>
    <w:p w14:paraId="6B236A38" w14:textId="77777777" w:rsidR="009B5D65" w:rsidRDefault="009B5D65" w:rsidP="009B5D65">
      <w:pPr>
        <w:pStyle w:val="NoSpacing"/>
        <w:spacing w:after="240"/>
        <w:rPr>
          <w:rFonts w:ascii="Arial" w:hAnsi="Arial" w:cs="Arial"/>
        </w:rPr>
      </w:pPr>
      <w:r w:rsidRPr="009B5D65">
        <w:rPr>
          <w:rFonts w:ascii="Arial" w:hAnsi="Arial" w:cs="Arial"/>
        </w:rPr>
        <w:t xml:space="preserve">The CCG receives complaints from patients, carers, family members and Members of Parliament. Where the complaint relates directly to a provider the permission of the individual is sought to refer to the relevant provider. The CCG will analyse any trends and themes arising from complaints and works with providers to address these. Complaints relating to primary care services are managed by NHS England. </w:t>
      </w:r>
    </w:p>
    <w:p w14:paraId="7763EE76" w14:textId="197F05EE" w:rsidR="009B5D65" w:rsidRDefault="009B5D65" w:rsidP="009B5D65">
      <w:pPr>
        <w:pStyle w:val="NoSpacing"/>
        <w:spacing w:after="240"/>
        <w:rPr>
          <w:rFonts w:ascii="Arial" w:hAnsi="Arial" w:cs="Arial"/>
        </w:rPr>
      </w:pPr>
      <w:r w:rsidRPr="009B5D65">
        <w:rPr>
          <w:rFonts w:ascii="Arial" w:hAnsi="Arial" w:cs="Arial"/>
        </w:rPr>
        <w:t xml:space="preserve">During 2021/22, there were 98 complaints opened and 90 complaints closed, meaning there are currently 8 complaints under investigation. The </w:t>
      </w:r>
      <w:r>
        <w:rPr>
          <w:rFonts w:ascii="Arial" w:hAnsi="Arial" w:cs="Arial"/>
        </w:rPr>
        <w:t>main</w:t>
      </w:r>
      <w:r w:rsidRPr="009B5D65">
        <w:rPr>
          <w:rFonts w:ascii="Arial" w:hAnsi="Arial" w:cs="Arial"/>
        </w:rPr>
        <w:t xml:space="preserve"> themes</w:t>
      </w:r>
      <w:r>
        <w:rPr>
          <w:rFonts w:ascii="Arial" w:hAnsi="Arial" w:cs="Arial"/>
        </w:rPr>
        <w:t xml:space="preserve"> for complaints were</w:t>
      </w:r>
      <w:r w:rsidRPr="009B5D65">
        <w:rPr>
          <w:rFonts w:ascii="Arial" w:hAnsi="Arial" w:cs="Arial"/>
        </w:rPr>
        <w:t xml:space="preserve"> access </w:t>
      </w:r>
      <w:r>
        <w:rPr>
          <w:rFonts w:ascii="Arial" w:hAnsi="Arial" w:cs="Arial"/>
        </w:rPr>
        <w:t xml:space="preserve">to GP </w:t>
      </w:r>
      <w:r w:rsidRPr="009B5D65">
        <w:rPr>
          <w:rFonts w:ascii="Arial" w:hAnsi="Arial" w:cs="Arial"/>
        </w:rPr>
        <w:t>appointments, Covid vaccinations</w:t>
      </w:r>
      <w:r w:rsidR="002F2151">
        <w:rPr>
          <w:rFonts w:ascii="Arial" w:hAnsi="Arial" w:cs="Arial"/>
        </w:rPr>
        <w:t xml:space="preserve"> queries</w:t>
      </w:r>
      <w:r w:rsidRPr="009B5D65">
        <w:rPr>
          <w:rFonts w:ascii="Arial" w:hAnsi="Arial" w:cs="Arial"/>
        </w:rPr>
        <w:t xml:space="preserve"> and I</w:t>
      </w:r>
      <w:r w:rsidR="002F2151">
        <w:rPr>
          <w:rFonts w:ascii="Arial" w:hAnsi="Arial" w:cs="Arial"/>
        </w:rPr>
        <w:t xml:space="preserve">ndividual </w:t>
      </w:r>
      <w:r w:rsidRPr="009B5D65">
        <w:rPr>
          <w:rFonts w:ascii="Arial" w:hAnsi="Arial" w:cs="Arial"/>
        </w:rPr>
        <w:t>F</w:t>
      </w:r>
      <w:r w:rsidR="002F2151">
        <w:rPr>
          <w:rFonts w:ascii="Arial" w:hAnsi="Arial" w:cs="Arial"/>
        </w:rPr>
        <w:t xml:space="preserve">unding </w:t>
      </w:r>
      <w:r w:rsidRPr="009B5D65">
        <w:rPr>
          <w:rFonts w:ascii="Arial" w:hAnsi="Arial" w:cs="Arial"/>
        </w:rPr>
        <w:t xml:space="preserve">Requests. </w:t>
      </w:r>
    </w:p>
    <w:p w14:paraId="049A7C7D" w14:textId="101180DF" w:rsidR="009B5D65" w:rsidRDefault="009B5D65" w:rsidP="009B5D65">
      <w:pPr>
        <w:pStyle w:val="NoSpacing"/>
        <w:spacing w:after="240"/>
        <w:rPr>
          <w:rFonts w:ascii="Arial" w:hAnsi="Arial" w:cs="Arial"/>
        </w:rPr>
      </w:pPr>
      <w:r w:rsidRPr="009B5D65">
        <w:rPr>
          <w:rFonts w:ascii="Arial" w:hAnsi="Arial" w:cs="Arial"/>
        </w:rPr>
        <w:t xml:space="preserve">There were </w:t>
      </w:r>
      <w:r>
        <w:rPr>
          <w:rFonts w:ascii="Arial" w:hAnsi="Arial" w:cs="Arial"/>
        </w:rPr>
        <w:t>no</w:t>
      </w:r>
      <w:r w:rsidRPr="009B5D65">
        <w:rPr>
          <w:rFonts w:ascii="Arial" w:hAnsi="Arial" w:cs="Arial"/>
        </w:rPr>
        <w:t xml:space="preserve"> Parliamentary and Health Service Ombudsman (PHSO) complaints raised in 2021/22.</w:t>
      </w:r>
    </w:p>
    <w:bookmarkEnd w:id="43"/>
    <w:p w14:paraId="31C19356" w14:textId="77777777" w:rsidR="00EC016D" w:rsidRPr="00163AC7" w:rsidRDefault="00EC016D" w:rsidP="00163AC7">
      <w:pPr>
        <w:pStyle w:val="BodyText"/>
        <w:rPr>
          <w:b/>
          <w:bCs/>
        </w:rPr>
      </w:pPr>
      <w:r w:rsidRPr="00163AC7">
        <w:rPr>
          <w:b/>
          <w:bCs/>
        </w:rPr>
        <w:t>Whistleblowing</w:t>
      </w:r>
    </w:p>
    <w:p w14:paraId="6A3E1279" w14:textId="5CF32FD9" w:rsidR="00EC016D" w:rsidRDefault="00EC016D" w:rsidP="00EC016D">
      <w:pPr>
        <w:rPr>
          <w:rFonts w:eastAsia="Calibri"/>
        </w:rPr>
      </w:pPr>
      <w:r w:rsidRPr="00C71D7F">
        <w:rPr>
          <w:rFonts w:eastAsia="Calibri"/>
        </w:rPr>
        <w:t xml:space="preserve">The CCG whistleblowing policy </w:t>
      </w:r>
      <w:r w:rsidR="00004CC5">
        <w:rPr>
          <w:rFonts w:eastAsia="Calibri"/>
        </w:rPr>
        <w:t xml:space="preserve">was </w:t>
      </w:r>
      <w:r w:rsidRPr="00C71D7F">
        <w:rPr>
          <w:rFonts w:eastAsia="Calibri"/>
        </w:rPr>
        <w:t>last reviewed in February 2020 with the Audit Chair nominated as the whistleblowing champion. In 2020/21 the CCG has not received any whistleblowing cases.</w:t>
      </w:r>
    </w:p>
    <w:p w14:paraId="6A5789B1" w14:textId="77777777" w:rsidR="00EC016D" w:rsidRPr="00163AC7" w:rsidRDefault="00EC016D" w:rsidP="00163AC7">
      <w:pPr>
        <w:pStyle w:val="BodyText"/>
        <w:rPr>
          <w:b/>
          <w:bCs/>
        </w:rPr>
      </w:pPr>
      <w:bookmarkStart w:id="46" w:name="_Hlk98575718"/>
      <w:r w:rsidRPr="00163AC7">
        <w:rPr>
          <w:b/>
          <w:bCs/>
        </w:rPr>
        <w:t>Requests under freedom of information rules</w:t>
      </w:r>
    </w:p>
    <w:p w14:paraId="3B4A2E0F" w14:textId="243A9802" w:rsidR="00EC016D" w:rsidRDefault="00EC016D" w:rsidP="00EC016D">
      <w:pPr>
        <w:rPr>
          <w:rFonts w:ascii="Calibri" w:hAnsi="Calibri" w:cs="Calibri"/>
        </w:rPr>
      </w:pPr>
      <w:r>
        <w:t>The Freedom of Information (FoI) Act 2000 gives a general right of access to recorded information held by public authorities, subject to certain conditions and exemptions. The CCG received</w:t>
      </w:r>
      <w:r w:rsidR="00163AC7">
        <w:t xml:space="preserve"> 192</w:t>
      </w:r>
      <w:r>
        <w:t xml:space="preserve"> FoI requests during 2020/21. The CCG responded to 99% of these within the statutory timescale of 20 working days. </w:t>
      </w:r>
    </w:p>
    <w:p w14:paraId="27D5B85D" w14:textId="53B67861" w:rsidR="00EC016D" w:rsidRDefault="00EC016D" w:rsidP="00EC016D">
      <w:r>
        <w:t>We certify that we have complied with HM Treasury’s guidance on setting charges for information.</w:t>
      </w:r>
    </w:p>
    <w:p w14:paraId="1A34F529" w14:textId="77777777" w:rsidR="00630A35" w:rsidRDefault="00630A35" w:rsidP="00EC016D"/>
    <w:p w14:paraId="5381AE27" w14:textId="77777777" w:rsidR="00AF0786" w:rsidRPr="00AF0786" w:rsidRDefault="00AF0786" w:rsidP="00FF0E5D">
      <w:pPr>
        <w:pStyle w:val="Heading3"/>
      </w:pPr>
      <w:bookmarkStart w:id="47" w:name="_Toc73008666"/>
      <w:bookmarkStart w:id="48" w:name="_Toc107389446"/>
      <w:bookmarkStart w:id="49" w:name="_Toc94188179"/>
      <w:bookmarkStart w:id="50" w:name="_Toc97218324"/>
      <w:bookmarkEnd w:id="44"/>
      <w:bookmarkEnd w:id="45"/>
      <w:bookmarkEnd w:id="46"/>
      <w:r w:rsidRPr="00AF0786">
        <w:lastRenderedPageBreak/>
        <w:t>Reducing health inequality</w:t>
      </w:r>
      <w:bookmarkEnd w:id="47"/>
      <w:bookmarkEnd w:id="48"/>
    </w:p>
    <w:p w14:paraId="63279DBD" w14:textId="77777777" w:rsidR="00D857A4" w:rsidRPr="00821100" w:rsidRDefault="00D857A4" w:rsidP="00970B67">
      <w:pPr>
        <w:rPr>
          <w:rFonts w:cs="Arial"/>
          <w:szCs w:val="24"/>
        </w:rPr>
      </w:pPr>
      <w:r w:rsidRPr="00821100">
        <w:rPr>
          <w:rFonts w:cs="Arial"/>
          <w:szCs w:val="24"/>
        </w:rPr>
        <w:t>Health inequalities are the preventable, unfair, and unjust differences in health status between groups, populations or individuals that arise from the unequal distribution of social, environmental, and economic conditions within societies, which determine the risk of people getting ill, their ability to prevent sickness, or opportunities to act and access treatment when ill health occurs.</w:t>
      </w:r>
    </w:p>
    <w:p w14:paraId="52527927" w14:textId="77777777" w:rsidR="00D857A4" w:rsidRPr="00821100" w:rsidRDefault="00D857A4" w:rsidP="00970B67">
      <w:pPr>
        <w:rPr>
          <w:rFonts w:cs="Arial"/>
          <w:szCs w:val="24"/>
        </w:rPr>
      </w:pPr>
      <w:r w:rsidRPr="00821100">
        <w:rPr>
          <w:rFonts w:cs="Arial"/>
          <w:szCs w:val="24"/>
        </w:rPr>
        <w:t>Address</w:t>
      </w:r>
      <w:r>
        <w:rPr>
          <w:rFonts w:cs="Arial"/>
          <w:szCs w:val="24"/>
        </w:rPr>
        <w:t>ing</w:t>
      </w:r>
      <w:r w:rsidRPr="00821100">
        <w:rPr>
          <w:rFonts w:cs="Arial"/>
          <w:szCs w:val="24"/>
        </w:rPr>
        <w:t xml:space="preserve"> health inequalities is a core strategic ambition of the MSE Health &amp; Care Partnership (HCP). The significant increase in collaborative working accelerated by the Covid pandemic has enabled us to tackle these issues across the HCP. The MSE ICS five-year HCP strategy outlines our commitment through working with our partners to reduce inequalities. We aim to achieve this by:</w:t>
      </w:r>
    </w:p>
    <w:p w14:paraId="40FEB399" w14:textId="6E85F3D2" w:rsidR="00D857A4" w:rsidRPr="00821100" w:rsidRDefault="00D857A4" w:rsidP="003A3592">
      <w:pPr>
        <w:ind w:left="720" w:hanging="578"/>
        <w:rPr>
          <w:rFonts w:cs="Arial"/>
          <w:szCs w:val="24"/>
        </w:rPr>
      </w:pPr>
      <w:r w:rsidRPr="00821100">
        <w:rPr>
          <w:rFonts w:cs="Arial"/>
          <w:szCs w:val="24"/>
        </w:rPr>
        <w:t xml:space="preserve">(1) Creating opportunities through education, employment, housing and </w:t>
      </w:r>
      <w:r w:rsidR="00970B67">
        <w:rPr>
          <w:rFonts w:cs="Arial"/>
          <w:szCs w:val="24"/>
        </w:rPr>
        <w:t>g</w:t>
      </w:r>
      <w:r w:rsidRPr="00821100">
        <w:rPr>
          <w:rFonts w:cs="Arial"/>
          <w:szCs w:val="24"/>
        </w:rPr>
        <w:t xml:space="preserve">rowth </w:t>
      </w:r>
    </w:p>
    <w:p w14:paraId="063CCAAE" w14:textId="77777777" w:rsidR="00D857A4" w:rsidRPr="00821100" w:rsidRDefault="00D857A4" w:rsidP="003A3592">
      <w:pPr>
        <w:ind w:left="720" w:hanging="578"/>
        <w:rPr>
          <w:rFonts w:cs="Arial"/>
          <w:szCs w:val="24"/>
        </w:rPr>
      </w:pPr>
      <w:r w:rsidRPr="00821100">
        <w:rPr>
          <w:rFonts w:cs="Arial"/>
          <w:szCs w:val="24"/>
        </w:rPr>
        <w:t xml:space="preserve">(2) Supporting health and wellbeing </w:t>
      </w:r>
    </w:p>
    <w:p w14:paraId="65381D5F" w14:textId="77777777" w:rsidR="00D857A4" w:rsidRPr="00821100" w:rsidRDefault="00D857A4" w:rsidP="003A3592">
      <w:pPr>
        <w:ind w:left="720" w:hanging="578"/>
        <w:rPr>
          <w:rFonts w:cs="Arial"/>
          <w:szCs w:val="24"/>
        </w:rPr>
      </w:pPr>
      <w:r w:rsidRPr="00821100">
        <w:rPr>
          <w:rFonts w:cs="Arial"/>
          <w:szCs w:val="24"/>
        </w:rPr>
        <w:t xml:space="preserve">(3) Bringing care closer to home and </w:t>
      </w:r>
    </w:p>
    <w:p w14:paraId="34CBAD23" w14:textId="77777777" w:rsidR="00D857A4" w:rsidRPr="00821100" w:rsidRDefault="00D857A4" w:rsidP="003A3592">
      <w:pPr>
        <w:ind w:left="720" w:hanging="578"/>
        <w:rPr>
          <w:rFonts w:cs="Arial"/>
          <w:szCs w:val="24"/>
        </w:rPr>
      </w:pPr>
      <w:r w:rsidRPr="00821100">
        <w:rPr>
          <w:rFonts w:cs="Arial"/>
          <w:szCs w:val="24"/>
        </w:rPr>
        <w:t xml:space="preserve">(4) Transforming and improving health and care services. </w:t>
      </w:r>
    </w:p>
    <w:p w14:paraId="071C386C" w14:textId="4E02D3B7" w:rsidR="00D857A4" w:rsidRPr="00821100" w:rsidRDefault="00D857A4" w:rsidP="00970B67">
      <w:pPr>
        <w:rPr>
          <w:rFonts w:cs="Arial"/>
          <w:szCs w:val="24"/>
        </w:rPr>
      </w:pPr>
      <w:r w:rsidRPr="00821100">
        <w:rPr>
          <w:rFonts w:cs="Arial"/>
          <w:szCs w:val="24"/>
        </w:rPr>
        <w:t xml:space="preserve">The Health Inequalities Oversight Group (HIOG) was established to provide oversight, focus, and ensure the delivery of requirements to reduce inequalities.  The HIOG group </w:t>
      </w:r>
      <w:r>
        <w:rPr>
          <w:rFonts w:cs="Arial"/>
          <w:szCs w:val="24"/>
        </w:rPr>
        <w:t xml:space="preserve">has </w:t>
      </w:r>
      <w:r w:rsidRPr="00821100">
        <w:rPr>
          <w:rFonts w:cs="Arial"/>
          <w:szCs w:val="24"/>
        </w:rPr>
        <w:t>cross organisational representati</w:t>
      </w:r>
      <w:r>
        <w:rPr>
          <w:rFonts w:cs="Arial"/>
          <w:szCs w:val="24"/>
        </w:rPr>
        <w:t xml:space="preserve">on from </w:t>
      </w:r>
      <w:r w:rsidRPr="00821100">
        <w:rPr>
          <w:rFonts w:cs="Arial"/>
          <w:szCs w:val="24"/>
        </w:rPr>
        <w:t>NHS Providers, Local Authority C</w:t>
      </w:r>
      <w:r>
        <w:rPr>
          <w:rFonts w:cs="Arial"/>
          <w:szCs w:val="24"/>
        </w:rPr>
        <w:t xml:space="preserve">ommunity and </w:t>
      </w:r>
      <w:r w:rsidRPr="00821100">
        <w:rPr>
          <w:rFonts w:cs="Arial"/>
          <w:szCs w:val="24"/>
        </w:rPr>
        <w:t>V</w:t>
      </w:r>
      <w:r>
        <w:rPr>
          <w:rFonts w:cs="Arial"/>
          <w:szCs w:val="24"/>
        </w:rPr>
        <w:t xml:space="preserve">oluntary </w:t>
      </w:r>
      <w:r w:rsidRPr="00821100">
        <w:rPr>
          <w:rFonts w:cs="Arial"/>
          <w:szCs w:val="24"/>
        </w:rPr>
        <w:t>S</w:t>
      </w:r>
      <w:r>
        <w:rPr>
          <w:rFonts w:cs="Arial"/>
          <w:szCs w:val="24"/>
        </w:rPr>
        <w:t>ervices</w:t>
      </w:r>
      <w:r w:rsidRPr="00821100">
        <w:rPr>
          <w:rFonts w:cs="Arial"/>
          <w:szCs w:val="24"/>
        </w:rPr>
        <w:t xml:space="preserve">, Public Health, Primary Care and </w:t>
      </w:r>
      <w:r>
        <w:rPr>
          <w:rFonts w:cs="Arial"/>
          <w:szCs w:val="24"/>
        </w:rPr>
        <w:t xml:space="preserve">other </w:t>
      </w:r>
      <w:r w:rsidRPr="00821100">
        <w:rPr>
          <w:rFonts w:cs="Arial"/>
          <w:szCs w:val="24"/>
        </w:rPr>
        <w:t>NHS organisations</w:t>
      </w:r>
      <w:r w:rsidR="00564146">
        <w:rPr>
          <w:rFonts w:cs="Arial"/>
          <w:szCs w:val="24"/>
        </w:rPr>
        <w:t>.</w:t>
      </w:r>
      <w:r w:rsidRPr="00821100">
        <w:rPr>
          <w:rFonts w:cs="Arial"/>
          <w:szCs w:val="24"/>
        </w:rPr>
        <w:t xml:space="preserve"> This group reports into the System Leadership Executive and MSE Healthcare Partnership Board.  </w:t>
      </w:r>
    </w:p>
    <w:p w14:paraId="73896911" w14:textId="77777777" w:rsidR="00D857A4" w:rsidRPr="00821100" w:rsidRDefault="00D857A4" w:rsidP="00970B67">
      <w:pPr>
        <w:rPr>
          <w:rFonts w:cs="Arial"/>
          <w:szCs w:val="24"/>
        </w:rPr>
      </w:pPr>
      <w:r w:rsidRPr="00821100">
        <w:rPr>
          <w:rFonts w:cs="Arial"/>
          <w:szCs w:val="24"/>
        </w:rPr>
        <w:t xml:space="preserve">Dr Sunil Gupta, Chair of Castle Point and Rochford CCG, is the designated Senior Responsible Officer (SRO) for the HCP. Dr Gupta is supported by a Senior Executive Sponsor for Inequalities </w:t>
      </w:r>
      <w:r>
        <w:rPr>
          <w:rFonts w:cs="Arial"/>
          <w:szCs w:val="24"/>
        </w:rPr>
        <w:t>(</w:t>
      </w:r>
      <w:r w:rsidRPr="00821100">
        <w:rPr>
          <w:rFonts w:cs="Arial"/>
          <w:szCs w:val="24"/>
        </w:rPr>
        <w:t>Mark Tebbs</w:t>
      </w:r>
      <w:r>
        <w:rPr>
          <w:rFonts w:cs="Arial"/>
          <w:szCs w:val="24"/>
        </w:rPr>
        <w:t>,</w:t>
      </w:r>
      <w:r w:rsidRPr="00821100">
        <w:rPr>
          <w:rFonts w:cs="Arial"/>
          <w:szCs w:val="24"/>
        </w:rPr>
        <w:t xml:space="preserve"> Thurrock Alliance Director) and by Senior Clinical Fellow.  Dr Sophia Morris</w:t>
      </w:r>
      <w:r>
        <w:rPr>
          <w:rFonts w:cs="Arial"/>
          <w:szCs w:val="24"/>
        </w:rPr>
        <w:t xml:space="preserve">, Inequalities Programme Lead </w:t>
      </w:r>
      <w:r w:rsidRPr="00821100">
        <w:rPr>
          <w:rFonts w:cs="Arial"/>
          <w:szCs w:val="24"/>
        </w:rPr>
        <w:t xml:space="preserve">has also taken a lead in driving our work and is supported by a secondment role enabled by some non-recurrent seed funding to co-ordinate the work of the HIOG. The work to reduce health inequalities is driven by a maturing network of equity leadership. </w:t>
      </w:r>
      <w:r>
        <w:rPr>
          <w:rFonts w:cs="Arial"/>
          <w:szCs w:val="24"/>
        </w:rPr>
        <w:t xml:space="preserve"> </w:t>
      </w:r>
      <w:r w:rsidRPr="00821100">
        <w:rPr>
          <w:rFonts w:cs="Arial"/>
          <w:szCs w:val="24"/>
        </w:rPr>
        <w:t>All system providers have a named Inequalities SRO, and each Alliance has named inequalities leads who will support the incoming P</w:t>
      </w:r>
      <w:r>
        <w:rPr>
          <w:rFonts w:cs="Arial"/>
          <w:szCs w:val="24"/>
        </w:rPr>
        <w:t xml:space="preserve">rimary </w:t>
      </w:r>
      <w:r w:rsidRPr="00821100">
        <w:rPr>
          <w:rFonts w:cs="Arial"/>
          <w:szCs w:val="24"/>
        </w:rPr>
        <w:t>C</w:t>
      </w:r>
      <w:r>
        <w:rPr>
          <w:rFonts w:cs="Arial"/>
          <w:szCs w:val="24"/>
        </w:rPr>
        <w:t xml:space="preserve">are </w:t>
      </w:r>
      <w:r w:rsidRPr="00821100">
        <w:rPr>
          <w:rFonts w:cs="Arial"/>
          <w:szCs w:val="24"/>
        </w:rPr>
        <w:t>N</w:t>
      </w:r>
      <w:r>
        <w:rPr>
          <w:rFonts w:cs="Arial"/>
          <w:szCs w:val="24"/>
        </w:rPr>
        <w:t>etwork (PCN)</w:t>
      </w:r>
      <w:r w:rsidRPr="00821100">
        <w:rPr>
          <w:rFonts w:cs="Arial"/>
          <w:szCs w:val="24"/>
        </w:rPr>
        <w:t xml:space="preserve"> Inequalities leads. Development of leadership within inequalities has been proactive</w:t>
      </w:r>
      <w:r>
        <w:rPr>
          <w:rFonts w:cs="Arial"/>
          <w:szCs w:val="24"/>
        </w:rPr>
        <w:t xml:space="preserve"> and</w:t>
      </w:r>
      <w:r w:rsidRPr="00821100">
        <w:rPr>
          <w:rFonts w:cs="Arial"/>
          <w:szCs w:val="24"/>
        </w:rPr>
        <w:t xml:space="preserve"> within MSE we have hosted a </w:t>
      </w:r>
      <w:r w:rsidRPr="00821100">
        <w:rPr>
          <w:rFonts w:cs="Arial"/>
          <w:color w:val="000000" w:themeColor="text1"/>
          <w:szCs w:val="24"/>
          <w:lang w:val="en-US"/>
        </w:rPr>
        <w:t>successful first cohort of five GP Trailblazer Deprivation Fellows with recruitment now open for cohort two.</w:t>
      </w:r>
    </w:p>
    <w:p w14:paraId="3DDAD49B" w14:textId="17FD1B33" w:rsidR="00D857A4" w:rsidRPr="00821100" w:rsidRDefault="00D857A4" w:rsidP="00970B67">
      <w:pPr>
        <w:rPr>
          <w:rFonts w:cs="Arial"/>
          <w:szCs w:val="24"/>
        </w:rPr>
      </w:pPr>
      <w:r>
        <w:rPr>
          <w:rFonts w:cs="Arial"/>
          <w:szCs w:val="24"/>
        </w:rPr>
        <w:t>Progress in health inequalities improvement is established through the use of the System Outcomes Framework which are h</w:t>
      </w:r>
      <w:r w:rsidRPr="007F031B">
        <w:rPr>
          <w:rFonts w:cs="Arial"/>
          <w:szCs w:val="24"/>
        </w:rPr>
        <w:t xml:space="preserve">ealth </w:t>
      </w:r>
      <w:r>
        <w:rPr>
          <w:rFonts w:cs="Arial"/>
          <w:szCs w:val="24"/>
        </w:rPr>
        <w:t>i</w:t>
      </w:r>
      <w:r w:rsidRPr="007F031B">
        <w:rPr>
          <w:rFonts w:cs="Arial"/>
          <w:szCs w:val="24"/>
        </w:rPr>
        <w:t>nequalities</w:t>
      </w:r>
      <w:r>
        <w:rPr>
          <w:rFonts w:cs="Arial"/>
          <w:szCs w:val="24"/>
        </w:rPr>
        <w:t xml:space="preserve"> </w:t>
      </w:r>
      <w:r w:rsidRPr="009F6E22">
        <w:rPr>
          <w:rFonts w:cs="Arial"/>
          <w:szCs w:val="24"/>
        </w:rPr>
        <w:t>indicative</w:t>
      </w:r>
      <w:r w:rsidRPr="007F031B">
        <w:rPr>
          <w:rFonts w:cs="Arial"/>
          <w:szCs w:val="24"/>
        </w:rPr>
        <w:t xml:space="preserve"> metrics aligned to </w:t>
      </w:r>
      <w:r>
        <w:rPr>
          <w:rFonts w:cs="Arial"/>
          <w:szCs w:val="24"/>
        </w:rPr>
        <w:t xml:space="preserve">system </w:t>
      </w:r>
      <w:r w:rsidR="00311395">
        <w:rPr>
          <w:rFonts w:cs="Arial"/>
          <w:szCs w:val="24"/>
        </w:rPr>
        <w:t>ambitions</w:t>
      </w:r>
      <w:r>
        <w:rPr>
          <w:rFonts w:cs="Arial"/>
          <w:szCs w:val="24"/>
        </w:rPr>
        <w:t xml:space="preserve">. The system outcomes framework is being collated into an interactive </w:t>
      </w:r>
      <w:r>
        <w:rPr>
          <w:rFonts w:ascii="Bahnschrift SemiLight" w:hAnsi="Bahnschrift SemiLight" w:cs="Arial"/>
          <w:color w:val="000000" w:themeColor="text1"/>
          <w:szCs w:val="24"/>
          <w:shd w:val="clear" w:color="auto" w:fill="FFFFFF"/>
        </w:rPr>
        <w:t xml:space="preserve">system-wide dashboard. </w:t>
      </w:r>
      <w:r w:rsidRPr="00821100">
        <w:rPr>
          <w:rFonts w:cs="Arial"/>
          <w:szCs w:val="24"/>
        </w:rPr>
        <w:t xml:space="preserve"> </w:t>
      </w:r>
      <w:r>
        <w:rPr>
          <w:rFonts w:cs="Arial"/>
          <w:szCs w:val="24"/>
        </w:rPr>
        <w:t>System and P</w:t>
      </w:r>
      <w:r w:rsidRPr="00821100">
        <w:rPr>
          <w:rFonts w:cs="Arial"/>
          <w:szCs w:val="24"/>
        </w:rPr>
        <w:t>lace-based inequalities plans are focused on the amalgamation of Prevention, P</w:t>
      </w:r>
      <w:r>
        <w:rPr>
          <w:rFonts w:cs="Arial"/>
          <w:szCs w:val="24"/>
        </w:rPr>
        <w:t xml:space="preserve">opulation </w:t>
      </w:r>
      <w:r w:rsidRPr="00821100">
        <w:rPr>
          <w:rFonts w:cs="Arial"/>
          <w:szCs w:val="24"/>
        </w:rPr>
        <w:t>H</w:t>
      </w:r>
      <w:r>
        <w:rPr>
          <w:rFonts w:cs="Arial"/>
          <w:szCs w:val="24"/>
        </w:rPr>
        <w:t xml:space="preserve">ealth </w:t>
      </w:r>
      <w:r w:rsidRPr="00821100">
        <w:rPr>
          <w:rFonts w:cs="Arial"/>
          <w:szCs w:val="24"/>
        </w:rPr>
        <w:t>M</w:t>
      </w:r>
      <w:r>
        <w:rPr>
          <w:rFonts w:cs="Arial"/>
          <w:szCs w:val="24"/>
        </w:rPr>
        <w:t>anagement</w:t>
      </w:r>
      <w:r w:rsidRPr="00821100">
        <w:rPr>
          <w:rFonts w:cs="Arial"/>
          <w:szCs w:val="24"/>
        </w:rPr>
        <w:t xml:space="preserve">, Personalised Care, Self-Care and strengthening our community-based approach. A place-based approach to addressing inequalities is being delivered with our four Alliances which sees NHS organisations, Primary Care, Health and Wellbeing Boards, Local Authority Public </w:t>
      </w:r>
      <w:r w:rsidRPr="00821100">
        <w:rPr>
          <w:rFonts w:cs="Arial"/>
          <w:szCs w:val="24"/>
        </w:rPr>
        <w:lastRenderedPageBreak/>
        <w:t xml:space="preserve">Health, Social Care and children’s services, </w:t>
      </w:r>
      <w:r>
        <w:rPr>
          <w:rFonts w:cs="Arial"/>
          <w:szCs w:val="24"/>
        </w:rPr>
        <w:t xml:space="preserve">voluntary </w:t>
      </w:r>
      <w:r w:rsidRPr="00821100">
        <w:rPr>
          <w:rFonts w:cs="Arial"/>
          <w:szCs w:val="24"/>
        </w:rPr>
        <w:t xml:space="preserve">sector organisations working collaboratively through a single, shared “place plan” to address agreed key priorities. </w:t>
      </w:r>
    </w:p>
    <w:p w14:paraId="1C2CCA7B" w14:textId="4FE7D30B" w:rsidR="00D857A4" w:rsidRPr="00821100" w:rsidRDefault="00D857A4" w:rsidP="00970B67">
      <w:pPr>
        <w:rPr>
          <w:rFonts w:cs="Arial"/>
          <w:i/>
          <w:iCs/>
          <w:szCs w:val="24"/>
        </w:rPr>
      </w:pPr>
      <w:r w:rsidRPr="00821100">
        <w:rPr>
          <w:rFonts w:cs="Arial"/>
          <w:szCs w:val="24"/>
        </w:rPr>
        <w:t xml:space="preserve">Addressing </w:t>
      </w:r>
      <w:r>
        <w:rPr>
          <w:rFonts w:cs="Arial"/>
          <w:szCs w:val="24"/>
        </w:rPr>
        <w:t xml:space="preserve">the </w:t>
      </w:r>
      <w:r w:rsidRPr="00821100">
        <w:rPr>
          <w:rFonts w:cs="Arial"/>
          <w:szCs w:val="24"/>
        </w:rPr>
        <w:t xml:space="preserve">wider determinants </w:t>
      </w:r>
      <w:r>
        <w:rPr>
          <w:rFonts w:cs="Arial"/>
          <w:szCs w:val="24"/>
        </w:rPr>
        <w:t xml:space="preserve">of inequalities, </w:t>
      </w:r>
      <w:r w:rsidRPr="00821100">
        <w:rPr>
          <w:rFonts w:cs="Arial"/>
          <w:szCs w:val="24"/>
        </w:rPr>
        <w:t>particularly in our most deprived areas</w:t>
      </w:r>
      <w:r>
        <w:rPr>
          <w:rFonts w:cs="Arial"/>
          <w:szCs w:val="24"/>
        </w:rPr>
        <w:t>,</w:t>
      </w:r>
      <w:r w:rsidRPr="00821100">
        <w:rPr>
          <w:rFonts w:cs="Arial"/>
          <w:szCs w:val="24"/>
        </w:rPr>
        <w:t xml:space="preserve"> is crucial in reducing inequality gaps. With an explicit focus on the social determinants of health - at system and place level </w:t>
      </w:r>
      <w:r>
        <w:rPr>
          <w:rFonts w:cs="Arial"/>
          <w:szCs w:val="24"/>
        </w:rPr>
        <w:t xml:space="preserve">- </w:t>
      </w:r>
      <w:r w:rsidRPr="00821100">
        <w:rPr>
          <w:rFonts w:cs="Arial"/>
          <w:color w:val="000000"/>
          <w:szCs w:val="24"/>
        </w:rPr>
        <w:t>partnership working is embedded in our approach to inequalities improvement. This can be seen in areas such as Better Start Southend</w:t>
      </w:r>
      <w:r>
        <w:rPr>
          <w:rFonts w:cs="Arial"/>
          <w:color w:val="000000"/>
          <w:szCs w:val="24"/>
        </w:rPr>
        <w:t>,</w:t>
      </w:r>
      <w:r w:rsidRPr="00821100">
        <w:rPr>
          <w:rFonts w:cs="Arial"/>
          <w:color w:val="000000"/>
          <w:szCs w:val="24"/>
        </w:rPr>
        <w:t xml:space="preserve"> which delivers targeted provision to children aged 4 and under in the most deprived wards in Southend</w:t>
      </w:r>
      <w:r>
        <w:rPr>
          <w:rFonts w:cs="Arial"/>
          <w:color w:val="000000"/>
          <w:szCs w:val="24"/>
        </w:rPr>
        <w:t>,</w:t>
      </w:r>
      <w:r w:rsidRPr="00821100">
        <w:rPr>
          <w:rFonts w:cs="Arial"/>
          <w:color w:val="000000"/>
          <w:szCs w:val="24"/>
        </w:rPr>
        <w:t xml:space="preserve"> </w:t>
      </w:r>
      <w:r>
        <w:rPr>
          <w:rFonts w:cs="Arial"/>
          <w:color w:val="000000"/>
          <w:szCs w:val="24"/>
        </w:rPr>
        <w:t>and</w:t>
      </w:r>
      <w:r w:rsidRPr="00821100">
        <w:rPr>
          <w:rFonts w:cs="Arial"/>
          <w:color w:val="000000"/>
          <w:szCs w:val="24"/>
        </w:rPr>
        <w:t xml:space="preserve"> the M</w:t>
      </w:r>
      <w:r>
        <w:rPr>
          <w:rFonts w:cs="Arial"/>
          <w:color w:val="000000"/>
          <w:szCs w:val="24"/>
        </w:rPr>
        <w:t xml:space="preserve">id and </w:t>
      </w:r>
      <w:r w:rsidRPr="00821100">
        <w:rPr>
          <w:rFonts w:cs="Arial"/>
          <w:color w:val="000000"/>
          <w:szCs w:val="24"/>
        </w:rPr>
        <w:t>S</w:t>
      </w:r>
      <w:r>
        <w:rPr>
          <w:rFonts w:cs="Arial"/>
          <w:color w:val="000000"/>
          <w:szCs w:val="24"/>
        </w:rPr>
        <w:t xml:space="preserve">outh </w:t>
      </w:r>
      <w:r w:rsidRPr="00821100">
        <w:rPr>
          <w:rFonts w:cs="Arial"/>
          <w:color w:val="000000"/>
          <w:szCs w:val="24"/>
        </w:rPr>
        <w:t>E</w:t>
      </w:r>
      <w:r>
        <w:rPr>
          <w:rFonts w:cs="Arial"/>
          <w:color w:val="000000"/>
          <w:szCs w:val="24"/>
        </w:rPr>
        <w:t xml:space="preserve">ssex </w:t>
      </w:r>
      <w:r w:rsidR="00311395" w:rsidRPr="00821100">
        <w:rPr>
          <w:rFonts w:cs="Arial"/>
          <w:color w:val="000000"/>
          <w:szCs w:val="24"/>
        </w:rPr>
        <w:t>F</w:t>
      </w:r>
      <w:r w:rsidR="00311395">
        <w:rPr>
          <w:rFonts w:cs="Arial"/>
          <w:color w:val="000000"/>
          <w:szCs w:val="24"/>
        </w:rPr>
        <w:t>oundation</w:t>
      </w:r>
      <w:r>
        <w:rPr>
          <w:rFonts w:cs="Arial"/>
          <w:color w:val="000000"/>
          <w:szCs w:val="24"/>
        </w:rPr>
        <w:t xml:space="preserve"> </w:t>
      </w:r>
      <w:r w:rsidRPr="00821100">
        <w:rPr>
          <w:rFonts w:cs="Arial"/>
          <w:color w:val="000000"/>
          <w:szCs w:val="24"/>
        </w:rPr>
        <w:t>T</w:t>
      </w:r>
      <w:r>
        <w:rPr>
          <w:rFonts w:cs="Arial"/>
          <w:color w:val="000000"/>
          <w:szCs w:val="24"/>
        </w:rPr>
        <w:t>rust (MSEFT)</w:t>
      </w:r>
      <w:r w:rsidRPr="00821100">
        <w:rPr>
          <w:rFonts w:cs="Arial"/>
          <w:color w:val="000000"/>
          <w:szCs w:val="24"/>
        </w:rPr>
        <w:t xml:space="preserve"> Anchor </w:t>
      </w:r>
      <w:r w:rsidR="00564146">
        <w:rPr>
          <w:rFonts w:cs="Arial"/>
          <w:color w:val="000000"/>
          <w:szCs w:val="24"/>
        </w:rPr>
        <w:t xml:space="preserve">Programme </w:t>
      </w:r>
      <w:r w:rsidRPr="00821100">
        <w:rPr>
          <w:rFonts w:cs="Arial"/>
          <w:color w:val="000000"/>
          <w:szCs w:val="24"/>
        </w:rPr>
        <w:t xml:space="preserve">initiatives </w:t>
      </w:r>
      <w:r>
        <w:rPr>
          <w:rFonts w:cs="Arial"/>
          <w:color w:val="000000"/>
          <w:szCs w:val="24"/>
        </w:rPr>
        <w:t xml:space="preserve">that </w:t>
      </w:r>
      <w:r w:rsidRPr="00821100">
        <w:rPr>
          <w:rFonts w:cs="Arial"/>
          <w:color w:val="000000"/>
          <w:szCs w:val="24"/>
        </w:rPr>
        <w:t xml:space="preserve">are targeting employment opportunities to </w:t>
      </w:r>
      <w:r>
        <w:rPr>
          <w:rFonts w:cs="Arial"/>
          <w:color w:val="000000"/>
          <w:szCs w:val="24"/>
        </w:rPr>
        <w:t xml:space="preserve">young people and </w:t>
      </w:r>
      <w:r w:rsidRPr="00821100">
        <w:rPr>
          <w:rFonts w:cs="Arial"/>
          <w:color w:val="000000"/>
          <w:szCs w:val="24"/>
        </w:rPr>
        <w:t>adults in most deprived wards.</w:t>
      </w:r>
    </w:p>
    <w:p w14:paraId="7D500CD1" w14:textId="6ECF7202" w:rsidR="00D857A4" w:rsidRPr="00821100" w:rsidRDefault="00D857A4" w:rsidP="00970B67">
      <w:pPr>
        <w:rPr>
          <w:rFonts w:cs="Arial"/>
          <w:szCs w:val="24"/>
        </w:rPr>
      </w:pPr>
      <w:r w:rsidRPr="00821100">
        <w:rPr>
          <w:rFonts w:cs="Arial"/>
          <w:szCs w:val="24"/>
        </w:rPr>
        <w:t>To realise our ambition to reduc</w:t>
      </w:r>
      <w:r>
        <w:rPr>
          <w:rFonts w:cs="Arial"/>
          <w:szCs w:val="24"/>
        </w:rPr>
        <w:t>e</w:t>
      </w:r>
      <w:r w:rsidRPr="00821100">
        <w:rPr>
          <w:rFonts w:cs="Arial"/>
          <w:szCs w:val="24"/>
        </w:rPr>
        <w:t xml:space="preserve"> inequalities, we have identified community asset engagement as a core principle within our engagement strategy - which is driven by our aim to ensure local voices are heard, improved local confidence and to be unified to creating changes.  </w:t>
      </w:r>
      <w:r w:rsidRPr="00821100">
        <w:rPr>
          <w:rFonts w:cs="Arial"/>
          <w:szCs w:val="24"/>
          <w:lang w:val="en-US"/>
        </w:rPr>
        <w:t>Embedding co-production into the equalities workstream has been a key part of the MSE equalities approach. Much co-production was seen within the Covid Inequalities Program</w:t>
      </w:r>
      <w:r>
        <w:rPr>
          <w:rFonts w:cs="Arial"/>
          <w:szCs w:val="24"/>
          <w:lang w:val="en-US"/>
        </w:rPr>
        <w:t>me</w:t>
      </w:r>
      <w:r w:rsidRPr="00821100">
        <w:rPr>
          <w:rFonts w:cs="Arial"/>
          <w:szCs w:val="24"/>
          <w:lang w:val="en-US"/>
        </w:rPr>
        <w:t xml:space="preserve"> and this will continue as we learn and distill the good practice from this period. </w:t>
      </w:r>
      <w:r w:rsidRPr="00821100">
        <w:rPr>
          <w:rFonts w:cs="Arial"/>
          <w:szCs w:val="24"/>
        </w:rPr>
        <w:t xml:space="preserve">Following a co-design initiative for people with Learning Disabilities accessing hospital services in 2021-22, MSE FT will implement a detailed action plan in </w:t>
      </w:r>
      <w:r>
        <w:rPr>
          <w:rFonts w:cs="Arial"/>
          <w:szCs w:val="24"/>
        </w:rPr>
        <w:t>20</w:t>
      </w:r>
      <w:r w:rsidRPr="00821100">
        <w:rPr>
          <w:rFonts w:cs="Arial"/>
          <w:szCs w:val="24"/>
        </w:rPr>
        <w:t>22-23 to improve access for people with L</w:t>
      </w:r>
      <w:r>
        <w:rPr>
          <w:rFonts w:cs="Arial"/>
          <w:szCs w:val="24"/>
        </w:rPr>
        <w:t xml:space="preserve">earning </w:t>
      </w:r>
      <w:r w:rsidRPr="00821100">
        <w:rPr>
          <w:rFonts w:cs="Arial"/>
          <w:szCs w:val="24"/>
        </w:rPr>
        <w:t>D</w:t>
      </w:r>
      <w:r>
        <w:rPr>
          <w:rFonts w:cs="Arial"/>
          <w:szCs w:val="24"/>
        </w:rPr>
        <w:t>isabilities</w:t>
      </w:r>
      <w:r w:rsidRPr="00821100">
        <w:rPr>
          <w:rFonts w:cs="Arial"/>
          <w:szCs w:val="24"/>
        </w:rPr>
        <w:t xml:space="preserve"> across hospital sites. We are also working with providers in other parts of Essex to jointly take actions for the benefit of our population.</w:t>
      </w:r>
      <w:r w:rsidR="00F042F6">
        <w:rPr>
          <w:rFonts w:cs="Arial"/>
          <w:szCs w:val="24"/>
        </w:rPr>
        <w:t xml:space="preserve"> </w:t>
      </w:r>
    </w:p>
    <w:p w14:paraId="00AAE71E" w14:textId="77777777" w:rsidR="00D857A4" w:rsidRDefault="00D857A4" w:rsidP="00970B67">
      <w:pPr>
        <w:rPr>
          <w:rFonts w:cs="Arial"/>
          <w:szCs w:val="24"/>
        </w:rPr>
      </w:pPr>
      <w:r w:rsidRPr="00821100">
        <w:rPr>
          <w:rFonts w:cs="Arial"/>
          <w:szCs w:val="24"/>
        </w:rPr>
        <w:t xml:space="preserve">The </w:t>
      </w:r>
      <w:r>
        <w:rPr>
          <w:rFonts w:cs="Arial"/>
          <w:szCs w:val="24"/>
        </w:rPr>
        <w:t xml:space="preserve">latest planning guidance for NHS organisations </w:t>
      </w:r>
      <w:r w:rsidRPr="00821100">
        <w:rPr>
          <w:rFonts w:cs="Arial"/>
          <w:szCs w:val="24"/>
        </w:rPr>
        <w:t>outlines five priority areas for tackling health inequalities</w:t>
      </w:r>
      <w:r>
        <w:rPr>
          <w:rFonts w:cs="Arial"/>
          <w:szCs w:val="24"/>
        </w:rPr>
        <w:t>:</w:t>
      </w:r>
    </w:p>
    <w:p w14:paraId="07C90856" w14:textId="77777777" w:rsidR="00D857A4" w:rsidRPr="003356F5" w:rsidRDefault="00D857A4" w:rsidP="00630A35">
      <w:pPr>
        <w:pStyle w:val="ListParagraph"/>
        <w:numPr>
          <w:ilvl w:val="0"/>
          <w:numId w:val="13"/>
        </w:numPr>
        <w:spacing w:before="0" w:after="0" w:line="276" w:lineRule="auto"/>
        <w:contextualSpacing w:val="0"/>
        <w:rPr>
          <w:rFonts w:eastAsia="Times New Roman" w:cs="Arial"/>
          <w:color w:val="000000" w:themeColor="text1"/>
        </w:rPr>
      </w:pPr>
      <w:r w:rsidRPr="003356F5">
        <w:rPr>
          <w:rFonts w:eastAsia="Times New Roman" w:cs="Arial"/>
          <w:color w:val="000000" w:themeColor="text1"/>
        </w:rPr>
        <w:t xml:space="preserve">Priority 1: Restore NHS services inclusively </w:t>
      </w:r>
    </w:p>
    <w:p w14:paraId="465172CE" w14:textId="77777777" w:rsidR="00D857A4" w:rsidRPr="003356F5" w:rsidRDefault="00D857A4" w:rsidP="00630A35">
      <w:pPr>
        <w:pStyle w:val="ListParagraph"/>
        <w:numPr>
          <w:ilvl w:val="0"/>
          <w:numId w:val="13"/>
        </w:numPr>
        <w:spacing w:before="0" w:after="0" w:line="276" w:lineRule="auto"/>
        <w:contextualSpacing w:val="0"/>
        <w:rPr>
          <w:rFonts w:eastAsia="Times New Roman" w:cs="Arial"/>
          <w:color w:val="000000" w:themeColor="text1"/>
        </w:rPr>
      </w:pPr>
      <w:r w:rsidRPr="003356F5">
        <w:rPr>
          <w:rFonts w:eastAsia="Times New Roman" w:cs="Arial"/>
          <w:color w:val="000000" w:themeColor="text1"/>
        </w:rPr>
        <w:t xml:space="preserve">Priority 2: Mitigate against digital exclusion </w:t>
      </w:r>
    </w:p>
    <w:p w14:paraId="3DAE1F14" w14:textId="77777777" w:rsidR="00D857A4" w:rsidRPr="003356F5" w:rsidRDefault="00D857A4" w:rsidP="00630A35">
      <w:pPr>
        <w:pStyle w:val="ListParagraph"/>
        <w:numPr>
          <w:ilvl w:val="0"/>
          <w:numId w:val="13"/>
        </w:numPr>
        <w:spacing w:before="0" w:after="0" w:line="276" w:lineRule="auto"/>
        <w:contextualSpacing w:val="0"/>
        <w:rPr>
          <w:rFonts w:cs="Arial"/>
          <w:color w:val="000000" w:themeColor="text1"/>
        </w:rPr>
      </w:pPr>
      <w:r w:rsidRPr="003356F5">
        <w:rPr>
          <w:rFonts w:cs="Arial"/>
          <w:color w:val="000000" w:themeColor="text1"/>
        </w:rPr>
        <w:t>Priority 3: Ensure datasets are complete and timely</w:t>
      </w:r>
    </w:p>
    <w:p w14:paraId="5BEB1EBA" w14:textId="35380B5F" w:rsidR="00D857A4" w:rsidRDefault="00D857A4" w:rsidP="00630A35">
      <w:pPr>
        <w:pStyle w:val="ListParagraph"/>
        <w:numPr>
          <w:ilvl w:val="0"/>
          <w:numId w:val="13"/>
        </w:numPr>
        <w:spacing w:before="0" w:after="0" w:line="276" w:lineRule="auto"/>
        <w:contextualSpacing w:val="0"/>
        <w:rPr>
          <w:rFonts w:cs="Arial"/>
          <w:color w:val="000000" w:themeColor="text1"/>
        </w:rPr>
      </w:pPr>
      <w:r w:rsidRPr="003356F5">
        <w:rPr>
          <w:rFonts w:cs="Arial"/>
          <w:color w:val="000000" w:themeColor="text1"/>
        </w:rPr>
        <w:t>Priority 4: Accelerate preventative programmes that proactively engage those at greatest risk of poor health outcomes</w:t>
      </w:r>
    </w:p>
    <w:p w14:paraId="6606A4F4" w14:textId="77777777" w:rsidR="00D857A4" w:rsidRPr="003356F5" w:rsidRDefault="00D857A4" w:rsidP="00630A35">
      <w:pPr>
        <w:pStyle w:val="ListParagraph"/>
        <w:numPr>
          <w:ilvl w:val="0"/>
          <w:numId w:val="13"/>
        </w:numPr>
        <w:spacing w:before="0" w:after="0" w:line="276" w:lineRule="auto"/>
        <w:contextualSpacing w:val="0"/>
        <w:rPr>
          <w:rFonts w:cs="Arial"/>
          <w:color w:val="000000" w:themeColor="text1"/>
        </w:rPr>
      </w:pPr>
      <w:r w:rsidRPr="003356F5">
        <w:rPr>
          <w:rFonts w:cs="Arial"/>
          <w:color w:val="000000" w:themeColor="text1"/>
        </w:rPr>
        <w:t>Priority 5: Strengthen leadership and accountability</w:t>
      </w:r>
    </w:p>
    <w:p w14:paraId="3169D73A" w14:textId="77777777" w:rsidR="00D857A4" w:rsidRPr="00821100" w:rsidRDefault="00D857A4" w:rsidP="00970B67">
      <w:pPr>
        <w:rPr>
          <w:rFonts w:cs="Arial"/>
          <w:szCs w:val="24"/>
        </w:rPr>
      </w:pPr>
      <w:r>
        <w:rPr>
          <w:rFonts w:cs="Arial"/>
          <w:szCs w:val="24"/>
        </w:rPr>
        <w:t>T</w:t>
      </w:r>
      <w:r w:rsidRPr="00821100">
        <w:rPr>
          <w:rFonts w:cs="Arial"/>
          <w:szCs w:val="24"/>
        </w:rPr>
        <w:t>he Core20PLUS5 approach to tackle health inequalities</w:t>
      </w:r>
      <w:r>
        <w:rPr>
          <w:rFonts w:cs="Arial"/>
          <w:szCs w:val="24"/>
        </w:rPr>
        <w:t xml:space="preserve"> was also introduced in 2021</w:t>
      </w:r>
      <w:r w:rsidRPr="00821100">
        <w:rPr>
          <w:rFonts w:cs="Arial"/>
          <w:szCs w:val="24"/>
        </w:rPr>
        <w:t xml:space="preserve">. This approach outlines a framework to accelerate health inequalities improvement through focused approaches targeted at the Core20 (the most deprived 20% of the population) PLUS (other inclusion groups) and 5 (clinical areas of focus). This Core20PLUS5 framework has been adopted across the system and health inequalities improvement plans at system and place have been refined to reflect the Core20PLUS 5 approach. </w:t>
      </w:r>
    </w:p>
    <w:p w14:paraId="79FDF3B9" w14:textId="77777777" w:rsidR="00D857A4" w:rsidRPr="00821100" w:rsidRDefault="00D857A4" w:rsidP="00970B67">
      <w:pPr>
        <w:rPr>
          <w:rFonts w:cs="Arial"/>
          <w:color w:val="000000" w:themeColor="text1"/>
          <w:szCs w:val="24"/>
          <w:lang w:val="en-US"/>
        </w:rPr>
      </w:pPr>
      <w:r w:rsidRPr="00821100">
        <w:rPr>
          <w:rFonts w:cs="Arial"/>
          <w:color w:val="000000" w:themeColor="text1"/>
          <w:szCs w:val="24"/>
          <w:lang w:val="en-US"/>
        </w:rPr>
        <w:t xml:space="preserve">Within Primary Care, the Tackling Neighborhood Inequalities </w:t>
      </w:r>
      <w:r w:rsidRPr="007F031B">
        <w:rPr>
          <w:rFonts w:cs="Arial"/>
          <w:color w:val="000000" w:themeColor="text1"/>
          <w:szCs w:val="24"/>
          <w:lang w:val="en-US"/>
        </w:rPr>
        <w:t>Directed Enhanced Service</w:t>
      </w:r>
      <w:r>
        <w:rPr>
          <w:rFonts w:cs="Arial"/>
          <w:color w:val="000000" w:themeColor="text1"/>
          <w:szCs w:val="24"/>
          <w:lang w:val="en-US"/>
        </w:rPr>
        <w:t xml:space="preserve"> (DES) </w:t>
      </w:r>
      <w:r w:rsidRPr="00821100">
        <w:rPr>
          <w:rFonts w:cs="Arial"/>
          <w:color w:val="000000" w:themeColor="text1"/>
          <w:szCs w:val="24"/>
          <w:lang w:val="en-US"/>
        </w:rPr>
        <w:t>has called for a coordinated approach to tackling inequalities within Primary Care</w:t>
      </w:r>
      <w:r>
        <w:rPr>
          <w:rFonts w:cs="Arial"/>
          <w:color w:val="000000" w:themeColor="text1"/>
          <w:szCs w:val="24"/>
          <w:lang w:val="en-US"/>
        </w:rPr>
        <w:t>.</w:t>
      </w:r>
      <w:r w:rsidRPr="00821100">
        <w:rPr>
          <w:rFonts w:cs="Arial"/>
          <w:color w:val="000000" w:themeColor="text1"/>
          <w:szCs w:val="24"/>
          <w:lang w:val="en-US"/>
        </w:rPr>
        <w:t xml:space="preserve"> </w:t>
      </w:r>
      <w:r>
        <w:rPr>
          <w:rFonts w:cs="Arial"/>
          <w:color w:val="000000" w:themeColor="text1"/>
          <w:szCs w:val="24"/>
          <w:lang w:val="en-US"/>
        </w:rPr>
        <w:t>A</w:t>
      </w:r>
      <w:r w:rsidRPr="00821100">
        <w:rPr>
          <w:rFonts w:cs="Arial"/>
          <w:color w:val="000000" w:themeColor="text1"/>
          <w:szCs w:val="24"/>
          <w:lang w:val="en-US"/>
        </w:rPr>
        <w:t>ll PCNs are required to nominate a health inequalities lead will be to act as a focal point and champion for this work. PCNs will also work with commissioners and PHM teams to design and deliver inequalities improvement intervention(s) for a selected population group experiencing inequality.</w:t>
      </w:r>
    </w:p>
    <w:p w14:paraId="158A74EF" w14:textId="5AC59FDA" w:rsidR="00D857A4" w:rsidRDefault="00D857A4" w:rsidP="00970B67">
      <w:pPr>
        <w:rPr>
          <w:rFonts w:cs="Arial"/>
          <w:color w:val="000000" w:themeColor="text1"/>
          <w:szCs w:val="24"/>
          <w:lang w:val="en-US"/>
        </w:rPr>
      </w:pPr>
      <w:r w:rsidRPr="00821100">
        <w:rPr>
          <w:rFonts w:cs="Arial"/>
          <w:color w:val="000000" w:themeColor="text1"/>
          <w:szCs w:val="24"/>
          <w:lang w:val="en-US"/>
        </w:rPr>
        <w:lastRenderedPageBreak/>
        <w:t>It is expected that an overarching ICS Health Inequalities</w:t>
      </w:r>
      <w:r>
        <w:rPr>
          <w:rFonts w:cs="Arial"/>
          <w:color w:val="000000" w:themeColor="text1"/>
          <w:szCs w:val="24"/>
          <w:lang w:val="en-US"/>
        </w:rPr>
        <w:t xml:space="preserve"> Strategy</w:t>
      </w:r>
      <w:r w:rsidRPr="00821100">
        <w:rPr>
          <w:rFonts w:cs="Arial"/>
          <w:color w:val="000000" w:themeColor="text1"/>
          <w:szCs w:val="24"/>
          <w:lang w:val="en-US"/>
        </w:rPr>
        <w:t xml:space="preserve"> will be deployed by July 2022.</w:t>
      </w:r>
    </w:p>
    <w:p w14:paraId="336D4304" w14:textId="3EFFDAE1" w:rsidR="00D30304" w:rsidRDefault="00D30304" w:rsidP="00630A35">
      <w:pPr>
        <w:pStyle w:val="Heading3"/>
        <w:spacing w:before="360"/>
      </w:pPr>
      <w:bookmarkStart w:id="51" w:name="_Toc107389447"/>
      <w:r w:rsidRPr="00AF0A36">
        <w:t>Engagement with people and communities</w:t>
      </w:r>
      <w:bookmarkEnd w:id="51"/>
      <w:r w:rsidRPr="00AF0A36">
        <w:t xml:space="preserve"> </w:t>
      </w:r>
    </w:p>
    <w:p w14:paraId="776A041D" w14:textId="77777777" w:rsidR="00D30304" w:rsidRPr="00AF0A36" w:rsidRDefault="00D30304" w:rsidP="00D30304">
      <w:pPr>
        <w:spacing w:after="0"/>
        <w:rPr>
          <w:rFonts w:cs="Arial"/>
          <w:b/>
          <w:bCs/>
          <w:szCs w:val="24"/>
        </w:rPr>
      </w:pPr>
      <w:r w:rsidRPr="00AF0A36">
        <w:rPr>
          <w:rFonts w:cs="Arial"/>
          <w:b/>
          <w:bCs/>
          <w:szCs w:val="24"/>
        </w:rPr>
        <w:t xml:space="preserve">Introduction </w:t>
      </w:r>
    </w:p>
    <w:p w14:paraId="392CB3F0" w14:textId="5CB65F2E" w:rsidR="00D30304" w:rsidRDefault="00D30304" w:rsidP="00D30304">
      <w:pPr>
        <w:spacing w:after="0"/>
        <w:rPr>
          <w:rFonts w:cs="Arial"/>
          <w:szCs w:val="24"/>
        </w:rPr>
      </w:pPr>
      <w:r w:rsidRPr="00AF0A36">
        <w:rPr>
          <w:rFonts w:cs="Arial"/>
          <w:szCs w:val="24"/>
        </w:rPr>
        <w:t xml:space="preserve">We put patients and the public at the heart of our CCG. Working in partnership with patients, carers, families and local people within their own communities brings a different perspective to our understanding and can challenge our view of how we think services are received and should be delivered in the future. </w:t>
      </w:r>
      <w:r>
        <w:rPr>
          <w:rFonts w:cs="Arial"/>
          <w:szCs w:val="24"/>
        </w:rPr>
        <w:t>S</w:t>
      </w:r>
      <w:r w:rsidRPr="00AF0A36">
        <w:rPr>
          <w:rFonts w:cs="Arial"/>
          <w:szCs w:val="24"/>
        </w:rPr>
        <w:t xml:space="preserve">ervice provision can be improved if we can learn more about the views, experiences and concerns of patients, service users, carers and our wider communities. We believe that better decisions are made when patients and professionals work together.  In line with a </w:t>
      </w:r>
      <w:hyperlink r:id="rId13" w:history="1">
        <w:r w:rsidRPr="004825FE">
          <w:rPr>
            <w:rStyle w:val="Hyperlink"/>
            <w:rFonts w:cs="Arial"/>
            <w:szCs w:val="24"/>
          </w:rPr>
          <w:t>system engagement framework (hyperlinks)</w:t>
        </w:r>
      </w:hyperlink>
      <w:r w:rsidRPr="00AF0A36">
        <w:rPr>
          <w:rFonts w:cs="Arial"/>
          <w:szCs w:val="24"/>
        </w:rPr>
        <w:t xml:space="preserve"> we strive to make sure we get the community involved at the very beginning of a project and build things around local need rather than organisations. </w:t>
      </w:r>
    </w:p>
    <w:p w14:paraId="2D9644A1" w14:textId="553A8181" w:rsidR="00D30304" w:rsidRPr="00AF0A36" w:rsidRDefault="00D30304" w:rsidP="00D30304">
      <w:pPr>
        <w:spacing w:after="0"/>
        <w:rPr>
          <w:rFonts w:cs="Arial"/>
          <w:b/>
          <w:bCs/>
          <w:szCs w:val="24"/>
        </w:rPr>
      </w:pPr>
      <w:r w:rsidRPr="00AF0A36">
        <w:rPr>
          <w:rFonts w:cs="Arial"/>
          <w:b/>
          <w:bCs/>
          <w:szCs w:val="24"/>
        </w:rPr>
        <w:t xml:space="preserve">The impact of the </w:t>
      </w:r>
      <w:r w:rsidR="00564146" w:rsidRPr="00AF0A36">
        <w:rPr>
          <w:rFonts w:cs="Arial"/>
          <w:b/>
          <w:bCs/>
          <w:szCs w:val="24"/>
        </w:rPr>
        <w:t>C</w:t>
      </w:r>
      <w:r w:rsidR="00564146">
        <w:rPr>
          <w:rFonts w:cs="Arial"/>
          <w:b/>
          <w:bCs/>
          <w:szCs w:val="24"/>
        </w:rPr>
        <w:t>ovid</w:t>
      </w:r>
      <w:r w:rsidRPr="00AF0A36">
        <w:rPr>
          <w:rFonts w:cs="Arial"/>
          <w:b/>
          <w:bCs/>
          <w:szCs w:val="24"/>
        </w:rPr>
        <w:t xml:space="preserve">-19 pandemic </w:t>
      </w:r>
    </w:p>
    <w:p w14:paraId="78D39680" w14:textId="57606ED9" w:rsidR="00D30304" w:rsidRDefault="00D30304" w:rsidP="00D30304">
      <w:pPr>
        <w:spacing w:after="0"/>
        <w:rPr>
          <w:rFonts w:cs="Arial"/>
          <w:szCs w:val="24"/>
        </w:rPr>
      </w:pPr>
      <w:r>
        <w:rPr>
          <w:rFonts w:cs="Arial"/>
          <w:szCs w:val="24"/>
        </w:rPr>
        <w:t>T</w:t>
      </w:r>
      <w:r w:rsidRPr="00AF0A36">
        <w:rPr>
          <w:rFonts w:cs="Arial"/>
          <w:szCs w:val="24"/>
        </w:rPr>
        <w:t xml:space="preserve">he </w:t>
      </w:r>
      <w:r w:rsidR="00564146" w:rsidRPr="00AF0A36">
        <w:rPr>
          <w:rFonts w:cs="Arial"/>
          <w:szCs w:val="24"/>
        </w:rPr>
        <w:t>C</w:t>
      </w:r>
      <w:r w:rsidR="00564146">
        <w:rPr>
          <w:rFonts w:cs="Arial"/>
          <w:szCs w:val="24"/>
        </w:rPr>
        <w:t>ovid</w:t>
      </w:r>
      <w:r w:rsidRPr="00AF0A36">
        <w:rPr>
          <w:rFonts w:cs="Arial"/>
          <w:szCs w:val="24"/>
        </w:rPr>
        <w:t>-19 pandemic</w:t>
      </w:r>
      <w:r>
        <w:rPr>
          <w:rFonts w:cs="Arial"/>
          <w:szCs w:val="24"/>
        </w:rPr>
        <w:t xml:space="preserve"> continued to</w:t>
      </w:r>
      <w:r w:rsidRPr="00AF0A36">
        <w:rPr>
          <w:rFonts w:cs="Arial"/>
          <w:szCs w:val="24"/>
        </w:rPr>
        <w:t xml:space="preserve"> pose challenges to how we </w:t>
      </w:r>
      <w:r>
        <w:rPr>
          <w:rFonts w:cs="Arial"/>
          <w:szCs w:val="24"/>
        </w:rPr>
        <w:t>went</w:t>
      </w:r>
      <w:r w:rsidRPr="00AF0A36">
        <w:rPr>
          <w:rFonts w:cs="Arial"/>
          <w:szCs w:val="24"/>
        </w:rPr>
        <w:t xml:space="preserve"> about meeting our usual duties to engage and communicate with our local communities</w:t>
      </w:r>
      <w:r>
        <w:rPr>
          <w:rFonts w:cs="Arial"/>
          <w:szCs w:val="24"/>
        </w:rPr>
        <w:t xml:space="preserve"> and </w:t>
      </w:r>
      <w:r w:rsidRPr="00AF0A36">
        <w:rPr>
          <w:rFonts w:cs="Arial"/>
          <w:szCs w:val="24"/>
        </w:rPr>
        <w:t>continued to postpone all face-to-face engagement</w:t>
      </w:r>
      <w:r>
        <w:rPr>
          <w:rFonts w:cs="Arial"/>
          <w:szCs w:val="24"/>
        </w:rPr>
        <w:t xml:space="preserve">. However, we </w:t>
      </w:r>
      <w:r w:rsidRPr="00AF0A36">
        <w:rPr>
          <w:rFonts w:cs="Arial"/>
          <w:szCs w:val="24"/>
        </w:rPr>
        <w:t>recogni</w:t>
      </w:r>
      <w:r>
        <w:rPr>
          <w:rFonts w:cs="Arial"/>
          <w:szCs w:val="24"/>
        </w:rPr>
        <w:t>sed</w:t>
      </w:r>
      <w:r w:rsidRPr="00AF0A36">
        <w:rPr>
          <w:rFonts w:cs="Arial"/>
          <w:szCs w:val="24"/>
        </w:rPr>
        <w:t xml:space="preserve"> a critical need to engage and have constructive dialogue with local people and patients throughout this time. </w:t>
      </w:r>
    </w:p>
    <w:p w14:paraId="38635FF8" w14:textId="17B8372C" w:rsidR="00D30304" w:rsidRPr="00AF0A36" w:rsidRDefault="00D30304" w:rsidP="00D30304">
      <w:pPr>
        <w:spacing w:after="0"/>
        <w:rPr>
          <w:rFonts w:cs="Arial"/>
          <w:b/>
          <w:bCs/>
          <w:szCs w:val="24"/>
        </w:rPr>
      </w:pPr>
      <w:r w:rsidRPr="00AF0A36">
        <w:rPr>
          <w:rFonts w:cs="Arial"/>
          <w:b/>
          <w:bCs/>
          <w:szCs w:val="24"/>
        </w:rPr>
        <w:t xml:space="preserve">Our legal duties and principles of engagement </w:t>
      </w:r>
    </w:p>
    <w:p w14:paraId="57657F10" w14:textId="77777777" w:rsidR="00D30304" w:rsidRPr="00AF0A36" w:rsidRDefault="00D30304" w:rsidP="00D30304">
      <w:pPr>
        <w:spacing w:after="0"/>
        <w:rPr>
          <w:rFonts w:cs="Arial"/>
          <w:szCs w:val="24"/>
        </w:rPr>
      </w:pPr>
      <w:r w:rsidRPr="00AF0A36">
        <w:rPr>
          <w:rFonts w:cs="Arial"/>
          <w:szCs w:val="24"/>
        </w:rPr>
        <w:t>The CCG has a duty, under Section 14Z2 of the NHS Act 2006, to involve the public in commissioning</w:t>
      </w:r>
      <w:r>
        <w:rPr>
          <w:rFonts w:cs="Arial"/>
          <w:szCs w:val="24"/>
        </w:rPr>
        <w:t>. Here</w:t>
      </w:r>
      <w:r w:rsidRPr="00AF0A36">
        <w:rPr>
          <w:rFonts w:cs="Arial"/>
          <w:szCs w:val="24"/>
        </w:rPr>
        <w:t xml:space="preserve"> we provide an overview of the consultation and engagement activities that have taken place over the past year (April 2021 – March 2022). </w:t>
      </w:r>
    </w:p>
    <w:p w14:paraId="6BC87E13" w14:textId="77777777" w:rsidR="00D30304" w:rsidRPr="00AF0A36" w:rsidRDefault="00D30304" w:rsidP="0054504D">
      <w:pPr>
        <w:rPr>
          <w:rFonts w:cs="Arial"/>
          <w:szCs w:val="24"/>
        </w:rPr>
      </w:pPr>
      <w:r w:rsidRPr="00AF0A36">
        <w:rPr>
          <w:rFonts w:cs="Arial"/>
          <w:szCs w:val="24"/>
        </w:rPr>
        <w:t xml:space="preserve">We know from experience that engagement with patients, carers and our local communities can result in: </w:t>
      </w:r>
    </w:p>
    <w:p w14:paraId="05998303" w14:textId="77777777" w:rsidR="00D30304" w:rsidRPr="00AF0A36" w:rsidRDefault="00D30304" w:rsidP="00524ADA">
      <w:pPr>
        <w:spacing w:before="0" w:after="0" w:line="480" w:lineRule="auto"/>
        <w:rPr>
          <w:rFonts w:cs="Arial"/>
          <w:szCs w:val="24"/>
        </w:rPr>
      </w:pPr>
      <w:r w:rsidRPr="00AF0A36">
        <w:rPr>
          <w:rFonts w:cs="Arial"/>
          <w:szCs w:val="24"/>
        </w:rPr>
        <w:sym w:font="Symbol" w:char="F0B7"/>
      </w:r>
      <w:r w:rsidRPr="00AF0A36">
        <w:rPr>
          <w:rFonts w:cs="Arial"/>
          <w:szCs w:val="24"/>
        </w:rPr>
        <w:t xml:space="preserve"> </w:t>
      </w:r>
      <w:r>
        <w:rPr>
          <w:rFonts w:cs="Arial"/>
          <w:szCs w:val="24"/>
        </w:rPr>
        <w:t>B</w:t>
      </w:r>
      <w:r w:rsidRPr="00AF0A36">
        <w:rPr>
          <w:rFonts w:cs="Arial"/>
          <w:szCs w:val="24"/>
        </w:rPr>
        <w:t xml:space="preserve">etter outcomes and patient experience  </w:t>
      </w:r>
    </w:p>
    <w:p w14:paraId="6D43B0FA" w14:textId="77777777" w:rsidR="00D30304" w:rsidRPr="00AF0A36" w:rsidRDefault="00D30304" w:rsidP="00524ADA">
      <w:pPr>
        <w:spacing w:before="0" w:after="0" w:line="480" w:lineRule="auto"/>
        <w:rPr>
          <w:rFonts w:cs="Arial"/>
          <w:szCs w:val="24"/>
        </w:rPr>
      </w:pPr>
      <w:r w:rsidRPr="00AF0A36">
        <w:rPr>
          <w:rFonts w:cs="Arial"/>
          <w:szCs w:val="24"/>
        </w:rPr>
        <w:sym w:font="Symbol" w:char="F0B7"/>
      </w:r>
      <w:r w:rsidRPr="00AF0A36">
        <w:rPr>
          <w:rFonts w:cs="Arial"/>
          <w:szCs w:val="24"/>
        </w:rPr>
        <w:t xml:space="preserve"> </w:t>
      </w:r>
      <w:r>
        <w:rPr>
          <w:rFonts w:cs="Arial"/>
          <w:szCs w:val="24"/>
        </w:rPr>
        <w:t>I</w:t>
      </w:r>
      <w:r w:rsidRPr="00AF0A36">
        <w:rPr>
          <w:rFonts w:cs="Arial"/>
          <w:szCs w:val="24"/>
        </w:rPr>
        <w:t xml:space="preserve">mproved services </w:t>
      </w:r>
    </w:p>
    <w:p w14:paraId="58E94B13" w14:textId="77777777" w:rsidR="00D30304" w:rsidRPr="00AF0A36" w:rsidRDefault="00D30304" w:rsidP="00524ADA">
      <w:pPr>
        <w:spacing w:before="0" w:after="0" w:line="480" w:lineRule="auto"/>
        <w:rPr>
          <w:rFonts w:cs="Arial"/>
          <w:szCs w:val="24"/>
        </w:rPr>
      </w:pPr>
      <w:r w:rsidRPr="00AF0A36">
        <w:rPr>
          <w:rFonts w:cs="Arial"/>
          <w:szCs w:val="24"/>
        </w:rPr>
        <w:sym w:font="Symbol" w:char="F0B7"/>
      </w:r>
      <w:r w:rsidRPr="00AF0A36">
        <w:rPr>
          <w:rFonts w:cs="Arial"/>
          <w:szCs w:val="24"/>
        </w:rPr>
        <w:t xml:space="preserve"> </w:t>
      </w:r>
      <w:r>
        <w:rPr>
          <w:rFonts w:cs="Arial"/>
          <w:szCs w:val="24"/>
        </w:rPr>
        <w:t>R</w:t>
      </w:r>
      <w:r w:rsidRPr="00AF0A36">
        <w:rPr>
          <w:rFonts w:cs="Arial"/>
          <w:szCs w:val="24"/>
        </w:rPr>
        <w:t xml:space="preserve">educed demand </w:t>
      </w:r>
    </w:p>
    <w:p w14:paraId="08F1F33E" w14:textId="77777777" w:rsidR="00D30304" w:rsidRDefault="00D30304" w:rsidP="00524ADA">
      <w:pPr>
        <w:spacing w:before="0" w:after="0" w:line="480" w:lineRule="auto"/>
        <w:rPr>
          <w:rFonts w:cs="Arial"/>
          <w:szCs w:val="24"/>
        </w:rPr>
      </w:pPr>
      <w:r w:rsidRPr="00AF0A36">
        <w:rPr>
          <w:rFonts w:cs="Arial"/>
          <w:szCs w:val="24"/>
        </w:rPr>
        <w:sym w:font="Symbol" w:char="F0B7"/>
      </w:r>
      <w:r w:rsidRPr="00AF0A36">
        <w:rPr>
          <w:rFonts w:cs="Arial"/>
          <w:szCs w:val="24"/>
        </w:rPr>
        <w:t xml:space="preserve"> </w:t>
      </w:r>
      <w:r>
        <w:rPr>
          <w:rFonts w:cs="Arial"/>
          <w:szCs w:val="24"/>
        </w:rPr>
        <w:t>D</w:t>
      </w:r>
      <w:r w:rsidRPr="00AF0A36">
        <w:rPr>
          <w:rFonts w:cs="Arial"/>
          <w:szCs w:val="24"/>
        </w:rPr>
        <w:t>eliver change</w:t>
      </w:r>
    </w:p>
    <w:p w14:paraId="2A711224" w14:textId="77777777" w:rsidR="00524ADA" w:rsidRDefault="00524ADA">
      <w:pPr>
        <w:spacing w:before="0" w:after="200" w:line="276" w:lineRule="auto"/>
        <w:rPr>
          <w:rFonts w:cs="Arial"/>
          <w:b/>
          <w:bCs/>
          <w:szCs w:val="24"/>
        </w:rPr>
      </w:pPr>
      <w:r>
        <w:rPr>
          <w:rFonts w:cs="Arial"/>
          <w:b/>
          <w:bCs/>
          <w:szCs w:val="24"/>
        </w:rPr>
        <w:br w:type="page"/>
      </w:r>
    </w:p>
    <w:p w14:paraId="2B86E6DE" w14:textId="407A2F30" w:rsidR="00D30304" w:rsidRPr="00AF0A36" w:rsidRDefault="00D30304" w:rsidP="003A3592">
      <w:pPr>
        <w:spacing w:before="360" w:after="0"/>
        <w:rPr>
          <w:rFonts w:cs="Arial"/>
          <w:b/>
          <w:bCs/>
          <w:szCs w:val="24"/>
        </w:rPr>
      </w:pPr>
      <w:r w:rsidRPr="00AF0A36">
        <w:rPr>
          <w:rFonts w:cs="Arial"/>
          <w:b/>
          <w:bCs/>
          <w:szCs w:val="24"/>
        </w:rPr>
        <w:lastRenderedPageBreak/>
        <w:t xml:space="preserve">Engagement in </w:t>
      </w:r>
      <w:r>
        <w:rPr>
          <w:rFonts w:cs="Arial"/>
          <w:b/>
          <w:bCs/>
          <w:szCs w:val="24"/>
        </w:rPr>
        <w:t>Basildon and Brentwood</w:t>
      </w:r>
      <w:r w:rsidRPr="00AF0A36">
        <w:rPr>
          <w:rFonts w:cs="Arial"/>
          <w:b/>
          <w:bCs/>
          <w:szCs w:val="24"/>
        </w:rPr>
        <w:t xml:space="preserve"> CCG across the Mid and South Essex Health and Care System </w:t>
      </w:r>
    </w:p>
    <w:p w14:paraId="7153A85D" w14:textId="027C09AE" w:rsidR="00D30304" w:rsidRPr="00AF0A36" w:rsidRDefault="00D30304" w:rsidP="00D30304">
      <w:pPr>
        <w:spacing w:after="0"/>
        <w:rPr>
          <w:rFonts w:cs="Arial"/>
          <w:szCs w:val="24"/>
        </w:rPr>
      </w:pPr>
      <w:r w:rsidRPr="00AF0A36">
        <w:rPr>
          <w:rFonts w:cs="Arial"/>
          <w:szCs w:val="24"/>
        </w:rPr>
        <w:t>Collectively the CCGs and partner organisations across mid and south Essex have benefitted from sharing best practice</w:t>
      </w:r>
      <w:r>
        <w:rPr>
          <w:rFonts w:cs="Arial"/>
          <w:szCs w:val="24"/>
        </w:rPr>
        <w:t xml:space="preserve">. So, we have </w:t>
      </w:r>
      <w:r w:rsidRPr="00AF0A36">
        <w:rPr>
          <w:rFonts w:cs="Arial"/>
          <w:szCs w:val="24"/>
        </w:rPr>
        <w:t xml:space="preserve">been expanding the ways in which we work with local people and </w:t>
      </w:r>
      <w:r>
        <w:rPr>
          <w:rFonts w:cs="Arial"/>
          <w:szCs w:val="24"/>
        </w:rPr>
        <w:t>t</w:t>
      </w:r>
      <w:r w:rsidRPr="00AF0A36">
        <w:rPr>
          <w:rFonts w:cs="Arial"/>
          <w:szCs w:val="24"/>
        </w:rPr>
        <w:t xml:space="preserve">o join the conversation in a way that suits </w:t>
      </w:r>
      <w:r w:rsidR="00311395" w:rsidRPr="00AF0A36">
        <w:rPr>
          <w:rFonts w:cs="Arial"/>
          <w:szCs w:val="24"/>
        </w:rPr>
        <w:t>them</w:t>
      </w:r>
      <w:r w:rsidR="00311395">
        <w:rPr>
          <w:rFonts w:cs="Arial"/>
          <w:szCs w:val="24"/>
        </w:rPr>
        <w:t>.</w:t>
      </w:r>
      <w:r w:rsidRPr="00AF0A36">
        <w:rPr>
          <w:rFonts w:cs="Arial"/>
          <w:szCs w:val="24"/>
        </w:rPr>
        <w:t xml:space="preserve"> </w:t>
      </w:r>
    </w:p>
    <w:p w14:paraId="316EF032" w14:textId="77777777" w:rsidR="00D30304" w:rsidRPr="00AF0A36" w:rsidRDefault="00D30304" w:rsidP="000D3041">
      <w:pPr>
        <w:pStyle w:val="ListParagraph"/>
        <w:numPr>
          <w:ilvl w:val="0"/>
          <w:numId w:val="12"/>
        </w:numPr>
        <w:spacing w:before="0" w:after="0"/>
        <w:rPr>
          <w:rFonts w:cs="Arial"/>
          <w:szCs w:val="24"/>
        </w:rPr>
      </w:pPr>
      <w:r>
        <w:rPr>
          <w:rFonts w:cs="Arial"/>
          <w:szCs w:val="24"/>
        </w:rPr>
        <w:t>Commissioning Reference Group – patient and community representative group that support commissioning decisions.</w:t>
      </w:r>
    </w:p>
    <w:p w14:paraId="0801841C" w14:textId="77777777" w:rsidR="00D30304" w:rsidRPr="00AF0A36" w:rsidRDefault="00D30304" w:rsidP="000D3041">
      <w:pPr>
        <w:pStyle w:val="ListParagraph"/>
        <w:numPr>
          <w:ilvl w:val="0"/>
          <w:numId w:val="12"/>
        </w:numPr>
        <w:spacing w:before="0" w:after="0"/>
        <w:rPr>
          <w:rFonts w:cs="Arial"/>
          <w:szCs w:val="24"/>
        </w:rPr>
      </w:pPr>
      <w:r w:rsidRPr="00AF0A36">
        <w:rPr>
          <w:rFonts w:cs="Arial"/>
          <w:szCs w:val="24"/>
        </w:rPr>
        <w:t xml:space="preserve">Attending the CCG’s public meetings, including its Annual General Meeting and Governing Body meetings in public. </w:t>
      </w:r>
    </w:p>
    <w:p w14:paraId="3D35E6C3" w14:textId="77777777" w:rsidR="00D30304" w:rsidRPr="00AF0A36" w:rsidRDefault="00D30304" w:rsidP="000D3041">
      <w:pPr>
        <w:pStyle w:val="ListParagraph"/>
        <w:numPr>
          <w:ilvl w:val="0"/>
          <w:numId w:val="12"/>
        </w:numPr>
        <w:spacing w:before="0" w:after="0"/>
        <w:rPr>
          <w:rFonts w:cs="Arial"/>
          <w:szCs w:val="24"/>
        </w:rPr>
      </w:pPr>
      <w:r w:rsidRPr="00AF0A36">
        <w:rPr>
          <w:rFonts w:cs="Arial"/>
          <w:szCs w:val="24"/>
        </w:rPr>
        <w:t xml:space="preserve">Attending our virtual events </w:t>
      </w:r>
    </w:p>
    <w:p w14:paraId="57E29058" w14:textId="400B2824" w:rsidR="00D30304" w:rsidRPr="00AF0A36" w:rsidRDefault="00D30304" w:rsidP="000D3041">
      <w:pPr>
        <w:pStyle w:val="ListParagraph"/>
        <w:numPr>
          <w:ilvl w:val="0"/>
          <w:numId w:val="12"/>
        </w:numPr>
        <w:spacing w:before="0" w:after="0"/>
        <w:rPr>
          <w:rFonts w:cs="Arial"/>
          <w:szCs w:val="24"/>
        </w:rPr>
      </w:pPr>
      <w:r w:rsidRPr="00AF0A36">
        <w:rPr>
          <w:rFonts w:cs="Arial"/>
          <w:szCs w:val="24"/>
        </w:rPr>
        <w:t>Join ad</w:t>
      </w:r>
      <w:r>
        <w:rPr>
          <w:rFonts w:cs="Arial"/>
          <w:szCs w:val="24"/>
        </w:rPr>
        <w:t xml:space="preserve"> </w:t>
      </w:r>
      <w:r w:rsidRPr="00AF0A36">
        <w:rPr>
          <w:rFonts w:cs="Arial"/>
          <w:szCs w:val="24"/>
        </w:rPr>
        <w:t>hoc meetings to inform our work.  For example, we</w:t>
      </w:r>
      <w:r>
        <w:rPr>
          <w:rFonts w:cs="Arial"/>
          <w:szCs w:val="24"/>
        </w:rPr>
        <w:t xml:space="preserve"> </w:t>
      </w:r>
      <w:r w:rsidRPr="00AF0A36">
        <w:rPr>
          <w:rFonts w:cs="Arial"/>
          <w:szCs w:val="24"/>
        </w:rPr>
        <w:t>host</w:t>
      </w:r>
      <w:r>
        <w:rPr>
          <w:rFonts w:cs="Arial"/>
          <w:szCs w:val="24"/>
        </w:rPr>
        <w:t>ed</w:t>
      </w:r>
      <w:r w:rsidRPr="00AF0A36">
        <w:rPr>
          <w:rFonts w:cs="Arial"/>
          <w:szCs w:val="24"/>
        </w:rPr>
        <w:t xml:space="preserve"> a number of meetings with patient representative</w:t>
      </w:r>
      <w:r w:rsidR="00564146">
        <w:rPr>
          <w:rFonts w:cs="Arial"/>
          <w:szCs w:val="24"/>
        </w:rPr>
        <w:t>s</w:t>
      </w:r>
      <w:r w:rsidRPr="00AF0A36">
        <w:rPr>
          <w:rFonts w:cs="Arial"/>
          <w:szCs w:val="24"/>
        </w:rPr>
        <w:t xml:space="preserve"> to inform our communications campaigns.</w:t>
      </w:r>
    </w:p>
    <w:p w14:paraId="29C86114" w14:textId="2E3D7E8E" w:rsidR="00D30304" w:rsidRPr="00AB616A" w:rsidRDefault="00D30304" w:rsidP="000D3041">
      <w:pPr>
        <w:pStyle w:val="ListParagraph"/>
        <w:numPr>
          <w:ilvl w:val="0"/>
          <w:numId w:val="12"/>
        </w:numPr>
        <w:spacing w:before="0" w:after="0"/>
        <w:rPr>
          <w:rFonts w:cs="Arial"/>
          <w:szCs w:val="24"/>
        </w:rPr>
      </w:pPr>
      <w:bookmarkStart w:id="52" w:name="_Hlk97218941"/>
      <w:r w:rsidRPr="00AB616A">
        <w:rPr>
          <w:rFonts w:cs="Arial"/>
          <w:szCs w:val="24"/>
        </w:rPr>
        <w:t xml:space="preserve">Being part of </w:t>
      </w:r>
      <w:r>
        <w:rPr>
          <w:rFonts w:cs="Arial"/>
          <w:szCs w:val="24"/>
        </w:rPr>
        <w:t xml:space="preserve">our </w:t>
      </w:r>
      <w:r w:rsidRPr="00AB616A">
        <w:rPr>
          <w:rFonts w:cs="Arial"/>
          <w:szCs w:val="24"/>
        </w:rPr>
        <w:t xml:space="preserve">Citizen Panel, </w:t>
      </w:r>
      <w:r>
        <w:rPr>
          <w:rFonts w:cs="Arial"/>
          <w:szCs w:val="24"/>
        </w:rPr>
        <w:t xml:space="preserve">called </w:t>
      </w:r>
      <w:hyperlink r:id="rId14" w:history="1">
        <w:r w:rsidRPr="00193030">
          <w:rPr>
            <w:rStyle w:val="Hyperlink"/>
            <w:rFonts w:cs="Arial"/>
            <w:szCs w:val="24"/>
          </w:rPr>
          <w:t>Virtual Views</w:t>
        </w:r>
        <w:r w:rsidR="00193030" w:rsidRPr="00193030">
          <w:rPr>
            <w:rStyle w:val="Hyperlink"/>
            <w:rFonts w:cs="Arial"/>
            <w:szCs w:val="24"/>
          </w:rPr>
          <w:t xml:space="preserve"> (hyperlinks)</w:t>
        </w:r>
      </w:hyperlink>
      <w:r w:rsidR="00193030">
        <w:rPr>
          <w:rFonts w:cs="Arial"/>
          <w:szCs w:val="24"/>
        </w:rPr>
        <w:t xml:space="preserve">.  </w:t>
      </w:r>
      <w:r w:rsidRPr="00D958F7">
        <w:rPr>
          <w:rStyle w:val="Hyperlink"/>
          <w:rFonts w:cs="Arial"/>
          <w:szCs w:val="24"/>
        </w:rPr>
        <w:t>I</w:t>
      </w:r>
      <w:r w:rsidRPr="00D958F7">
        <w:rPr>
          <w:rFonts w:cs="Arial"/>
          <w:szCs w:val="24"/>
        </w:rPr>
        <w:t xml:space="preserve">n </w:t>
      </w:r>
      <w:r w:rsidRPr="00AB616A">
        <w:rPr>
          <w:rFonts w:cs="Arial"/>
          <w:szCs w:val="24"/>
        </w:rPr>
        <w:t>2021 we asked for their views</w:t>
      </w:r>
      <w:r>
        <w:rPr>
          <w:rFonts w:cs="Arial"/>
          <w:szCs w:val="24"/>
        </w:rPr>
        <w:t xml:space="preserve"> on;</w:t>
      </w:r>
      <w:r w:rsidRPr="00AB616A">
        <w:rPr>
          <w:rFonts w:cs="Arial"/>
          <w:szCs w:val="24"/>
        </w:rPr>
        <w:t xml:space="preserve"> immunisation</w:t>
      </w:r>
      <w:r>
        <w:rPr>
          <w:rFonts w:cs="Arial"/>
          <w:szCs w:val="24"/>
        </w:rPr>
        <w:t xml:space="preserve"> and </w:t>
      </w:r>
      <w:r w:rsidRPr="00AB616A">
        <w:rPr>
          <w:rFonts w:cs="Arial"/>
          <w:szCs w:val="24"/>
        </w:rPr>
        <w:t xml:space="preserve">changes to services </w:t>
      </w:r>
      <w:r>
        <w:rPr>
          <w:rFonts w:cs="Arial"/>
          <w:szCs w:val="24"/>
        </w:rPr>
        <w:t>re</w:t>
      </w:r>
      <w:r w:rsidRPr="00AB616A">
        <w:rPr>
          <w:rFonts w:cs="Arial"/>
          <w:szCs w:val="24"/>
        </w:rPr>
        <w:t xml:space="preserve"> the pandemic response</w:t>
      </w:r>
      <w:r>
        <w:rPr>
          <w:rFonts w:cs="Arial"/>
          <w:szCs w:val="24"/>
        </w:rPr>
        <w:t>.</w:t>
      </w:r>
    </w:p>
    <w:bookmarkEnd w:id="52"/>
    <w:p w14:paraId="0740FF55" w14:textId="77777777" w:rsidR="00D30304" w:rsidRPr="00AF0A36" w:rsidRDefault="00D30304" w:rsidP="000D3041">
      <w:pPr>
        <w:pStyle w:val="ListParagraph"/>
        <w:numPr>
          <w:ilvl w:val="0"/>
          <w:numId w:val="12"/>
        </w:numPr>
        <w:spacing w:before="0" w:after="0"/>
        <w:rPr>
          <w:rFonts w:cs="Arial"/>
          <w:szCs w:val="24"/>
        </w:rPr>
      </w:pPr>
      <w:r w:rsidRPr="00AF0A36">
        <w:rPr>
          <w:rFonts w:cs="Arial"/>
          <w:szCs w:val="24"/>
        </w:rPr>
        <w:t>Following and interacting with the CCG on social media or visiting our website</w:t>
      </w:r>
      <w:r>
        <w:rPr>
          <w:rFonts w:cs="Arial"/>
          <w:szCs w:val="24"/>
        </w:rPr>
        <w:t xml:space="preserve"> or subscribing to one of our newsletters.</w:t>
      </w:r>
    </w:p>
    <w:p w14:paraId="639002CB" w14:textId="77777777" w:rsidR="00D30304" w:rsidRPr="00AF0A36" w:rsidRDefault="00D30304" w:rsidP="000D3041">
      <w:pPr>
        <w:pStyle w:val="ListParagraph"/>
        <w:numPr>
          <w:ilvl w:val="0"/>
          <w:numId w:val="12"/>
        </w:numPr>
        <w:spacing w:before="0" w:after="0"/>
        <w:rPr>
          <w:rFonts w:cs="Arial"/>
          <w:szCs w:val="24"/>
        </w:rPr>
      </w:pPr>
      <w:r w:rsidRPr="00AF0A36">
        <w:rPr>
          <w:rFonts w:cs="Arial"/>
          <w:szCs w:val="24"/>
        </w:rPr>
        <w:t xml:space="preserve">Contacting the CCG with specific ideas, questions or concerns. </w:t>
      </w:r>
    </w:p>
    <w:p w14:paraId="6559847C" w14:textId="60CE91DE" w:rsidR="00D30304" w:rsidRPr="00F41D5C" w:rsidRDefault="00D30304" w:rsidP="00055486">
      <w:pPr>
        <w:rPr>
          <w:rFonts w:cs="Arial"/>
          <w:szCs w:val="24"/>
        </w:rPr>
      </w:pPr>
      <w:r w:rsidRPr="00AF0A36">
        <w:rPr>
          <w:rFonts w:cs="Arial"/>
          <w:szCs w:val="24"/>
        </w:rPr>
        <w:t xml:space="preserve">Details of all the groups and meetings, as well as the CCG’s contact details and social media, can be found on the CCG website </w:t>
      </w:r>
      <w:hyperlink r:id="rId15" w:history="1">
        <w:r w:rsidRPr="00F41D5C">
          <w:rPr>
            <w:rFonts w:cs="Arial"/>
            <w:color w:val="0000FF"/>
            <w:szCs w:val="24"/>
            <w:u w:val="single"/>
          </w:rPr>
          <w:t>Get involved - NHS Basildon and Brentwood CCG</w:t>
        </w:r>
      </w:hyperlink>
      <w:r w:rsidR="004825FE">
        <w:rPr>
          <w:rFonts w:cs="Arial"/>
          <w:color w:val="0000FF"/>
          <w:szCs w:val="24"/>
          <w:u w:val="single"/>
        </w:rPr>
        <w:t xml:space="preserve"> (hyperlinks)</w:t>
      </w:r>
      <w:r>
        <w:rPr>
          <w:rFonts w:cs="Arial"/>
          <w:color w:val="0000FF"/>
          <w:szCs w:val="24"/>
          <w:u w:val="single"/>
        </w:rPr>
        <w:t>.</w:t>
      </w:r>
      <w:r w:rsidRPr="00F41D5C">
        <w:rPr>
          <w:rFonts w:cs="Arial"/>
          <w:szCs w:val="24"/>
        </w:rPr>
        <w:t xml:space="preserve"> </w:t>
      </w:r>
    </w:p>
    <w:p w14:paraId="48C3CC71" w14:textId="01D99C0A" w:rsidR="00D30304" w:rsidRPr="00AF0A36" w:rsidRDefault="00D30304" w:rsidP="003A3592">
      <w:pPr>
        <w:spacing w:before="480" w:after="0"/>
        <w:rPr>
          <w:rFonts w:cs="Arial"/>
          <w:b/>
          <w:bCs/>
          <w:szCs w:val="24"/>
        </w:rPr>
      </w:pPr>
      <w:r w:rsidRPr="00AF0A36">
        <w:rPr>
          <w:rFonts w:cs="Arial"/>
          <w:b/>
          <w:bCs/>
          <w:szCs w:val="24"/>
        </w:rPr>
        <w:t xml:space="preserve">Partnerships across the health and care system </w:t>
      </w:r>
    </w:p>
    <w:p w14:paraId="1A86F1EE" w14:textId="77777777" w:rsidR="00D30304" w:rsidRDefault="00D30304" w:rsidP="00D30304">
      <w:pPr>
        <w:spacing w:after="0"/>
        <w:rPr>
          <w:rFonts w:cs="Arial"/>
          <w:szCs w:val="24"/>
        </w:rPr>
      </w:pPr>
      <w:r>
        <w:rPr>
          <w:rFonts w:cs="Arial"/>
          <w:szCs w:val="24"/>
        </w:rPr>
        <w:t>W</w:t>
      </w:r>
      <w:r w:rsidRPr="00AF0A36">
        <w:rPr>
          <w:rFonts w:cs="Arial"/>
          <w:szCs w:val="24"/>
        </w:rPr>
        <w:t xml:space="preserve">e actively work and collaborate with our </w:t>
      </w:r>
      <w:r>
        <w:rPr>
          <w:rFonts w:cs="Arial"/>
          <w:szCs w:val="24"/>
        </w:rPr>
        <w:t>l</w:t>
      </w:r>
      <w:r w:rsidRPr="00AF0A36">
        <w:rPr>
          <w:rFonts w:cs="Arial"/>
          <w:szCs w:val="24"/>
        </w:rPr>
        <w:t xml:space="preserve">ocal Healthwatch and </w:t>
      </w:r>
      <w:r>
        <w:rPr>
          <w:rFonts w:cs="Arial"/>
          <w:szCs w:val="24"/>
        </w:rPr>
        <w:t>v</w:t>
      </w:r>
      <w:r w:rsidRPr="00AF0A36">
        <w:rPr>
          <w:rFonts w:cs="Arial"/>
          <w:szCs w:val="24"/>
        </w:rPr>
        <w:t xml:space="preserve">oluntary, community and faith sector colleagues. </w:t>
      </w:r>
    </w:p>
    <w:p w14:paraId="6EB290DD" w14:textId="1B652133" w:rsidR="00D30304" w:rsidRPr="00E757F5" w:rsidRDefault="00D30304" w:rsidP="00D30304">
      <w:pPr>
        <w:spacing w:after="0"/>
        <w:rPr>
          <w:rFonts w:eastAsia="Arial" w:cs="Arial"/>
          <w:szCs w:val="24"/>
          <w:lang w:eastAsia="en-GB"/>
        </w:rPr>
      </w:pPr>
      <w:r>
        <w:rPr>
          <w:rFonts w:eastAsia="Arial" w:cs="Arial"/>
          <w:szCs w:val="24"/>
          <w:lang w:eastAsia="en-GB"/>
        </w:rPr>
        <w:t xml:space="preserve">We </w:t>
      </w:r>
      <w:r w:rsidRPr="00E757F5">
        <w:rPr>
          <w:rFonts w:eastAsia="Arial" w:cs="Arial"/>
          <w:szCs w:val="24"/>
          <w:lang w:eastAsia="en-GB"/>
        </w:rPr>
        <w:t>partner</w:t>
      </w:r>
      <w:r>
        <w:rPr>
          <w:rFonts w:eastAsia="Arial" w:cs="Arial"/>
          <w:szCs w:val="24"/>
          <w:lang w:eastAsia="en-GB"/>
        </w:rPr>
        <w:t xml:space="preserve">ed with </w:t>
      </w:r>
      <w:r w:rsidRPr="00E757F5">
        <w:rPr>
          <w:rFonts w:eastAsia="Arial" w:cs="Arial"/>
          <w:szCs w:val="24"/>
          <w:lang w:eastAsia="en-GB"/>
        </w:rPr>
        <w:t xml:space="preserve">Ford to develop </w:t>
      </w:r>
      <w:r>
        <w:rPr>
          <w:rFonts w:eastAsia="Arial" w:cs="Arial"/>
          <w:szCs w:val="24"/>
          <w:lang w:eastAsia="en-GB"/>
        </w:rPr>
        <w:t xml:space="preserve">the </w:t>
      </w:r>
      <w:r w:rsidRPr="00E757F5">
        <w:rPr>
          <w:rFonts w:eastAsia="Arial" w:cs="Arial"/>
          <w:szCs w:val="24"/>
          <w:lang w:eastAsia="en-GB"/>
        </w:rPr>
        <w:t xml:space="preserve">world’s first custom-built </w:t>
      </w:r>
      <w:r w:rsidR="00564146" w:rsidRPr="00E757F5">
        <w:rPr>
          <w:rFonts w:eastAsia="Arial" w:cs="Arial"/>
          <w:szCs w:val="24"/>
          <w:lang w:eastAsia="en-GB"/>
        </w:rPr>
        <w:t>C</w:t>
      </w:r>
      <w:r w:rsidR="00564146">
        <w:rPr>
          <w:rFonts w:eastAsia="Arial" w:cs="Arial"/>
          <w:szCs w:val="24"/>
          <w:lang w:eastAsia="en-GB"/>
        </w:rPr>
        <w:t>ovid</w:t>
      </w:r>
      <w:r w:rsidRPr="00E757F5">
        <w:rPr>
          <w:rFonts w:eastAsia="Arial" w:cs="Arial"/>
          <w:szCs w:val="24"/>
          <w:lang w:eastAsia="en-GB"/>
        </w:rPr>
        <w:t>-19 vaccination vehicle</w:t>
      </w:r>
      <w:r w:rsidRPr="00AF0A36">
        <w:rPr>
          <w:rFonts w:eastAsia="Arial" w:cs="Arial"/>
          <w:szCs w:val="24"/>
          <w:lang w:eastAsia="en-GB"/>
        </w:rPr>
        <w:t xml:space="preserve"> called the Essex Vax Van</w:t>
      </w:r>
      <w:r>
        <w:rPr>
          <w:rFonts w:eastAsia="Arial" w:cs="Arial"/>
          <w:szCs w:val="24"/>
          <w:lang w:eastAsia="en-GB"/>
        </w:rPr>
        <w:t>. This</w:t>
      </w:r>
      <w:r w:rsidRPr="00E757F5">
        <w:rPr>
          <w:rFonts w:eastAsia="Arial" w:cs="Arial"/>
          <w:szCs w:val="24"/>
          <w:lang w:eastAsia="en-GB"/>
        </w:rPr>
        <w:t xml:space="preserve"> enabled a new model of outreach </w:t>
      </w:r>
      <w:r>
        <w:rPr>
          <w:rFonts w:eastAsia="Arial" w:cs="Arial"/>
          <w:szCs w:val="24"/>
          <w:lang w:eastAsia="en-GB"/>
        </w:rPr>
        <w:t xml:space="preserve">and </w:t>
      </w:r>
      <w:r w:rsidRPr="00E757F5">
        <w:rPr>
          <w:rFonts w:eastAsia="Arial" w:cs="Arial"/>
          <w:szCs w:val="24"/>
          <w:lang w:eastAsia="en-GB"/>
        </w:rPr>
        <w:t>ensur</w:t>
      </w:r>
      <w:r>
        <w:rPr>
          <w:rFonts w:eastAsia="Arial" w:cs="Arial"/>
          <w:szCs w:val="24"/>
          <w:lang w:eastAsia="en-GB"/>
        </w:rPr>
        <w:t>ed</w:t>
      </w:r>
      <w:r w:rsidRPr="00E757F5">
        <w:rPr>
          <w:rFonts w:eastAsia="Arial" w:cs="Arial"/>
          <w:szCs w:val="24"/>
          <w:lang w:eastAsia="en-GB"/>
        </w:rPr>
        <w:t xml:space="preserve"> </w:t>
      </w:r>
      <w:r>
        <w:rPr>
          <w:rFonts w:eastAsia="Arial" w:cs="Arial"/>
          <w:szCs w:val="24"/>
          <w:lang w:eastAsia="en-GB"/>
        </w:rPr>
        <w:t xml:space="preserve">a </w:t>
      </w:r>
      <w:r w:rsidRPr="00E757F5">
        <w:rPr>
          <w:rFonts w:eastAsia="Arial" w:cs="Arial"/>
          <w:szCs w:val="24"/>
          <w:lang w:eastAsia="en-GB"/>
        </w:rPr>
        <w:t>culturally sensitive approach for communities not engaging in the national C</w:t>
      </w:r>
      <w:r w:rsidR="003067AE">
        <w:rPr>
          <w:rFonts w:eastAsia="Arial" w:cs="Arial"/>
          <w:szCs w:val="24"/>
          <w:lang w:eastAsia="en-GB"/>
        </w:rPr>
        <w:t>ovid</w:t>
      </w:r>
      <w:r w:rsidRPr="00E757F5">
        <w:rPr>
          <w:rFonts w:eastAsia="Arial" w:cs="Arial"/>
          <w:szCs w:val="24"/>
          <w:lang w:eastAsia="en-GB"/>
        </w:rPr>
        <w:t xml:space="preserve">-19 vaccination programme.  </w:t>
      </w:r>
    </w:p>
    <w:p w14:paraId="7E5F4B31" w14:textId="11B756A8" w:rsidR="00D30304" w:rsidRPr="00AF0A36" w:rsidRDefault="00D30304" w:rsidP="00D30304">
      <w:pPr>
        <w:spacing w:after="0"/>
        <w:rPr>
          <w:rFonts w:eastAsia="Arial" w:cs="Arial"/>
          <w:szCs w:val="24"/>
          <w:lang w:eastAsia="en-GB"/>
        </w:rPr>
      </w:pPr>
      <w:r w:rsidRPr="00AF0A36">
        <w:rPr>
          <w:rFonts w:eastAsia="Arial" w:cs="Arial"/>
          <w:szCs w:val="24"/>
          <w:lang w:eastAsia="en-GB"/>
        </w:rPr>
        <w:t>Having successfully increased</w:t>
      </w:r>
      <w:r w:rsidRPr="00E757F5">
        <w:rPr>
          <w:rFonts w:eastAsia="Arial" w:cs="Arial"/>
          <w:szCs w:val="24"/>
          <w:lang w:eastAsia="en-GB"/>
        </w:rPr>
        <w:t xml:space="preserve"> the uptake of </w:t>
      </w:r>
      <w:r w:rsidR="00564146" w:rsidRPr="00E757F5">
        <w:rPr>
          <w:rFonts w:eastAsia="Arial" w:cs="Arial"/>
          <w:szCs w:val="24"/>
          <w:lang w:eastAsia="en-GB"/>
        </w:rPr>
        <w:t>C</w:t>
      </w:r>
      <w:r w:rsidR="00564146">
        <w:rPr>
          <w:rFonts w:eastAsia="Arial" w:cs="Arial"/>
          <w:szCs w:val="24"/>
          <w:lang w:eastAsia="en-GB"/>
        </w:rPr>
        <w:t>ovid</w:t>
      </w:r>
      <w:r w:rsidRPr="00E757F5">
        <w:rPr>
          <w:rFonts w:eastAsia="Arial" w:cs="Arial"/>
          <w:szCs w:val="24"/>
          <w:lang w:eastAsia="en-GB"/>
        </w:rPr>
        <w:t xml:space="preserve">-19 vaccinations </w:t>
      </w:r>
      <w:r w:rsidRPr="00AF0A36">
        <w:rPr>
          <w:rFonts w:eastAsia="Arial" w:cs="Arial"/>
          <w:szCs w:val="24"/>
          <w:lang w:eastAsia="en-GB"/>
        </w:rPr>
        <w:t>in areas of low up</w:t>
      </w:r>
      <w:r>
        <w:rPr>
          <w:rFonts w:eastAsia="Arial" w:cs="Arial"/>
          <w:szCs w:val="24"/>
          <w:lang w:eastAsia="en-GB"/>
        </w:rPr>
        <w:t>t</w:t>
      </w:r>
      <w:r w:rsidRPr="00AF0A36">
        <w:rPr>
          <w:rFonts w:eastAsia="Arial" w:cs="Arial"/>
          <w:szCs w:val="24"/>
          <w:lang w:eastAsia="en-GB"/>
        </w:rPr>
        <w:t>a</w:t>
      </w:r>
      <w:r>
        <w:rPr>
          <w:rFonts w:eastAsia="Arial" w:cs="Arial"/>
          <w:szCs w:val="24"/>
          <w:lang w:eastAsia="en-GB"/>
        </w:rPr>
        <w:t>k</w:t>
      </w:r>
      <w:r w:rsidRPr="00AF0A36">
        <w:rPr>
          <w:rFonts w:eastAsia="Arial" w:cs="Arial"/>
          <w:szCs w:val="24"/>
          <w:lang w:eastAsia="en-GB"/>
        </w:rPr>
        <w:t xml:space="preserve">e, </w:t>
      </w:r>
      <w:r w:rsidRPr="00E757F5">
        <w:rPr>
          <w:rFonts w:eastAsia="Arial" w:cs="Arial"/>
          <w:szCs w:val="24"/>
          <w:lang w:eastAsia="en-GB"/>
        </w:rPr>
        <w:t>the team buil</w:t>
      </w:r>
      <w:r>
        <w:rPr>
          <w:rFonts w:eastAsia="Arial" w:cs="Arial"/>
          <w:szCs w:val="24"/>
          <w:lang w:eastAsia="en-GB"/>
        </w:rPr>
        <w:t>t</w:t>
      </w:r>
      <w:r w:rsidRPr="00E757F5">
        <w:rPr>
          <w:rFonts w:eastAsia="Arial" w:cs="Arial"/>
          <w:szCs w:val="24"/>
          <w:lang w:eastAsia="en-GB"/>
        </w:rPr>
        <w:t xml:space="preserve"> on its success </w:t>
      </w:r>
      <w:r>
        <w:rPr>
          <w:rFonts w:eastAsia="Arial" w:cs="Arial"/>
          <w:szCs w:val="24"/>
          <w:lang w:eastAsia="en-GB"/>
        </w:rPr>
        <w:t xml:space="preserve">to </w:t>
      </w:r>
      <w:r w:rsidRPr="00E757F5">
        <w:rPr>
          <w:rFonts w:eastAsia="Arial" w:cs="Arial"/>
          <w:szCs w:val="24"/>
          <w:lang w:eastAsia="en-GB"/>
        </w:rPr>
        <w:t xml:space="preserve">bring much needed spirometry testing into the community. </w:t>
      </w:r>
      <w:r w:rsidRPr="00AF0A36">
        <w:rPr>
          <w:rFonts w:eastAsia="Arial" w:cs="Arial"/>
          <w:szCs w:val="24"/>
          <w:lang w:eastAsia="en-GB"/>
        </w:rPr>
        <w:t>The initiative was</w:t>
      </w:r>
      <w:r w:rsidRPr="00E757F5">
        <w:rPr>
          <w:rFonts w:eastAsia="Arial" w:cs="Arial"/>
          <w:szCs w:val="24"/>
          <w:lang w:eastAsia="en-GB"/>
        </w:rPr>
        <w:t xml:space="preserve"> a finalist for ‘Most impactful project addressing healthcare inequalities’ at the prestigious HSJ Partnership Awards 2022.</w:t>
      </w:r>
      <w:r>
        <w:rPr>
          <w:rFonts w:eastAsia="Arial" w:cs="Arial"/>
          <w:szCs w:val="24"/>
          <w:lang w:eastAsia="en-GB"/>
        </w:rPr>
        <w:t xml:space="preserve"> For more information, please visit: </w:t>
      </w:r>
      <w:hyperlink r:id="rId16" w:history="1">
        <w:r>
          <w:rPr>
            <w:rStyle w:val="Hyperlink"/>
            <w:rFonts w:eastAsia="Arial" w:cs="Arial"/>
            <w:szCs w:val="24"/>
            <w:lang w:eastAsia="en-GB"/>
          </w:rPr>
          <w:t>Essex Vax Van</w:t>
        </w:r>
      </w:hyperlink>
      <w:r w:rsidR="004825FE">
        <w:rPr>
          <w:rStyle w:val="Hyperlink"/>
          <w:rFonts w:eastAsia="Arial" w:cs="Arial"/>
          <w:szCs w:val="24"/>
          <w:lang w:eastAsia="en-GB"/>
        </w:rPr>
        <w:t xml:space="preserve"> (hyperlinks)</w:t>
      </w:r>
      <w:r>
        <w:rPr>
          <w:rFonts w:eastAsia="Arial" w:cs="Arial"/>
          <w:szCs w:val="24"/>
          <w:lang w:eastAsia="en-GB"/>
        </w:rPr>
        <w:t xml:space="preserve"> </w:t>
      </w:r>
    </w:p>
    <w:p w14:paraId="7C141151" w14:textId="35408663" w:rsidR="00D30304" w:rsidRPr="00154B53" w:rsidRDefault="00D30304" w:rsidP="00D30304">
      <w:pPr>
        <w:spacing w:after="0"/>
        <w:rPr>
          <w:rFonts w:eastAsia="Times New Roman" w:cs="Arial"/>
          <w:b/>
          <w:bCs/>
          <w:szCs w:val="24"/>
        </w:rPr>
      </w:pPr>
      <w:r w:rsidRPr="00A13044">
        <w:rPr>
          <w:rFonts w:eastAsia="Times New Roman" w:cs="Arial"/>
          <w:szCs w:val="24"/>
        </w:rPr>
        <w:t xml:space="preserve">Patient transport </w:t>
      </w:r>
      <w:r>
        <w:rPr>
          <w:rFonts w:eastAsia="Times New Roman" w:cs="Arial"/>
          <w:szCs w:val="24"/>
        </w:rPr>
        <w:t xml:space="preserve">- </w:t>
      </w:r>
      <w:r w:rsidRPr="00154B53">
        <w:rPr>
          <w:rFonts w:eastAsia="Times New Roman" w:cs="Arial"/>
          <w:szCs w:val="24"/>
        </w:rPr>
        <w:t xml:space="preserve">The five CCGs within mid and south Essex worked together with patients and local stakeholders to formally procure a single patient transport service for eligible patients living in Mid Essex, Basildon and Brentwood, Castle Point and Rochford, Southend and Thurrock.  </w:t>
      </w:r>
      <w:r w:rsidR="00564146">
        <w:rPr>
          <w:rFonts w:eastAsia="Times New Roman" w:cs="Arial"/>
          <w:szCs w:val="24"/>
        </w:rPr>
        <w:t xml:space="preserve">The </w:t>
      </w:r>
      <w:r w:rsidRPr="00154B53">
        <w:rPr>
          <w:rFonts w:eastAsia="Times New Roman" w:cs="Arial"/>
          <w:szCs w:val="24"/>
        </w:rPr>
        <w:t>CCG Board Lay Member for Patient and Public Involvement and Chair of Basildon and Brentwood Patient and Community Reference Group and PCRG members were part of the procurement panel. Thames Ambulance Service (TAS) was successful in this tender to operate the service for the next five years</w:t>
      </w:r>
      <w:r>
        <w:rPr>
          <w:rFonts w:eastAsia="Times New Roman" w:cs="Arial"/>
          <w:szCs w:val="24"/>
        </w:rPr>
        <w:t>. At</w:t>
      </w:r>
      <w:r w:rsidRPr="00154B53">
        <w:rPr>
          <w:rFonts w:eastAsia="Times New Roman" w:cs="Arial"/>
          <w:szCs w:val="24"/>
        </w:rPr>
        <w:t xml:space="preserve"> Basildon and Brentwood’s PCRG meeting in February 2022 TAS invited PCRG members to apply to become Patient Ambassadors </w:t>
      </w:r>
      <w:r>
        <w:rPr>
          <w:rFonts w:eastAsia="Times New Roman" w:cs="Arial"/>
          <w:szCs w:val="24"/>
        </w:rPr>
        <w:t xml:space="preserve">and </w:t>
      </w:r>
      <w:r w:rsidRPr="00154B53">
        <w:rPr>
          <w:rFonts w:eastAsia="Times New Roman" w:cs="Arial"/>
          <w:szCs w:val="24"/>
        </w:rPr>
        <w:t>help shape the servic</w:t>
      </w:r>
      <w:r>
        <w:rPr>
          <w:rFonts w:eastAsia="Times New Roman" w:cs="Arial"/>
          <w:szCs w:val="24"/>
        </w:rPr>
        <w:t>e</w:t>
      </w:r>
      <w:r w:rsidRPr="00154B53">
        <w:rPr>
          <w:rFonts w:eastAsia="Times New Roman" w:cs="Arial"/>
          <w:szCs w:val="24"/>
        </w:rPr>
        <w:t>.</w:t>
      </w:r>
    </w:p>
    <w:p w14:paraId="1637CB4F" w14:textId="77777777" w:rsidR="00D30304" w:rsidRDefault="00D30304" w:rsidP="00D30304">
      <w:pPr>
        <w:spacing w:after="0"/>
        <w:rPr>
          <w:rFonts w:cs="Arial"/>
          <w:szCs w:val="24"/>
        </w:rPr>
      </w:pPr>
      <w:r>
        <w:rPr>
          <w:rFonts w:eastAsiaTheme="majorEastAsia" w:cs="Arial"/>
          <w:szCs w:val="24"/>
        </w:rPr>
        <w:lastRenderedPageBreak/>
        <w:t>The CCGs</w:t>
      </w:r>
      <w:r w:rsidRPr="007C779B">
        <w:rPr>
          <w:rFonts w:eastAsiaTheme="majorEastAsia" w:cs="Arial"/>
          <w:szCs w:val="24"/>
        </w:rPr>
        <w:t xml:space="preserve"> have been </w:t>
      </w:r>
      <w:r>
        <w:rPr>
          <w:rFonts w:eastAsiaTheme="majorEastAsia" w:cs="Arial"/>
          <w:szCs w:val="24"/>
        </w:rPr>
        <w:t>i</w:t>
      </w:r>
      <w:r w:rsidRPr="007C779B">
        <w:rPr>
          <w:rFonts w:eastAsiaTheme="majorEastAsia" w:cs="Arial"/>
          <w:szCs w:val="24"/>
        </w:rPr>
        <w:t xml:space="preserve">mproving accessibility to healthcare information with the support of the </w:t>
      </w:r>
      <w:r w:rsidRPr="007C779B">
        <w:rPr>
          <w:rFonts w:cs="Arial"/>
          <w:szCs w:val="24"/>
        </w:rPr>
        <w:t xml:space="preserve">Council for Voluntary Services (CVS). This collaboration provided residents with resources such as; Easy Read, information in different languages or </w:t>
      </w:r>
      <w:r>
        <w:rPr>
          <w:rFonts w:cs="Arial"/>
          <w:szCs w:val="24"/>
        </w:rPr>
        <w:t xml:space="preserve">for </w:t>
      </w:r>
      <w:r w:rsidRPr="007C779B">
        <w:rPr>
          <w:rFonts w:cs="Arial"/>
          <w:szCs w:val="24"/>
        </w:rPr>
        <w:t>learning disabilities and videos produced by the CCG with subtitles and where possible a British Sign Language interpreter on the screen.</w:t>
      </w:r>
    </w:p>
    <w:p w14:paraId="317A1A40" w14:textId="082CE807" w:rsidR="00D30304" w:rsidRDefault="00D30304" w:rsidP="00D30304">
      <w:pPr>
        <w:spacing w:after="0"/>
        <w:rPr>
          <w:rFonts w:cs="Arial"/>
          <w:szCs w:val="24"/>
        </w:rPr>
      </w:pPr>
      <w:bookmarkStart w:id="53" w:name="_Hlk97552364"/>
      <w:r w:rsidRPr="00B323DE">
        <w:rPr>
          <w:rFonts w:cs="Arial"/>
          <w:bCs/>
          <w:szCs w:val="24"/>
        </w:rPr>
        <w:t>My Health Matters</w:t>
      </w:r>
      <w:r>
        <w:rPr>
          <w:rFonts w:cs="Arial"/>
          <w:b/>
          <w:szCs w:val="24"/>
        </w:rPr>
        <w:t xml:space="preserve">: </w:t>
      </w:r>
      <w:r>
        <w:rPr>
          <w:rFonts w:cs="Arial"/>
          <w:bCs/>
          <w:szCs w:val="24"/>
        </w:rPr>
        <w:t xml:space="preserve">Deliver support to </w:t>
      </w:r>
      <w:r w:rsidRPr="00C370C3">
        <w:rPr>
          <w:rFonts w:cs="Arial"/>
          <w:bCs/>
          <w:szCs w:val="24"/>
        </w:rPr>
        <w:t xml:space="preserve">parents and carers of children aged 0-5 living in </w:t>
      </w:r>
      <w:r>
        <w:rPr>
          <w:rFonts w:cs="Arial"/>
          <w:bCs/>
          <w:szCs w:val="24"/>
        </w:rPr>
        <w:t>Basildon and Brentwood</w:t>
      </w:r>
      <w:r w:rsidRPr="00C370C3">
        <w:rPr>
          <w:rFonts w:cs="Arial"/>
          <w:bCs/>
          <w:szCs w:val="24"/>
        </w:rPr>
        <w:t xml:space="preserve"> to better manage childhood Illness</w:t>
      </w:r>
      <w:r>
        <w:rPr>
          <w:rFonts w:cs="Arial"/>
          <w:bCs/>
          <w:szCs w:val="24"/>
        </w:rPr>
        <w:t>es, through a</w:t>
      </w:r>
      <w:r>
        <w:rPr>
          <w:rFonts w:cs="Arial"/>
          <w:szCs w:val="24"/>
        </w:rPr>
        <w:t xml:space="preserve"> series of co-production workshops for health and care professionals, parents and carers of 0-5 year olds. It provided an opportunity for them to influence local communications and behaviour interventions and support our campaign.</w:t>
      </w:r>
    </w:p>
    <w:bookmarkEnd w:id="53"/>
    <w:p w14:paraId="344DD9A6" w14:textId="77777777" w:rsidR="00D30304" w:rsidRPr="00D72B1A" w:rsidRDefault="00D30304" w:rsidP="00D72B1A">
      <w:pPr>
        <w:pStyle w:val="BodyText"/>
        <w:rPr>
          <w:b/>
          <w:bCs/>
        </w:rPr>
      </w:pPr>
      <w:r w:rsidRPr="00D72B1A">
        <w:rPr>
          <w:b/>
          <w:bCs/>
        </w:rPr>
        <w:t>Social media and digital marketing</w:t>
      </w:r>
    </w:p>
    <w:p w14:paraId="29A38B53" w14:textId="580E1F79" w:rsidR="00D30304" w:rsidRPr="00AC66AA" w:rsidRDefault="00D30304" w:rsidP="00D30304">
      <w:pPr>
        <w:spacing w:after="0"/>
        <w:rPr>
          <w:rFonts w:cs="Arial"/>
          <w:szCs w:val="24"/>
        </w:rPr>
      </w:pPr>
      <w:r>
        <w:rPr>
          <w:rFonts w:cs="Arial"/>
          <w:szCs w:val="24"/>
        </w:rPr>
        <w:t>C</w:t>
      </w:r>
      <w:r w:rsidRPr="00AC66AA">
        <w:rPr>
          <w:rFonts w:cs="Arial"/>
          <w:szCs w:val="24"/>
        </w:rPr>
        <w:t xml:space="preserve">ollective planning, developing and delivering </w:t>
      </w:r>
      <w:r>
        <w:rPr>
          <w:rFonts w:cs="Arial"/>
          <w:szCs w:val="24"/>
        </w:rPr>
        <w:t xml:space="preserve">of </w:t>
      </w:r>
      <w:r w:rsidRPr="00AC66AA">
        <w:rPr>
          <w:rFonts w:cs="Arial"/>
          <w:szCs w:val="24"/>
        </w:rPr>
        <w:t>social media and other online content for our communities.</w:t>
      </w:r>
      <w:r w:rsidRPr="00D958F7">
        <w:rPr>
          <w:rFonts w:cs="Arial"/>
          <w:szCs w:val="24"/>
        </w:rPr>
        <w:t xml:space="preserve"> </w:t>
      </w:r>
      <w:r>
        <w:rPr>
          <w:rFonts w:cs="Arial"/>
          <w:szCs w:val="24"/>
        </w:rPr>
        <w:t>Posting</w:t>
      </w:r>
      <w:r w:rsidRPr="00AC66AA">
        <w:rPr>
          <w:rFonts w:cs="Arial"/>
          <w:szCs w:val="24"/>
        </w:rPr>
        <w:t xml:space="preserve"> regular messages offering information on C</w:t>
      </w:r>
      <w:r w:rsidR="003067AE">
        <w:rPr>
          <w:rFonts w:cs="Arial"/>
          <w:szCs w:val="24"/>
        </w:rPr>
        <w:t>ovid</w:t>
      </w:r>
      <w:r w:rsidRPr="00AC66AA">
        <w:rPr>
          <w:rFonts w:cs="Arial"/>
          <w:szCs w:val="24"/>
        </w:rPr>
        <w:t xml:space="preserve">, self-care and other healthcare matters, the digital team produced a number of campaigns </w:t>
      </w:r>
      <w:r>
        <w:rPr>
          <w:rFonts w:cs="Arial"/>
          <w:szCs w:val="24"/>
        </w:rPr>
        <w:t xml:space="preserve">to support </w:t>
      </w:r>
      <w:r w:rsidRPr="00AC66AA">
        <w:rPr>
          <w:rFonts w:cs="Arial"/>
          <w:szCs w:val="24"/>
        </w:rPr>
        <w:t>CCG priorities.</w:t>
      </w:r>
    </w:p>
    <w:p w14:paraId="55822980" w14:textId="55D1D791" w:rsidR="00D30304" w:rsidRPr="00AF0A36" w:rsidRDefault="00E2234D" w:rsidP="00D30304">
      <w:pPr>
        <w:spacing w:after="0"/>
        <w:rPr>
          <w:rFonts w:cs="Arial"/>
          <w:b/>
          <w:bCs/>
          <w:szCs w:val="24"/>
        </w:rPr>
      </w:pPr>
      <w:r>
        <w:rPr>
          <w:rFonts w:cs="Arial"/>
          <w:b/>
          <w:bCs/>
          <w:szCs w:val="24"/>
        </w:rPr>
        <w:t>Our engagement</w:t>
      </w:r>
    </w:p>
    <w:p w14:paraId="0A893E18" w14:textId="2E05CE15" w:rsidR="00D30304" w:rsidRPr="00AF0A36" w:rsidRDefault="00D30304" w:rsidP="00D30304">
      <w:pPr>
        <w:spacing w:after="0"/>
        <w:rPr>
          <w:rFonts w:cs="Arial"/>
          <w:szCs w:val="24"/>
        </w:rPr>
      </w:pPr>
      <w:r w:rsidRPr="00AF0A36">
        <w:rPr>
          <w:rFonts w:cs="Arial"/>
          <w:szCs w:val="24"/>
        </w:rPr>
        <w:t xml:space="preserve">Our ambition is to place engagement at the forefront of all we do in </w:t>
      </w:r>
      <w:r w:rsidR="00DF0334">
        <w:rPr>
          <w:rFonts w:cs="Arial"/>
          <w:szCs w:val="24"/>
        </w:rPr>
        <w:t>Basildon and Brentwood CCG</w:t>
      </w:r>
      <w:r>
        <w:rPr>
          <w:rFonts w:cs="Arial"/>
          <w:szCs w:val="24"/>
        </w:rPr>
        <w:t>,</w:t>
      </w:r>
      <w:r w:rsidRPr="00AF0A36">
        <w:rPr>
          <w:rFonts w:cs="Arial"/>
          <w:szCs w:val="24"/>
        </w:rPr>
        <w:t xml:space="preserve"> creating healthier communities that people recognise and feel a part of. </w:t>
      </w:r>
      <w:r w:rsidR="00970B67">
        <w:rPr>
          <w:rFonts w:cs="Arial"/>
          <w:szCs w:val="24"/>
        </w:rPr>
        <w:t xml:space="preserve"> </w:t>
      </w:r>
      <w:r w:rsidRPr="00AF0A36">
        <w:rPr>
          <w:rFonts w:cs="Arial"/>
          <w:szCs w:val="24"/>
        </w:rPr>
        <w:t xml:space="preserve">Together we will </w:t>
      </w:r>
      <w:r>
        <w:rPr>
          <w:rFonts w:cs="Arial"/>
          <w:szCs w:val="24"/>
        </w:rPr>
        <w:t>aim to co-</w:t>
      </w:r>
      <w:r w:rsidRPr="00AF0A36">
        <w:rPr>
          <w:rFonts w:cs="Arial"/>
          <w:szCs w:val="24"/>
        </w:rPr>
        <w:t>design and deliver new models of care and different ways of working that mak</w:t>
      </w:r>
      <w:r>
        <w:rPr>
          <w:rFonts w:cs="Arial"/>
          <w:szCs w:val="24"/>
        </w:rPr>
        <w:t xml:space="preserve">e </w:t>
      </w:r>
      <w:r w:rsidRPr="00AF0A36">
        <w:rPr>
          <w:rFonts w:cs="Arial"/>
          <w:szCs w:val="24"/>
        </w:rPr>
        <w:t xml:space="preserve">a real difference to people and their local communities. We will work collaboratively across local authority, health, and voluntary sector to understand and build our communities, maximising the collective impact we can have on the health of our population. </w:t>
      </w:r>
    </w:p>
    <w:p w14:paraId="21D027E9" w14:textId="1F5620CC" w:rsidR="008931E6" w:rsidRPr="008931E6" w:rsidRDefault="008931E6" w:rsidP="00FF0E5D">
      <w:pPr>
        <w:pStyle w:val="Heading3"/>
      </w:pPr>
      <w:bookmarkStart w:id="54" w:name="_Toc107389448"/>
      <w:bookmarkStart w:id="55" w:name="_Toc95200498"/>
      <w:bookmarkStart w:id="56" w:name="_Toc97218325"/>
      <w:bookmarkEnd w:id="49"/>
      <w:bookmarkEnd w:id="50"/>
      <w:r w:rsidRPr="008931E6">
        <w:t>Health and Wellbeing Strategy</w:t>
      </w:r>
      <w:bookmarkEnd w:id="54"/>
    </w:p>
    <w:p w14:paraId="4997CFF0" w14:textId="77777777" w:rsidR="008931E6" w:rsidRPr="00A76EF6" w:rsidRDefault="008931E6" w:rsidP="008931E6">
      <w:pPr>
        <w:rPr>
          <w:rFonts w:ascii="Calibri" w:hAnsi="Calibri"/>
          <w:szCs w:val="24"/>
        </w:rPr>
      </w:pPr>
      <w:r w:rsidRPr="00A76EF6">
        <w:rPr>
          <w:szCs w:val="24"/>
        </w:rPr>
        <w:t>The MSE Health &amp; Care Partnership’s 5 year strategy is built upon the priorities agreed through the three upper tier Health and Wellbeing Boards and, as we move towards creating the statutory ICS, we have agreed the importance of continuing to ensure that the Health and Wellbeing strategies underpin the work we do together.</w:t>
      </w:r>
    </w:p>
    <w:p w14:paraId="6011102A" w14:textId="5DB34CBE" w:rsidR="008931E6" w:rsidRDefault="008931E6" w:rsidP="008931E6">
      <w:pPr>
        <w:rPr>
          <w:szCs w:val="24"/>
        </w:rPr>
      </w:pPr>
      <w:r w:rsidRPr="00A76EF6">
        <w:rPr>
          <w:szCs w:val="24"/>
        </w:rPr>
        <w:t>Through the ICS and our four Alliances we have been involved with and contributed to the development of refreshed joint Health and Well Being strategies, including the Essex Health and Wellbeing Strategy for 2022-26/Southend Health and Wellbeing Strategy for 2021-24/Thurrock Health and Wellbeing Strategy for 2022-26, and will continue to ensure our plans are supportive of delivering the aims of these strategies at system, alliance and PCN level.</w:t>
      </w:r>
    </w:p>
    <w:p w14:paraId="7C10FF65" w14:textId="60AC8EE7" w:rsidR="00C429BA" w:rsidRPr="0043656F" w:rsidRDefault="00C429BA" w:rsidP="00C429BA">
      <w:pPr>
        <w:rPr>
          <w:rFonts w:cs="Arial"/>
          <w:color w:val="000000"/>
          <w:szCs w:val="24"/>
        </w:rPr>
      </w:pPr>
      <w:r w:rsidRPr="0043656F">
        <w:rPr>
          <w:rFonts w:cs="Arial"/>
          <w:color w:val="000000"/>
          <w:szCs w:val="24"/>
        </w:rPr>
        <w:t>Senior leaders from the CCGs have engaged with all three upper tier local authority health and wellbeing boards, as well as district, borough and city fora, throughout the year.  CCG leaders are core members of the HWB Boards and have proactively participated in attending meetings, workshops and events, contributing to the refresh of joint health and wellbeing strategies and co-producing Alliance plans.  Across the three UTLA</w:t>
      </w:r>
      <w:r w:rsidR="00BD5701">
        <w:rPr>
          <w:rFonts w:cs="Arial"/>
          <w:color w:val="000000"/>
          <w:szCs w:val="24"/>
        </w:rPr>
        <w:t>s</w:t>
      </w:r>
      <w:r w:rsidRPr="0043656F">
        <w:rPr>
          <w:rFonts w:cs="Arial"/>
          <w:color w:val="000000"/>
          <w:szCs w:val="24"/>
        </w:rPr>
        <w:t xml:space="preserve"> we have commenced work on a joint mental health strategy, as well as a children’s partnership plan.  </w:t>
      </w:r>
    </w:p>
    <w:p w14:paraId="3322D315" w14:textId="77777777" w:rsidR="00C429BA" w:rsidRPr="0043656F" w:rsidRDefault="00C429BA" w:rsidP="00C429BA">
      <w:pPr>
        <w:rPr>
          <w:rFonts w:cs="Arial"/>
          <w:color w:val="000000"/>
          <w:szCs w:val="24"/>
        </w:rPr>
      </w:pPr>
      <w:r w:rsidRPr="0043656F">
        <w:rPr>
          <w:rFonts w:cs="Arial"/>
          <w:color w:val="000000"/>
          <w:szCs w:val="24"/>
        </w:rPr>
        <w:lastRenderedPageBreak/>
        <w:t xml:space="preserve">The chairs of the three UTLA health and wellbeing boards sit on the MSE Health &amp; Care Partnership Board, as do senior officers, including Directors of Adult Social Care and Directors of Public Health. </w:t>
      </w:r>
    </w:p>
    <w:p w14:paraId="5A089D2D" w14:textId="3DCDAFDA" w:rsidR="00C429BA" w:rsidRPr="00D63EF0" w:rsidRDefault="00C429BA" w:rsidP="00C429BA">
      <w:pPr>
        <w:rPr>
          <w:rFonts w:cs="Arial"/>
          <w:color w:val="000000"/>
          <w:szCs w:val="24"/>
        </w:rPr>
      </w:pPr>
      <w:r w:rsidRPr="0043656F">
        <w:rPr>
          <w:rFonts w:cs="Arial"/>
          <w:color w:val="000000"/>
          <w:szCs w:val="24"/>
        </w:rPr>
        <w:t>As we move into the formation of the statutory ICS, the Integrated Care Partnership will be an equal partnership arrangement between the NHS and upper tier local authorities.  We have agreed that the ICB Chair (Professor Mike Thorne CBE) will chair the Integrated Care Partnership and the three health and wellbeing board chairs will act as vice chairs.  A wider range of local authority colleagues will play a role in the ICP – which may include, alongside the HWB chair, the Director of Adult Social Care, the Director of Children’s Social Care, the Director of Public Health.  A representative from each district/borough/city council will also be on the ICP, broadening the range of local authority partners in this arrangement.</w:t>
      </w:r>
    </w:p>
    <w:p w14:paraId="44C47042" w14:textId="77777777" w:rsidR="00293377" w:rsidRPr="0014016D" w:rsidRDefault="00293377" w:rsidP="00293377">
      <w:pPr>
        <w:pStyle w:val="Heading3"/>
      </w:pPr>
      <w:bookmarkStart w:id="57" w:name="_Toc107389449"/>
      <w:bookmarkStart w:id="58" w:name="_Toc97218332"/>
      <w:bookmarkEnd w:id="55"/>
      <w:bookmarkEnd w:id="56"/>
      <w:r w:rsidRPr="0014016D">
        <w:t>Financial Review</w:t>
      </w:r>
      <w:bookmarkEnd w:id="57"/>
    </w:p>
    <w:p w14:paraId="3F1375AF" w14:textId="77777777" w:rsidR="00293377" w:rsidRPr="001F1E26" w:rsidRDefault="00293377" w:rsidP="00293377">
      <w:pPr>
        <w:pStyle w:val="BodyText"/>
        <w:rPr>
          <w:b/>
          <w:bCs/>
          <w:sz w:val="28"/>
          <w:szCs w:val="28"/>
        </w:rPr>
      </w:pPr>
      <w:bookmarkStart w:id="59" w:name="_Toc67411374"/>
      <w:bookmarkStart w:id="60" w:name="_Toc70325965"/>
      <w:bookmarkStart w:id="61" w:name="_Toc97218326"/>
      <w:r w:rsidRPr="001F1E26">
        <w:rPr>
          <w:b/>
          <w:bCs/>
          <w:sz w:val="28"/>
          <w:szCs w:val="28"/>
        </w:rPr>
        <w:t>Financial overview</w:t>
      </w:r>
      <w:bookmarkEnd w:id="59"/>
      <w:bookmarkEnd w:id="60"/>
      <w:bookmarkEnd w:id="61"/>
    </w:p>
    <w:p w14:paraId="68968F04" w14:textId="7C4A39D2" w:rsidR="00293377" w:rsidRPr="001322C8" w:rsidRDefault="00293377" w:rsidP="00524ADA">
      <w:pPr>
        <w:rPr>
          <w:rFonts w:cs="Arial"/>
        </w:rPr>
      </w:pPr>
      <w:bookmarkStart w:id="62" w:name="_Hlk38267317"/>
      <w:bookmarkStart w:id="63" w:name="_Toc67411375"/>
      <w:r w:rsidRPr="001322C8">
        <w:rPr>
          <w:rFonts w:cs="Arial"/>
        </w:rPr>
        <w:t xml:space="preserve">Our full statutory financial accounts are included </w:t>
      </w:r>
      <w:r>
        <w:rPr>
          <w:rFonts w:cs="Arial"/>
        </w:rPr>
        <w:t xml:space="preserve">on </w:t>
      </w:r>
      <w:r w:rsidRPr="007B70C6">
        <w:rPr>
          <w:rFonts w:cs="Arial"/>
        </w:rPr>
        <w:t xml:space="preserve">page </w:t>
      </w:r>
      <w:r w:rsidR="00853548" w:rsidRPr="007B70C6">
        <w:rPr>
          <w:rFonts w:cs="Arial"/>
        </w:rPr>
        <w:t>9</w:t>
      </w:r>
      <w:r w:rsidR="004B0B02">
        <w:rPr>
          <w:rFonts w:cs="Arial"/>
        </w:rPr>
        <w:t>4</w:t>
      </w:r>
      <w:r w:rsidRPr="007B70C6">
        <w:rPr>
          <w:rFonts w:cs="Arial"/>
        </w:rPr>
        <w:t>.</w:t>
      </w:r>
      <w:r w:rsidRPr="001322C8">
        <w:rPr>
          <w:rFonts w:cs="Arial"/>
        </w:rPr>
        <w:t xml:space="preserve"> This section provides a summary of our </w:t>
      </w:r>
      <w:r>
        <w:rPr>
          <w:rFonts w:cs="Arial"/>
        </w:rPr>
        <w:t>2021/22</w:t>
      </w:r>
      <w:r w:rsidRPr="001322C8">
        <w:rPr>
          <w:rFonts w:cs="Arial"/>
        </w:rPr>
        <w:t xml:space="preserve"> financial position. Our Head of </w:t>
      </w:r>
      <w:r w:rsidRPr="007666F2">
        <w:rPr>
          <w:rFonts w:cs="Arial"/>
        </w:rPr>
        <w:t xml:space="preserve">Internal Audit offers an opinion on Financial Systems Key Controls and other matters which can be found on </w:t>
      </w:r>
      <w:r w:rsidRPr="007B70C6">
        <w:rPr>
          <w:rFonts w:cs="Arial"/>
        </w:rPr>
        <w:t xml:space="preserve">page </w:t>
      </w:r>
      <w:r w:rsidR="00853548" w:rsidRPr="007B70C6">
        <w:rPr>
          <w:rFonts w:cs="Arial"/>
        </w:rPr>
        <w:t>72</w:t>
      </w:r>
      <w:r w:rsidRPr="007B70C6">
        <w:rPr>
          <w:rFonts w:cs="Arial"/>
        </w:rPr>
        <w:t>.</w:t>
      </w:r>
      <w:r w:rsidRPr="007666F2">
        <w:rPr>
          <w:rFonts w:cs="Arial"/>
        </w:rPr>
        <w:t xml:space="preserve"> whilst our overall financial management arrangements and financial statements were subject to audit review</w:t>
      </w:r>
      <w:r w:rsidRPr="001322C8">
        <w:rPr>
          <w:rFonts w:cs="Arial"/>
        </w:rPr>
        <w:t xml:space="preserve"> and opinion by our external auditors, </w:t>
      </w:r>
      <w:hyperlink r:id="rId17" w:history="1">
        <w:r w:rsidRPr="002C16D6">
          <w:rPr>
            <w:rStyle w:val="Hyperlink"/>
          </w:rPr>
          <w:t>KPMG (hyperlinks),</w:t>
        </w:r>
      </w:hyperlink>
      <w:r w:rsidRPr="001322C8">
        <w:rPr>
          <w:rFonts w:cs="Arial"/>
        </w:rPr>
        <w:t xml:space="preserve"> as part of their annual review of our accounts (</w:t>
      </w:r>
      <w:r w:rsidRPr="007B70C6">
        <w:rPr>
          <w:rFonts w:cs="Arial"/>
        </w:rPr>
        <w:t xml:space="preserve">see page </w:t>
      </w:r>
      <w:r w:rsidR="00853548" w:rsidRPr="007B70C6">
        <w:rPr>
          <w:rFonts w:cs="Arial"/>
        </w:rPr>
        <w:t>11</w:t>
      </w:r>
      <w:r w:rsidR="00B32FE7">
        <w:rPr>
          <w:rFonts w:cs="Arial"/>
        </w:rPr>
        <w:t>8</w:t>
      </w:r>
      <w:r w:rsidRPr="001322C8">
        <w:rPr>
          <w:rFonts w:cs="Arial"/>
        </w:rPr>
        <w:t xml:space="preserve"> for their full audit opinion).</w:t>
      </w:r>
      <w:bookmarkEnd w:id="62"/>
    </w:p>
    <w:p w14:paraId="72F9817D" w14:textId="77777777" w:rsidR="00293377" w:rsidRPr="001F1E26" w:rsidRDefault="00293377" w:rsidP="00524ADA">
      <w:pPr>
        <w:pStyle w:val="BodyText"/>
        <w:spacing w:before="120" w:after="120"/>
        <w:rPr>
          <w:b/>
          <w:bCs/>
          <w:sz w:val="28"/>
          <w:szCs w:val="28"/>
        </w:rPr>
      </w:pPr>
      <w:bookmarkStart w:id="64" w:name="_Toc70325966"/>
      <w:bookmarkStart w:id="65" w:name="_Toc97218327"/>
      <w:r w:rsidRPr="001F1E26">
        <w:rPr>
          <w:b/>
          <w:bCs/>
          <w:sz w:val="28"/>
          <w:szCs w:val="28"/>
        </w:rPr>
        <w:t>CCG funding</w:t>
      </w:r>
      <w:bookmarkEnd w:id="63"/>
      <w:bookmarkEnd w:id="64"/>
      <w:bookmarkEnd w:id="65"/>
    </w:p>
    <w:p w14:paraId="68E98DF8" w14:textId="5917002A" w:rsidR="00293377" w:rsidRPr="00A37230" w:rsidRDefault="00293377" w:rsidP="00524ADA">
      <w:pPr>
        <w:spacing w:before="120"/>
        <w:rPr>
          <w:rFonts w:cs="Arial"/>
        </w:rPr>
      </w:pPr>
      <w:bookmarkStart w:id="66" w:name="_Toc67411376"/>
      <w:r w:rsidRPr="003F1176">
        <w:t>The financial regime and allocation methodology NHSE had put in place last financial year continued into 2021/22 financial year due to ongoing effects of Covid</w:t>
      </w:r>
      <w:r w:rsidR="00BD5701">
        <w:t>-</w:t>
      </w:r>
      <w:r w:rsidRPr="003F1176">
        <w:t>19 which has taken over the normal funding arrangements</w:t>
      </w:r>
      <w:r w:rsidRPr="003F1176">
        <w:rPr>
          <w:rFonts w:cs="Arial"/>
        </w:rPr>
        <w:t>.  This financial year, however, the funding of the costs of our main independent acute services providers have reverte</w:t>
      </w:r>
      <w:r>
        <w:rPr>
          <w:rFonts w:cs="Arial"/>
        </w:rPr>
        <w:t>d</w:t>
      </w:r>
      <w:r w:rsidRPr="003F1176">
        <w:rPr>
          <w:rFonts w:cs="Arial"/>
        </w:rPr>
        <w:t xml:space="preserve"> to CCGs and the status quo has remained for CCG payments to NHS providers being restricted to key NHS providers and the cost of services provided to the CCG from minor NHS funded via national arrangements.  There was additional income received relating to Elective </w:t>
      </w:r>
      <w:r w:rsidRPr="00A37230">
        <w:rPr>
          <w:rFonts w:cs="Arial"/>
        </w:rPr>
        <w:t>Recovery Fund (ERF). The CCG was delegated the Primary Care co- commissioning budget of £42.4m which included additional funding for Additional Roles Reimbursements for PCNs (ARRS).</w:t>
      </w:r>
    </w:p>
    <w:p w14:paraId="62F86325" w14:textId="30715B18" w:rsidR="00293377" w:rsidRPr="00A37230" w:rsidRDefault="00293377" w:rsidP="00293377">
      <w:pPr>
        <w:rPr>
          <w:rFonts w:cs="Arial"/>
        </w:rPr>
      </w:pPr>
      <w:r w:rsidRPr="00A37230">
        <w:rPr>
          <w:rFonts w:cs="Arial"/>
        </w:rPr>
        <w:t>For the first half of the financial year (H1), CCGs were allocated a budget within which it had to live. The Hospital Discharge Programme (HDP) continued with reimbursement of care from April – June for the first six weeks of care with this tapering to 4 weeks of care till end of October with a system envelope of £11.9m.</w:t>
      </w:r>
    </w:p>
    <w:p w14:paraId="6E006C8A" w14:textId="77777777" w:rsidR="00293377" w:rsidRPr="00A37230" w:rsidRDefault="00293377" w:rsidP="00293377">
      <w:pPr>
        <w:rPr>
          <w:rFonts w:cs="Arial"/>
        </w:rPr>
      </w:pPr>
      <w:r w:rsidRPr="00A37230">
        <w:rPr>
          <w:rFonts w:cs="Arial"/>
        </w:rPr>
        <w:t xml:space="preserve">For the second half of the financial year (H2), the payment flows to providers continued with each NHS system (local CCGs and NHS providers) allocated a resource funding envelope within which to manage expenditure. </w:t>
      </w:r>
      <w:bookmarkStart w:id="67" w:name="_Hlk96528879"/>
      <w:r w:rsidRPr="00A37230">
        <w:rPr>
          <w:rFonts w:cs="Arial"/>
        </w:rPr>
        <w:t xml:space="preserve">There was no major change in technical approach in H2 except for the uplift for inflation, pay award (including back-pay relating to H1) and an increased efficiency request of 3 -3.5% </w:t>
      </w:r>
      <w:bookmarkEnd w:id="67"/>
      <w:r w:rsidRPr="00A37230">
        <w:rPr>
          <w:rFonts w:cs="Arial"/>
        </w:rPr>
        <w:t xml:space="preserve">There has been some additional top-up funding for specified transformation and Covid priorities, but broadly, individual CCGs and the System were required to manage within the advised System envelope.  </w:t>
      </w:r>
      <w:r w:rsidRPr="00A37230">
        <w:rPr>
          <w:rFonts w:cs="Arial"/>
        </w:rPr>
        <w:lastRenderedPageBreak/>
        <w:t>The HDP continued the 4 weeks of care reimbursement basis with System allocation of £11.5m.</w:t>
      </w:r>
    </w:p>
    <w:p w14:paraId="2150CBC4" w14:textId="77777777" w:rsidR="00293377" w:rsidRPr="00A37230" w:rsidRDefault="00293377" w:rsidP="00BC08E8">
      <w:pPr>
        <w:spacing w:before="120" w:after="120"/>
        <w:rPr>
          <w:rFonts w:cs="Arial"/>
        </w:rPr>
      </w:pPr>
      <w:r w:rsidRPr="00A37230">
        <w:rPr>
          <w:rFonts w:cs="Arial"/>
        </w:rPr>
        <w:t xml:space="preserve">Mid Essex CCG continued as the nominated lead CCG for receiving and managing the distribution of most non-organisational specific System allocations such as Covid and system growth funds. </w:t>
      </w:r>
      <w:r w:rsidRPr="00A37230">
        <w:rPr>
          <w:rFonts w:eastAsia="Calibri" w:cs="Arial"/>
          <w:bCs/>
          <w:szCs w:val="24"/>
          <w:lang w:val="en-US"/>
        </w:rPr>
        <w:t xml:space="preserve">Some additional transformation funding was made available to CCGs on an individual basis or as system hosts with </w:t>
      </w:r>
      <w:r w:rsidRPr="00A37230">
        <w:rPr>
          <w:rFonts w:cs="Arial"/>
        </w:rPr>
        <w:t>Basildon and Brentwood CCG receiving Service Development Funds (SDF) and Service Review (SR) funds for Mental Health.</w:t>
      </w:r>
    </w:p>
    <w:p w14:paraId="33A5EBC1" w14:textId="626E3AAD" w:rsidR="00293377" w:rsidRPr="00A37230" w:rsidRDefault="00293377" w:rsidP="00BC08E8">
      <w:pPr>
        <w:spacing w:before="120" w:after="120"/>
        <w:rPr>
          <w:rFonts w:cs="Arial"/>
        </w:rPr>
      </w:pPr>
      <w:r w:rsidRPr="00A37230">
        <w:rPr>
          <w:rFonts w:cs="Arial"/>
        </w:rPr>
        <w:t>In 2021/22 the CCG in</w:t>
      </w:r>
      <w:r w:rsidR="00BD5701">
        <w:rPr>
          <w:rFonts w:cs="Arial"/>
        </w:rPr>
        <w:t>-</w:t>
      </w:r>
      <w:r w:rsidRPr="00A37230">
        <w:rPr>
          <w:rFonts w:cs="Arial"/>
        </w:rPr>
        <w:t xml:space="preserve">year total healthcare funding was £431.7m and funding for running the CCG (called “running cost expenditure”) was £5.3m, resulting in total overall funding of £436.9m.  CCG expenditure was £436.9m, including some expenditure incurred on behalf of the Mid &amp; South Essex System, resulting in a </w:t>
      </w:r>
      <w:bookmarkStart w:id="68" w:name="_Hlk38264622"/>
      <w:r w:rsidRPr="00A37230">
        <w:rPr>
          <w:rFonts w:cs="Arial"/>
        </w:rPr>
        <w:t>break-even position for the year.</w:t>
      </w:r>
    </w:p>
    <w:bookmarkEnd w:id="68"/>
    <w:p w14:paraId="7F5224E0" w14:textId="77777777" w:rsidR="00293377" w:rsidRPr="00A37230" w:rsidRDefault="00293377" w:rsidP="00BC08E8">
      <w:pPr>
        <w:spacing w:before="120" w:after="120"/>
        <w:rPr>
          <w:rFonts w:cs="Arial"/>
        </w:rPr>
      </w:pPr>
      <w:r w:rsidRPr="00A37230">
        <w:rPr>
          <w:rFonts w:cs="Arial"/>
        </w:rPr>
        <w:t>NHS planning guidance requires CCGs to meet the ‘Mental Health Investment Standard’ (MHIS).  This requires CCGs to demonstrate that expenditure on mental health services has grown year on year.  In 2021/22 the CCG has achieved the MHIS by increasing all Mental Health related expenditure by 4.2%.</w:t>
      </w:r>
    </w:p>
    <w:p w14:paraId="0D5D9672" w14:textId="77777777" w:rsidR="00293377" w:rsidRPr="00A37230" w:rsidRDefault="00293377" w:rsidP="00BC08E8">
      <w:pPr>
        <w:spacing w:before="120" w:after="120"/>
        <w:rPr>
          <w:rFonts w:cs="Arial"/>
        </w:rPr>
      </w:pPr>
      <w:r w:rsidRPr="00A37230">
        <w:rPr>
          <w:rFonts w:cs="Arial"/>
        </w:rPr>
        <w:t xml:space="preserve">As of 1 April 2021, the CCG had an accumulated surplus from previous years of £0.02m.  In 2021/22 the CCG (maintained the accumulated surplus from previous years) and carried forward a remaining surplus of £0.02m.  </w:t>
      </w:r>
    </w:p>
    <w:p w14:paraId="5A614AA3" w14:textId="77777777" w:rsidR="00293377" w:rsidRPr="00A37230" w:rsidRDefault="00293377" w:rsidP="00293377">
      <w:pPr>
        <w:pStyle w:val="BodyText"/>
        <w:rPr>
          <w:b/>
          <w:bCs/>
          <w:sz w:val="28"/>
          <w:szCs w:val="28"/>
        </w:rPr>
      </w:pPr>
      <w:bookmarkStart w:id="69" w:name="_Toc70325967"/>
      <w:bookmarkStart w:id="70" w:name="_Toc97218328"/>
      <w:r w:rsidRPr="00A37230">
        <w:rPr>
          <w:b/>
          <w:bCs/>
          <w:sz w:val="28"/>
          <w:szCs w:val="28"/>
        </w:rPr>
        <w:t>How your money was spent</w:t>
      </w:r>
      <w:bookmarkEnd w:id="66"/>
      <w:bookmarkEnd w:id="69"/>
      <w:bookmarkEnd w:id="70"/>
    </w:p>
    <w:p w14:paraId="61792408" w14:textId="77777777" w:rsidR="00293377" w:rsidRPr="00A37230" w:rsidRDefault="00293377" w:rsidP="00BC08E8">
      <w:pPr>
        <w:spacing w:before="120" w:after="120"/>
        <w:rPr>
          <w:rFonts w:cs="Arial"/>
        </w:rPr>
      </w:pPr>
      <w:r w:rsidRPr="00A37230">
        <w:rPr>
          <w:rFonts w:cs="Arial"/>
        </w:rPr>
        <w:t>In 2021/22 we spent £431.7m on healthcare services and a further £5.3m on running costs, totalling £436.9m.</w:t>
      </w:r>
    </w:p>
    <w:p w14:paraId="027AAD77" w14:textId="77777777" w:rsidR="007676B8" w:rsidRDefault="00293377" w:rsidP="007676B8">
      <w:pPr>
        <w:spacing w:before="120" w:after="360"/>
        <w:rPr>
          <w:rFonts w:cs="Arial"/>
        </w:rPr>
      </w:pPr>
      <w:r w:rsidRPr="00A37230">
        <w:rPr>
          <w:rFonts w:cs="Arial"/>
        </w:rPr>
        <w:t>The following chart shows the major areas of expenditure</w:t>
      </w:r>
      <w:r w:rsidRPr="003F1176">
        <w:rPr>
          <w:rFonts w:cs="Arial"/>
        </w:rPr>
        <w:t xml:space="preserve"> for healthcare (including CCG running costs). </w:t>
      </w:r>
      <w:bookmarkStart w:id="71" w:name="_Hlk38264443"/>
      <w:r w:rsidRPr="003F1176">
        <w:rPr>
          <w:rFonts w:cs="Arial"/>
        </w:rPr>
        <w:t xml:space="preserve">(Core GP-led services (primary care) are commissioned by NHS </w:t>
      </w:r>
      <w:r w:rsidR="007676B8">
        <w:rPr>
          <w:rFonts w:cs="Arial"/>
        </w:rPr>
        <w:t>E</w:t>
      </w:r>
      <w:r w:rsidRPr="003F1176">
        <w:rPr>
          <w:rFonts w:cs="Arial"/>
        </w:rPr>
        <w:t>ngland and are not accounted for in the CCG’s accounts).</w:t>
      </w:r>
      <w:r w:rsidRPr="001322C8">
        <w:rPr>
          <w:rFonts w:cs="Arial"/>
        </w:rPr>
        <w:t xml:space="preserve">  </w:t>
      </w:r>
    </w:p>
    <w:p w14:paraId="5C496831" w14:textId="6449E8F3" w:rsidR="00293377" w:rsidRDefault="00293377" w:rsidP="007676B8">
      <w:pPr>
        <w:spacing w:before="120" w:after="360"/>
        <w:jc w:val="center"/>
        <w:rPr>
          <w:rFonts w:cs="Arial"/>
        </w:rPr>
      </w:pPr>
      <w:r>
        <w:rPr>
          <w:rFonts w:cs="Arial"/>
          <w:noProof/>
        </w:rPr>
        <w:drawing>
          <wp:inline distT="0" distB="0" distL="0" distR="0" wp14:anchorId="32B1DFA0" wp14:editId="33D89BC5">
            <wp:extent cx="3749934" cy="3025140"/>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4346" cy="3077103"/>
                    </a:xfrm>
                    <a:prstGeom prst="rect">
                      <a:avLst/>
                    </a:prstGeom>
                    <a:noFill/>
                  </pic:spPr>
                </pic:pic>
              </a:graphicData>
            </a:graphic>
          </wp:inline>
        </w:drawing>
      </w:r>
    </w:p>
    <w:bookmarkEnd w:id="71"/>
    <w:p w14:paraId="072EFB71" w14:textId="77777777" w:rsidR="00293377" w:rsidRDefault="00293377" w:rsidP="00293377">
      <w:pPr>
        <w:rPr>
          <w:rFonts w:cs="Arial"/>
        </w:rPr>
      </w:pPr>
    </w:p>
    <w:p w14:paraId="3070D726" w14:textId="77777777" w:rsidR="00293377" w:rsidRPr="00A37230" w:rsidRDefault="00293377" w:rsidP="00293377">
      <w:pPr>
        <w:rPr>
          <w:rFonts w:cs="Arial"/>
        </w:rPr>
      </w:pPr>
      <w:r w:rsidRPr="003F1176">
        <w:rPr>
          <w:rFonts w:cs="Arial"/>
        </w:rPr>
        <w:t xml:space="preserve">In 2021/22 the CCG </w:t>
      </w:r>
      <w:r w:rsidRPr="00A37230">
        <w:rPr>
          <w:rFonts w:cs="Arial"/>
        </w:rPr>
        <w:t>spent £6.9m on Covid related expenditure.  The main areas of expenditure were £4.8m on Patient Transport as lead Commissioner on behalf of the System and £0.6m on the hospital discharge programme.</w:t>
      </w:r>
    </w:p>
    <w:p w14:paraId="73FA9003" w14:textId="77777777" w:rsidR="00293377" w:rsidRPr="00A37230" w:rsidRDefault="00293377" w:rsidP="00293377">
      <w:pPr>
        <w:rPr>
          <w:rFonts w:cs="Arial"/>
        </w:rPr>
      </w:pPr>
      <w:r w:rsidRPr="00A37230">
        <w:rPr>
          <w:rFonts w:cs="Arial"/>
        </w:rPr>
        <w:t>The CCG did not incur additional costs or receive additional funding in relation to EU exit.</w:t>
      </w:r>
    </w:p>
    <w:p w14:paraId="6E73C0AB" w14:textId="77777777" w:rsidR="00293377" w:rsidRPr="00A37230" w:rsidRDefault="00293377" w:rsidP="003A3592">
      <w:pPr>
        <w:pStyle w:val="BodyText"/>
        <w:spacing w:before="360"/>
        <w:rPr>
          <w:b/>
          <w:bCs/>
          <w:sz w:val="28"/>
          <w:szCs w:val="28"/>
        </w:rPr>
      </w:pPr>
      <w:bookmarkStart w:id="72" w:name="_Toc67411377"/>
      <w:bookmarkStart w:id="73" w:name="_Toc70325968"/>
      <w:bookmarkStart w:id="74" w:name="_Toc97218329"/>
      <w:r w:rsidRPr="00A37230">
        <w:rPr>
          <w:b/>
          <w:bCs/>
          <w:sz w:val="28"/>
          <w:szCs w:val="28"/>
        </w:rPr>
        <w:t>Capital spending</w:t>
      </w:r>
      <w:bookmarkEnd w:id="72"/>
      <w:bookmarkEnd w:id="73"/>
      <w:bookmarkEnd w:id="74"/>
    </w:p>
    <w:p w14:paraId="69B34A71" w14:textId="77777777" w:rsidR="00293377" w:rsidRPr="00A37230" w:rsidRDefault="00293377" w:rsidP="00293377">
      <w:pPr>
        <w:rPr>
          <w:rFonts w:cs="Arial"/>
        </w:rPr>
      </w:pPr>
      <w:bookmarkStart w:id="75" w:name="_Hlk38267237"/>
      <w:r w:rsidRPr="00A37230">
        <w:rPr>
          <w:rFonts w:cs="Arial"/>
        </w:rPr>
        <w:t xml:space="preserve">The CCG did not require a capital allocation for 2021/22, but the Mid and South Essex Health and Care Partnership footprint was awarded Estates and Technology Transformation Funding (ETTF) towards primary care estates projects and GP IT. </w:t>
      </w:r>
    </w:p>
    <w:p w14:paraId="1E3BC7AA" w14:textId="77777777" w:rsidR="00293377" w:rsidRPr="00A37230" w:rsidRDefault="00293377" w:rsidP="003A3592">
      <w:pPr>
        <w:pStyle w:val="BodyText"/>
        <w:spacing w:before="360"/>
        <w:rPr>
          <w:b/>
          <w:bCs/>
          <w:sz w:val="28"/>
          <w:szCs w:val="28"/>
        </w:rPr>
      </w:pPr>
      <w:bookmarkStart w:id="76" w:name="_Toc67411378"/>
      <w:bookmarkStart w:id="77" w:name="_Toc70325969"/>
      <w:bookmarkStart w:id="78" w:name="_Toc97218330"/>
      <w:bookmarkEnd w:id="75"/>
      <w:r w:rsidRPr="00A37230">
        <w:rPr>
          <w:b/>
          <w:bCs/>
          <w:sz w:val="28"/>
          <w:szCs w:val="28"/>
        </w:rPr>
        <w:t>Paying our suppliers and providers</w:t>
      </w:r>
      <w:bookmarkEnd w:id="76"/>
      <w:bookmarkEnd w:id="77"/>
      <w:bookmarkEnd w:id="78"/>
    </w:p>
    <w:p w14:paraId="76678CD6" w14:textId="77777777" w:rsidR="00293377" w:rsidRPr="00A37230" w:rsidRDefault="00293377" w:rsidP="00293377">
      <w:pPr>
        <w:rPr>
          <w:rFonts w:cs="Arial"/>
        </w:rPr>
      </w:pPr>
      <w:r w:rsidRPr="00A37230">
        <w:rPr>
          <w:rFonts w:cs="Arial"/>
        </w:rPr>
        <w:t>National rules mean the CCG must aim to pay all valid invoices by the due date or within 30 days of receiving them, whichever is later. The NHS aims to pay at least 95% of invoices within 30 days of receipt, or within agreed contract terms. In 2021/22 the CCG met all four targets (based on invoice numbers and value of expenditure) for NHS and non-NHS invoices – see Note 6 of the Financial Statements for details.</w:t>
      </w:r>
    </w:p>
    <w:p w14:paraId="7D92E3E7" w14:textId="77777777" w:rsidR="00293377" w:rsidRPr="001322C8" w:rsidRDefault="00293377" w:rsidP="00293377">
      <w:pPr>
        <w:rPr>
          <w:rFonts w:cs="Arial"/>
        </w:rPr>
      </w:pPr>
      <w:r w:rsidRPr="00A37230">
        <w:rPr>
          <w:rFonts w:cs="Arial"/>
        </w:rPr>
        <w:t xml:space="preserve">The CCG is also an </w:t>
      </w:r>
      <w:hyperlink r:id="rId19" w:history="1">
        <w:r w:rsidRPr="00A37230">
          <w:rPr>
            <w:rStyle w:val="Hyperlink"/>
            <w:rFonts w:cs="Arial"/>
          </w:rPr>
          <w:t>approved signatory (hyperlinks)</w:t>
        </w:r>
      </w:hyperlink>
      <w:r w:rsidRPr="00A37230">
        <w:rPr>
          <w:rFonts w:cs="Arial"/>
        </w:rPr>
        <w:t xml:space="preserve"> of the Prompt Payment Code. The government designed this initiative</w:t>
      </w:r>
      <w:r w:rsidRPr="001322C8">
        <w:rPr>
          <w:rFonts w:cs="Arial"/>
        </w:rPr>
        <w:t xml:space="preserve"> with the </w:t>
      </w:r>
      <w:hyperlink r:id="rId20" w:history="1">
        <w:r w:rsidRPr="002C16D6">
          <w:rPr>
            <w:rStyle w:val="Hyperlink"/>
            <w:rFonts w:cs="Arial"/>
          </w:rPr>
          <w:t>Chartered Institute of Credit Management (hyperlinks)</w:t>
        </w:r>
      </w:hyperlink>
      <w:r>
        <w:rPr>
          <w:rFonts w:cs="Arial"/>
        </w:rPr>
        <w:t xml:space="preserve"> </w:t>
      </w:r>
      <w:r w:rsidRPr="001322C8">
        <w:rPr>
          <w:rFonts w:cs="Arial"/>
        </w:rPr>
        <w:t>to tackle the crucial issue of late payment and to help small businesses. Suppliers can have confidence that any organisation signed up to the code will pay them within clearly defined terms and that proper processes are in place to deal with any disputed payments. Approved signatories have committed to:</w:t>
      </w:r>
    </w:p>
    <w:p w14:paraId="073DFFFF" w14:textId="77777777" w:rsidR="00293377" w:rsidRPr="001322C8" w:rsidRDefault="00293377" w:rsidP="000D3041">
      <w:pPr>
        <w:pStyle w:val="ListParagraph"/>
        <w:widowControl w:val="0"/>
        <w:numPr>
          <w:ilvl w:val="0"/>
          <w:numId w:val="9"/>
        </w:numPr>
        <w:spacing w:before="0" w:after="0"/>
        <w:contextualSpacing w:val="0"/>
        <w:rPr>
          <w:rFonts w:cs="Arial"/>
        </w:rPr>
      </w:pPr>
      <w:r w:rsidRPr="001322C8">
        <w:rPr>
          <w:rFonts w:cs="Arial"/>
        </w:rPr>
        <w:t>Paying suppliers on time</w:t>
      </w:r>
    </w:p>
    <w:p w14:paraId="70927C7A" w14:textId="77777777" w:rsidR="00293377" w:rsidRPr="001322C8" w:rsidRDefault="00293377" w:rsidP="000D3041">
      <w:pPr>
        <w:pStyle w:val="ListParagraph"/>
        <w:widowControl w:val="0"/>
        <w:numPr>
          <w:ilvl w:val="0"/>
          <w:numId w:val="9"/>
        </w:numPr>
        <w:spacing w:before="0" w:after="0"/>
        <w:contextualSpacing w:val="0"/>
        <w:rPr>
          <w:rFonts w:cs="Arial"/>
        </w:rPr>
      </w:pPr>
      <w:r w:rsidRPr="001322C8">
        <w:rPr>
          <w:rFonts w:cs="Arial"/>
        </w:rPr>
        <w:t>Giving clear guidance to suppliers and resolving disputes as quickly as possible</w:t>
      </w:r>
    </w:p>
    <w:p w14:paraId="3EBE3FEB" w14:textId="77777777" w:rsidR="00293377" w:rsidRPr="001322C8" w:rsidRDefault="00293377" w:rsidP="000D3041">
      <w:pPr>
        <w:pStyle w:val="ListParagraph"/>
        <w:widowControl w:val="0"/>
        <w:numPr>
          <w:ilvl w:val="0"/>
          <w:numId w:val="9"/>
        </w:numPr>
        <w:spacing w:before="0" w:after="0"/>
        <w:contextualSpacing w:val="0"/>
        <w:rPr>
          <w:rFonts w:cs="Arial"/>
        </w:rPr>
      </w:pPr>
      <w:r w:rsidRPr="001322C8">
        <w:rPr>
          <w:rFonts w:cs="Arial"/>
        </w:rPr>
        <w:t>Encouraging suppliers and customers to sign up to the code.</w:t>
      </w:r>
    </w:p>
    <w:p w14:paraId="23A6EDEB" w14:textId="77777777" w:rsidR="00293377" w:rsidRDefault="00293377" w:rsidP="00293377">
      <w:pPr>
        <w:rPr>
          <w:rFonts w:cs="Arial"/>
        </w:rPr>
      </w:pPr>
      <w:r w:rsidRPr="001322C8">
        <w:rPr>
          <w:rFonts w:cs="Arial"/>
        </w:rPr>
        <w:t xml:space="preserve">The national measures for payment performance do not include any delays in payment during the time that an invoice is on hold. </w:t>
      </w:r>
    </w:p>
    <w:p w14:paraId="56021827" w14:textId="77777777" w:rsidR="00293377" w:rsidRPr="001F1E26" w:rsidRDefault="00293377" w:rsidP="003A3592">
      <w:pPr>
        <w:pStyle w:val="BodyText"/>
        <w:spacing w:before="360"/>
        <w:rPr>
          <w:b/>
          <w:bCs/>
          <w:sz w:val="28"/>
          <w:szCs w:val="28"/>
        </w:rPr>
      </w:pPr>
      <w:bookmarkStart w:id="79" w:name="_Toc67411379"/>
      <w:bookmarkStart w:id="80" w:name="_Toc70325970"/>
      <w:bookmarkStart w:id="81" w:name="_Toc97218331"/>
      <w:r w:rsidRPr="001F1E26">
        <w:rPr>
          <w:b/>
          <w:bCs/>
          <w:sz w:val="28"/>
          <w:szCs w:val="28"/>
        </w:rPr>
        <w:t>2022/23 financial plans and looking to the future</w:t>
      </w:r>
      <w:bookmarkStart w:id="82" w:name="_Toc94188181"/>
      <w:bookmarkEnd w:id="79"/>
      <w:bookmarkEnd w:id="80"/>
      <w:bookmarkEnd w:id="81"/>
    </w:p>
    <w:p w14:paraId="29656A75" w14:textId="0D65948E" w:rsidR="00293377" w:rsidRDefault="00293377" w:rsidP="00293377">
      <w:pPr>
        <w:rPr>
          <w:rFonts w:cs="Arial"/>
        </w:rPr>
      </w:pPr>
      <w:r w:rsidRPr="001322C8">
        <w:rPr>
          <w:rFonts w:cs="Arial"/>
        </w:rPr>
        <w:t>The unprecedented impact of the C</w:t>
      </w:r>
      <w:r>
        <w:rPr>
          <w:rFonts w:cs="Arial"/>
        </w:rPr>
        <w:t>ovid</w:t>
      </w:r>
      <w:r w:rsidRPr="001322C8">
        <w:rPr>
          <w:rFonts w:cs="Arial"/>
        </w:rPr>
        <w:t xml:space="preserve"> pandemic </w:t>
      </w:r>
      <w:r>
        <w:rPr>
          <w:rFonts w:cs="Arial"/>
        </w:rPr>
        <w:t>has</w:t>
      </w:r>
      <w:r w:rsidRPr="001322C8">
        <w:rPr>
          <w:rFonts w:cs="Arial"/>
        </w:rPr>
        <w:t xml:space="preserve"> inevitably delay</w:t>
      </w:r>
      <w:r>
        <w:rPr>
          <w:rFonts w:cs="Arial"/>
        </w:rPr>
        <w:t>ed</w:t>
      </w:r>
      <w:r w:rsidRPr="001322C8">
        <w:rPr>
          <w:rFonts w:cs="Arial"/>
        </w:rPr>
        <w:t xml:space="preserve"> the return to </w:t>
      </w:r>
      <w:r w:rsidRPr="00A37230">
        <w:rPr>
          <w:rFonts w:cs="Arial"/>
        </w:rPr>
        <w:t>normal financial arrangements.  CCGs will cease to exist on 30 June 2022 and on 1 July 2022 they will be replaced by the Mid &amp; South Essex Integrated Care Board (ICB). The Mid and South Essex Health and Care Partnership becomes the Mid &amp; South Essex Integrated Care System (ICS).  Allocations for 2022/23 have been given on a system level and it is expected that CCGs will balance for the first quarter with any risks falling on the new organisation. The CCG will continue to work with system partners over the coming months to prioritise programmes of work towards achieving a financially sustainable health and social care system.</w:t>
      </w:r>
    </w:p>
    <w:p w14:paraId="542108E2" w14:textId="1395F886" w:rsidR="00E2234D" w:rsidRPr="004A0197" w:rsidRDefault="00E2234D" w:rsidP="00970B67">
      <w:pPr>
        <w:pStyle w:val="Heading3"/>
        <w:spacing w:after="0"/>
      </w:pPr>
      <w:bookmarkStart w:id="83" w:name="_Toc107389450"/>
      <w:bookmarkEnd w:id="82"/>
      <w:r w:rsidRPr="004A0197">
        <w:lastRenderedPageBreak/>
        <w:t>Risks</w:t>
      </w:r>
      <w:bookmarkEnd w:id="58"/>
      <w:bookmarkEnd w:id="83"/>
    </w:p>
    <w:p w14:paraId="125EAC9B" w14:textId="44AF38FC" w:rsidR="00E2234D" w:rsidRDefault="00E2234D" w:rsidP="00970B67">
      <w:pPr>
        <w:pStyle w:val="BodyText"/>
        <w:spacing w:before="120"/>
        <w:rPr>
          <w:lang w:eastAsia="en-GB"/>
        </w:rPr>
      </w:pPr>
      <w:r w:rsidRPr="0048204F">
        <w:rPr>
          <w:lang w:eastAsia="en-GB"/>
        </w:rPr>
        <w:t>The CCG’s risk profile as a 31 March 2022 is detailed in the table below:</w:t>
      </w:r>
    </w:p>
    <w:tbl>
      <w:tblPr>
        <w:tblStyle w:val="TableGrid9"/>
        <w:tblW w:w="0" w:type="auto"/>
        <w:tblLook w:val="04A0" w:firstRow="1" w:lastRow="0" w:firstColumn="1" w:lastColumn="0" w:noHBand="0" w:noVBand="1"/>
      </w:tblPr>
      <w:tblGrid>
        <w:gridCol w:w="3397"/>
        <w:gridCol w:w="1110"/>
        <w:gridCol w:w="1235"/>
        <w:gridCol w:w="1624"/>
        <w:gridCol w:w="1650"/>
      </w:tblGrid>
      <w:tr w:rsidR="003067AE" w:rsidRPr="00970B67" w14:paraId="2F284D97" w14:textId="77777777" w:rsidTr="00970B67">
        <w:trPr>
          <w:tblHeader/>
        </w:trPr>
        <w:tc>
          <w:tcPr>
            <w:tcW w:w="3397" w:type="dxa"/>
            <w:vMerge w:val="restart"/>
            <w:shd w:val="clear" w:color="auto" w:fill="D9D9D9" w:themeFill="background1" w:themeFillShade="D9"/>
          </w:tcPr>
          <w:p w14:paraId="69EA1E87" w14:textId="77777777" w:rsidR="003067AE" w:rsidRPr="00970B67" w:rsidRDefault="003067AE" w:rsidP="008046E9">
            <w:pPr>
              <w:spacing w:before="0" w:after="0"/>
              <w:rPr>
                <w:b/>
                <w:sz w:val="22"/>
              </w:rPr>
            </w:pPr>
          </w:p>
          <w:p w14:paraId="55A20512" w14:textId="77777777" w:rsidR="003067AE" w:rsidRPr="00970B67" w:rsidRDefault="003067AE" w:rsidP="008046E9">
            <w:pPr>
              <w:spacing w:before="0" w:after="0"/>
              <w:rPr>
                <w:b/>
                <w:sz w:val="22"/>
              </w:rPr>
            </w:pPr>
            <w:r w:rsidRPr="00970B67">
              <w:rPr>
                <w:b/>
                <w:sz w:val="22"/>
              </w:rPr>
              <w:t>Workstream</w:t>
            </w:r>
          </w:p>
        </w:tc>
        <w:tc>
          <w:tcPr>
            <w:tcW w:w="3969" w:type="dxa"/>
            <w:gridSpan w:val="3"/>
            <w:shd w:val="clear" w:color="auto" w:fill="D9D9D9" w:themeFill="background1" w:themeFillShade="D9"/>
          </w:tcPr>
          <w:p w14:paraId="43A9702F" w14:textId="77777777" w:rsidR="003067AE" w:rsidRPr="00970B67" w:rsidRDefault="003067AE" w:rsidP="008046E9">
            <w:pPr>
              <w:spacing w:before="0" w:after="0"/>
              <w:jc w:val="center"/>
              <w:rPr>
                <w:b/>
                <w:sz w:val="22"/>
              </w:rPr>
            </w:pPr>
            <w:r w:rsidRPr="00970B67">
              <w:rPr>
                <w:b/>
                <w:sz w:val="22"/>
              </w:rPr>
              <w:t>RAG Rating</w:t>
            </w:r>
          </w:p>
        </w:tc>
        <w:tc>
          <w:tcPr>
            <w:tcW w:w="1650" w:type="dxa"/>
            <w:vMerge w:val="restart"/>
            <w:shd w:val="clear" w:color="auto" w:fill="D9D9D9" w:themeFill="background1" w:themeFillShade="D9"/>
          </w:tcPr>
          <w:p w14:paraId="5641A373" w14:textId="77777777" w:rsidR="003067AE" w:rsidRPr="00970B67" w:rsidRDefault="003067AE" w:rsidP="008046E9">
            <w:pPr>
              <w:spacing w:before="0" w:after="0"/>
              <w:jc w:val="center"/>
              <w:rPr>
                <w:b/>
                <w:sz w:val="22"/>
              </w:rPr>
            </w:pPr>
            <w:r w:rsidRPr="00970B67">
              <w:rPr>
                <w:b/>
                <w:sz w:val="22"/>
              </w:rPr>
              <w:t>Total No of Risks</w:t>
            </w:r>
          </w:p>
        </w:tc>
      </w:tr>
      <w:tr w:rsidR="003067AE" w:rsidRPr="0048204F" w14:paraId="696FEF71" w14:textId="77777777" w:rsidTr="00970B67">
        <w:tc>
          <w:tcPr>
            <w:tcW w:w="3397" w:type="dxa"/>
            <w:vMerge/>
            <w:shd w:val="clear" w:color="auto" w:fill="D9D9D9" w:themeFill="background1" w:themeFillShade="D9"/>
          </w:tcPr>
          <w:p w14:paraId="38357964" w14:textId="77777777" w:rsidR="003067AE" w:rsidRPr="0048204F" w:rsidRDefault="003067AE" w:rsidP="008046E9">
            <w:pPr>
              <w:spacing w:before="0" w:after="0"/>
              <w:rPr>
                <w:b/>
                <w:szCs w:val="24"/>
              </w:rPr>
            </w:pPr>
          </w:p>
        </w:tc>
        <w:tc>
          <w:tcPr>
            <w:tcW w:w="1110" w:type="dxa"/>
            <w:tcBorders>
              <w:bottom w:val="single" w:sz="4" w:space="0" w:color="auto"/>
            </w:tcBorders>
            <w:shd w:val="clear" w:color="auto" w:fill="00B050"/>
          </w:tcPr>
          <w:p w14:paraId="767EBB81" w14:textId="77777777" w:rsidR="003067AE" w:rsidRPr="0048204F" w:rsidRDefault="003067AE" w:rsidP="008046E9">
            <w:pPr>
              <w:spacing w:before="0" w:after="0"/>
              <w:jc w:val="center"/>
              <w:rPr>
                <w:b/>
                <w:szCs w:val="24"/>
              </w:rPr>
            </w:pPr>
            <w:r w:rsidRPr="0048204F">
              <w:rPr>
                <w:b/>
                <w:szCs w:val="24"/>
              </w:rPr>
              <w:t>Green</w:t>
            </w:r>
          </w:p>
        </w:tc>
        <w:tc>
          <w:tcPr>
            <w:tcW w:w="1235" w:type="dxa"/>
            <w:tcBorders>
              <w:bottom w:val="single" w:sz="4" w:space="0" w:color="auto"/>
            </w:tcBorders>
            <w:shd w:val="clear" w:color="auto" w:fill="FFC000"/>
          </w:tcPr>
          <w:p w14:paraId="76EC3D52" w14:textId="77777777" w:rsidR="003067AE" w:rsidRPr="0048204F" w:rsidRDefault="003067AE" w:rsidP="008046E9">
            <w:pPr>
              <w:spacing w:before="0" w:after="0"/>
              <w:jc w:val="center"/>
              <w:rPr>
                <w:b/>
                <w:szCs w:val="24"/>
              </w:rPr>
            </w:pPr>
            <w:r w:rsidRPr="0048204F">
              <w:rPr>
                <w:b/>
                <w:szCs w:val="24"/>
              </w:rPr>
              <w:t>Amber</w:t>
            </w:r>
          </w:p>
        </w:tc>
        <w:tc>
          <w:tcPr>
            <w:tcW w:w="1624" w:type="dxa"/>
            <w:tcBorders>
              <w:bottom w:val="single" w:sz="4" w:space="0" w:color="auto"/>
            </w:tcBorders>
            <w:shd w:val="clear" w:color="auto" w:fill="FF0000"/>
          </w:tcPr>
          <w:p w14:paraId="5FF95D8F" w14:textId="77777777" w:rsidR="003067AE" w:rsidRPr="0048204F" w:rsidRDefault="003067AE" w:rsidP="008046E9">
            <w:pPr>
              <w:spacing w:before="0" w:after="0"/>
              <w:jc w:val="center"/>
              <w:rPr>
                <w:b/>
                <w:szCs w:val="24"/>
              </w:rPr>
            </w:pPr>
            <w:r w:rsidRPr="0048204F">
              <w:rPr>
                <w:b/>
                <w:szCs w:val="24"/>
              </w:rPr>
              <w:t>Red</w:t>
            </w:r>
          </w:p>
        </w:tc>
        <w:tc>
          <w:tcPr>
            <w:tcW w:w="1650" w:type="dxa"/>
            <w:vMerge/>
            <w:tcBorders>
              <w:bottom w:val="single" w:sz="4" w:space="0" w:color="auto"/>
            </w:tcBorders>
            <w:shd w:val="clear" w:color="auto" w:fill="D9D9D9" w:themeFill="background1" w:themeFillShade="D9"/>
          </w:tcPr>
          <w:p w14:paraId="7C873101" w14:textId="77777777" w:rsidR="003067AE" w:rsidRPr="0048204F" w:rsidRDefault="003067AE" w:rsidP="008046E9">
            <w:pPr>
              <w:spacing w:before="0" w:after="0"/>
              <w:jc w:val="center"/>
              <w:rPr>
                <w:b/>
                <w:szCs w:val="24"/>
              </w:rPr>
            </w:pPr>
          </w:p>
        </w:tc>
      </w:tr>
      <w:tr w:rsidR="003067AE" w:rsidRPr="00970B67" w14:paraId="128758EA" w14:textId="77777777" w:rsidTr="00970B67">
        <w:tc>
          <w:tcPr>
            <w:tcW w:w="3397" w:type="dxa"/>
          </w:tcPr>
          <w:p w14:paraId="0641BA77" w14:textId="77777777" w:rsidR="003067AE" w:rsidRPr="00970B67" w:rsidRDefault="003067AE" w:rsidP="008046E9">
            <w:pPr>
              <w:spacing w:before="0" w:after="0"/>
              <w:rPr>
                <w:sz w:val="22"/>
              </w:rPr>
            </w:pPr>
            <w:r w:rsidRPr="00970B67">
              <w:rPr>
                <w:sz w:val="22"/>
              </w:rPr>
              <w:t>Cancer and End of Life</w:t>
            </w:r>
          </w:p>
        </w:tc>
        <w:tc>
          <w:tcPr>
            <w:tcW w:w="1110" w:type="dxa"/>
            <w:shd w:val="clear" w:color="auto" w:fill="auto"/>
          </w:tcPr>
          <w:p w14:paraId="229B16BD" w14:textId="77777777" w:rsidR="003067AE" w:rsidRPr="00970B67" w:rsidRDefault="003067AE" w:rsidP="008046E9">
            <w:pPr>
              <w:spacing w:before="0" w:after="0"/>
              <w:jc w:val="center"/>
              <w:rPr>
                <w:sz w:val="22"/>
              </w:rPr>
            </w:pPr>
            <w:r w:rsidRPr="00970B67">
              <w:rPr>
                <w:sz w:val="22"/>
              </w:rPr>
              <w:t>0</w:t>
            </w:r>
          </w:p>
        </w:tc>
        <w:tc>
          <w:tcPr>
            <w:tcW w:w="1235" w:type="dxa"/>
            <w:shd w:val="clear" w:color="auto" w:fill="auto"/>
          </w:tcPr>
          <w:p w14:paraId="32C40A48" w14:textId="77777777" w:rsidR="003067AE" w:rsidRPr="00970B67" w:rsidRDefault="003067AE" w:rsidP="008046E9">
            <w:pPr>
              <w:spacing w:before="0" w:after="0"/>
              <w:jc w:val="center"/>
              <w:rPr>
                <w:sz w:val="22"/>
              </w:rPr>
            </w:pPr>
            <w:r w:rsidRPr="00970B67">
              <w:rPr>
                <w:sz w:val="22"/>
              </w:rPr>
              <w:t>1</w:t>
            </w:r>
          </w:p>
        </w:tc>
        <w:tc>
          <w:tcPr>
            <w:tcW w:w="1624" w:type="dxa"/>
            <w:shd w:val="clear" w:color="auto" w:fill="auto"/>
          </w:tcPr>
          <w:p w14:paraId="25CB39C9" w14:textId="77777777" w:rsidR="003067AE" w:rsidRPr="00970B67" w:rsidRDefault="003067AE" w:rsidP="008046E9">
            <w:pPr>
              <w:spacing w:before="0" w:after="0"/>
              <w:jc w:val="center"/>
              <w:rPr>
                <w:sz w:val="22"/>
              </w:rPr>
            </w:pPr>
            <w:r w:rsidRPr="00970B67">
              <w:rPr>
                <w:sz w:val="22"/>
              </w:rPr>
              <w:t>1</w:t>
            </w:r>
          </w:p>
        </w:tc>
        <w:tc>
          <w:tcPr>
            <w:tcW w:w="1650" w:type="dxa"/>
          </w:tcPr>
          <w:p w14:paraId="00748E65" w14:textId="77777777" w:rsidR="003067AE" w:rsidRPr="00970B67" w:rsidRDefault="003067AE" w:rsidP="008046E9">
            <w:pPr>
              <w:spacing w:before="0" w:after="0"/>
              <w:jc w:val="center"/>
              <w:rPr>
                <w:sz w:val="22"/>
              </w:rPr>
            </w:pPr>
            <w:r w:rsidRPr="00970B67">
              <w:rPr>
                <w:sz w:val="22"/>
              </w:rPr>
              <w:t>2</w:t>
            </w:r>
          </w:p>
        </w:tc>
      </w:tr>
      <w:tr w:rsidR="003067AE" w:rsidRPr="00970B67" w14:paraId="2488EBFE" w14:textId="77777777" w:rsidTr="00970B67">
        <w:tc>
          <w:tcPr>
            <w:tcW w:w="3397" w:type="dxa"/>
          </w:tcPr>
          <w:p w14:paraId="6D6AC087" w14:textId="77777777" w:rsidR="003067AE" w:rsidRPr="00970B67" w:rsidRDefault="003067AE" w:rsidP="008046E9">
            <w:pPr>
              <w:spacing w:before="0" w:after="0"/>
              <w:rPr>
                <w:sz w:val="22"/>
              </w:rPr>
            </w:pPr>
            <w:r w:rsidRPr="00970B67">
              <w:rPr>
                <w:sz w:val="22"/>
              </w:rPr>
              <w:t>Children and Young People</w:t>
            </w:r>
          </w:p>
        </w:tc>
        <w:tc>
          <w:tcPr>
            <w:tcW w:w="1110" w:type="dxa"/>
            <w:shd w:val="clear" w:color="auto" w:fill="auto"/>
          </w:tcPr>
          <w:p w14:paraId="3368F73D" w14:textId="77777777" w:rsidR="003067AE" w:rsidRPr="00970B67" w:rsidRDefault="003067AE" w:rsidP="008046E9">
            <w:pPr>
              <w:spacing w:before="0" w:after="0"/>
              <w:jc w:val="center"/>
              <w:rPr>
                <w:sz w:val="22"/>
              </w:rPr>
            </w:pPr>
            <w:r w:rsidRPr="00970B67">
              <w:rPr>
                <w:sz w:val="22"/>
              </w:rPr>
              <w:t>0</w:t>
            </w:r>
          </w:p>
        </w:tc>
        <w:tc>
          <w:tcPr>
            <w:tcW w:w="1235" w:type="dxa"/>
            <w:shd w:val="clear" w:color="auto" w:fill="auto"/>
          </w:tcPr>
          <w:p w14:paraId="5CE1A883" w14:textId="77777777" w:rsidR="003067AE" w:rsidRPr="00970B67" w:rsidRDefault="003067AE" w:rsidP="008046E9">
            <w:pPr>
              <w:spacing w:before="0" w:after="0"/>
              <w:jc w:val="center"/>
              <w:rPr>
                <w:sz w:val="22"/>
              </w:rPr>
            </w:pPr>
            <w:r w:rsidRPr="00970B67">
              <w:rPr>
                <w:sz w:val="22"/>
              </w:rPr>
              <w:t>6</w:t>
            </w:r>
          </w:p>
        </w:tc>
        <w:tc>
          <w:tcPr>
            <w:tcW w:w="1624" w:type="dxa"/>
            <w:shd w:val="clear" w:color="auto" w:fill="auto"/>
          </w:tcPr>
          <w:p w14:paraId="580AA31F" w14:textId="77777777" w:rsidR="003067AE" w:rsidRPr="00970B67" w:rsidRDefault="003067AE" w:rsidP="008046E9">
            <w:pPr>
              <w:spacing w:before="0" w:after="0"/>
              <w:jc w:val="center"/>
              <w:rPr>
                <w:sz w:val="22"/>
              </w:rPr>
            </w:pPr>
            <w:r w:rsidRPr="00970B67">
              <w:rPr>
                <w:sz w:val="22"/>
              </w:rPr>
              <w:t>0</w:t>
            </w:r>
          </w:p>
        </w:tc>
        <w:tc>
          <w:tcPr>
            <w:tcW w:w="1650" w:type="dxa"/>
          </w:tcPr>
          <w:p w14:paraId="2B20CDEE" w14:textId="72A2C3AA" w:rsidR="003067AE" w:rsidRPr="00970B67" w:rsidRDefault="003067AE" w:rsidP="008046E9">
            <w:pPr>
              <w:spacing w:before="0" w:after="0"/>
              <w:jc w:val="center"/>
              <w:rPr>
                <w:sz w:val="22"/>
              </w:rPr>
            </w:pPr>
            <w:r w:rsidRPr="00970B67">
              <w:rPr>
                <w:sz w:val="22"/>
              </w:rPr>
              <w:t>6</w:t>
            </w:r>
          </w:p>
        </w:tc>
      </w:tr>
      <w:tr w:rsidR="003067AE" w:rsidRPr="00970B67" w14:paraId="7049F115" w14:textId="77777777" w:rsidTr="00970B67">
        <w:tc>
          <w:tcPr>
            <w:tcW w:w="3397" w:type="dxa"/>
          </w:tcPr>
          <w:p w14:paraId="33D24285" w14:textId="77777777" w:rsidR="003067AE" w:rsidRPr="00970B67" w:rsidRDefault="003067AE" w:rsidP="008046E9">
            <w:pPr>
              <w:spacing w:before="0" w:after="0"/>
              <w:rPr>
                <w:sz w:val="22"/>
              </w:rPr>
            </w:pPr>
            <w:r w:rsidRPr="00970B67">
              <w:rPr>
                <w:sz w:val="22"/>
              </w:rPr>
              <w:t>Community</w:t>
            </w:r>
          </w:p>
        </w:tc>
        <w:tc>
          <w:tcPr>
            <w:tcW w:w="1110" w:type="dxa"/>
            <w:shd w:val="clear" w:color="auto" w:fill="auto"/>
          </w:tcPr>
          <w:p w14:paraId="244EBA97" w14:textId="77777777" w:rsidR="003067AE" w:rsidRPr="00970B67" w:rsidRDefault="003067AE" w:rsidP="008046E9">
            <w:pPr>
              <w:spacing w:before="0" w:after="0"/>
              <w:jc w:val="center"/>
              <w:rPr>
                <w:sz w:val="22"/>
              </w:rPr>
            </w:pPr>
            <w:r w:rsidRPr="00970B67">
              <w:rPr>
                <w:sz w:val="22"/>
              </w:rPr>
              <w:t>2</w:t>
            </w:r>
          </w:p>
        </w:tc>
        <w:tc>
          <w:tcPr>
            <w:tcW w:w="1235" w:type="dxa"/>
            <w:shd w:val="clear" w:color="auto" w:fill="auto"/>
          </w:tcPr>
          <w:p w14:paraId="7B58F743" w14:textId="77777777" w:rsidR="003067AE" w:rsidRPr="00970B67" w:rsidRDefault="003067AE" w:rsidP="008046E9">
            <w:pPr>
              <w:spacing w:before="0" w:after="0"/>
              <w:jc w:val="center"/>
              <w:rPr>
                <w:sz w:val="22"/>
              </w:rPr>
            </w:pPr>
            <w:r w:rsidRPr="00970B67">
              <w:rPr>
                <w:sz w:val="22"/>
              </w:rPr>
              <w:t>4</w:t>
            </w:r>
          </w:p>
        </w:tc>
        <w:tc>
          <w:tcPr>
            <w:tcW w:w="1624" w:type="dxa"/>
            <w:shd w:val="clear" w:color="auto" w:fill="auto"/>
          </w:tcPr>
          <w:p w14:paraId="1F12BF53" w14:textId="77777777" w:rsidR="003067AE" w:rsidRPr="00970B67" w:rsidRDefault="003067AE" w:rsidP="008046E9">
            <w:pPr>
              <w:spacing w:before="0" w:after="0"/>
              <w:jc w:val="center"/>
              <w:rPr>
                <w:sz w:val="22"/>
              </w:rPr>
            </w:pPr>
            <w:r w:rsidRPr="00970B67">
              <w:rPr>
                <w:sz w:val="22"/>
              </w:rPr>
              <w:t>0</w:t>
            </w:r>
          </w:p>
        </w:tc>
        <w:tc>
          <w:tcPr>
            <w:tcW w:w="1650" w:type="dxa"/>
          </w:tcPr>
          <w:p w14:paraId="2D42A1E7" w14:textId="77777777" w:rsidR="003067AE" w:rsidRPr="00970B67" w:rsidRDefault="003067AE" w:rsidP="008046E9">
            <w:pPr>
              <w:spacing w:before="0" w:after="0"/>
              <w:jc w:val="center"/>
              <w:rPr>
                <w:sz w:val="22"/>
              </w:rPr>
            </w:pPr>
            <w:r w:rsidRPr="00970B67">
              <w:rPr>
                <w:sz w:val="22"/>
              </w:rPr>
              <w:t>6</w:t>
            </w:r>
          </w:p>
        </w:tc>
      </w:tr>
      <w:tr w:rsidR="003067AE" w:rsidRPr="00970B67" w14:paraId="725BAA74" w14:textId="77777777" w:rsidTr="00970B67">
        <w:tc>
          <w:tcPr>
            <w:tcW w:w="3397" w:type="dxa"/>
          </w:tcPr>
          <w:p w14:paraId="5FB2AE7C" w14:textId="77777777" w:rsidR="003067AE" w:rsidRPr="00970B67" w:rsidRDefault="003067AE" w:rsidP="008046E9">
            <w:pPr>
              <w:spacing w:before="0" w:after="0"/>
              <w:rPr>
                <w:sz w:val="22"/>
              </w:rPr>
            </w:pPr>
            <w:r w:rsidRPr="00970B67">
              <w:rPr>
                <w:sz w:val="22"/>
              </w:rPr>
              <w:t>Digital and Business Intelligence</w:t>
            </w:r>
          </w:p>
        </w:tc>
        <w:tc>
          <w:tcPr>
            <w:tcW w:w="1110" w:type="dxa"/>
            <w:shd w:val="clear" w:color="auto" w:fill="auto"/>
          </w:tcPr>
          <w:p w14:paraId="64DCAEA0" w14:textId="77777777" w:rsidR="003067AE" w:rsidRPr="00970B67" w:rsidRDefault="003067AE" w:rsidP="008046E9">
            <w:pPr>
              <w:spacing w:before="0" w:after="0"/>
              <w:jc w:val="center"/>
              <w:rPr>
                <w:sz w:val="22"/>
              </w:rPr>
            </w:pPr>
            <w:r w:rsidRPr="00970B67">
              <w:rPr>
                <w:sz w:val="22"/>
              </w:rPr>
              <w:t>1</w:t>
            </w:r>
          </w:p>
        </w:tc>
        <w:tc>
          <w:tcPr>
            <w:tcW w:w="1235" w:type="dxa"/>
            <w:shd w:val="clear" w:color="auto" w:fill="auto"/>
          </w:tcPr>
          <w:p w14:paraId="01241954" w14:textId="77777777" w:rsidR="003067AE" w:rsidRPr="00970B67" w:rsidRDefault="003067AE" w:rsidP="008046E9">
            <w:pPr>
              <w:spacing w:before="0" w:after="0"/>
              <w:jc w:val="center"/>
              <w:rPr>
                <w:sz w:val="22"/>
              </w:rPr>
            </w:pPr>
            <w:r w:rsidRPr="00970B67">
              <w:rPr>
                <w:sz w:val="22"/>
              </w:rPr>
              <w:t>3</w:t>
            </w:r>
          </w:p>
        </w:tc>
        <w:tc>
          <w:tcPr>
            <w:tcW w:w="1624" w:type="dxa"/>
            <w:shd w:val="clear" w:color="auto" w:fill="auto"/>
          </w:tcPr>
          <w:p w14:paraId="60EC5FE4" w14:textId="77777777" w:rsidR="003067AE" w:rsidRPr="00970B67" w:rsidRDefault="003067AE" w:rsidP="008046E9">
            <w:pPr>
              <w:spacing w:before="0" w:after="0"/>
              <w:jc w:val="center"/>
              <w:rPr>
                <w:sz w:val="22"/>
              </w:rPr>
            </w:pPr>
            <w:r w:rsidRPr="00970B67">
              <w:rPr>
                <w:sz w:val="22"/>
              </w:rPr>
              <w:t>0</w:t>
            </w:r>
          </w:p>
        </w:tc>
        <w:tc>
          <w:tcPr>
            <w:tcW w:w="1650" w:type="dxa"/>
          </w:tcPr>
          <w:p w14:paraId="67278664" w14:textId="77777777" w:rsidR="003067AE" w:rsidRPr="00970B67" w:rsidRDefault="003067AE" w:rsidP="008046E9">
            <w:pPr>
              <w:spacing w:before="0" w:after="0"/>
              <w:jc w:val="center"/>
              <w:rPr>
                <w:sz w:val="22"/>
              </w:rPr>
            </w:pPr>
            <w:r w:rsidRPr="00970B67">
              <w:rPr>
                <w:sz w:val="22"/>
              </w:rPr>
              <w:t>4</w:t>
            </w:r>
          </w:p>
        </w:tc>
      </w:tr>
      <w:tr w:rsidR="003067AE" w:rsidRPr="00970B67" w14:paraId="558946BE" w14:textId="77777777" w:rsidTr="00970B67">
        <w:tc>
          <w:tcPr>
            <w:tcW w:w="3397" w:type="dxa"/>
          </w:tcPr>
          <w:p w14:paraId="41A71535" w14:textId="77777777" w:rsidR="003067AE" w:rsidRPr="00970B67" w:rsidRDefault="003067AE" w:rsidP="008046E9">
            <w:pPr>
              <w:spacing w:before="0" w:after="0"/>
              <w:rPr>
                <w:sz w:val="22"/>
              </w:rPr>
            </w:pPr>
            <w:r w:rsidRPr="00970B67">
              <w:rPr>
                <w:sz w:val="22"/>
              </w:rPr>
              <w:t>Estates</w:t>
            </w:r>
          </w:p>
        </w:tc>
        <w:tc>
          <w:tcPr>
            <w:tcW w:w="1110" w:type="dxa"/>
            <w:shd w:val="clear" w:color="auto" w:fill="auto"/>
          </w:tcPr>
          <w:p w14:paraId="41E56FD7" w14:textId="77777777" w:rsidR="003067AE" w:rsidRPr="00970B67" w:rsidRDefault="003067AE" w:rsidP="008046E9">
            <w:pPr>
              <w:spacing w:before="0" w:after="0"/>
              <w:jc w:val="center"/>
              <w:rPr>
                <w:sz w:val="22"/>
              </w:rPr>
            </w:pPr>
            <w:r w:rsidRPr="00970B67">
              <w:rPr>
                <w:sz w:val="22"/>
              </w:rPr>
              <w:t>0</w:t>
            </w:r>
          </w:p>
        </w:tc>
        <w:tc>
          <w:tcPr>
            <w:tcW w:w="1235" w:type="dxa"/>
            <w:shd w:val="clear" w:color="auto" w:fill="auto"/>
          </w:tcPr>
          <w:p w14:paraId="1A005FED" w14:textId="77777777" w:rsidR="003067AE" w:rsidRPr="00970B67" w:rsidRDefault="003067AE" w:rsidP="008046E9">
            <w:pPr>
              <w:spacing w:before="0" w:after="0"/>
              <w:jc w:val="center"/>
              <w:rPr>
                <w:sz w:val="22"/>
              </w:rPr>
            </w:pPr>
            <w:r w:rsidRPr="00970B67">
              <w:rPr>
                <w:sz w:val="22"/>
              </w:rPr>
              <w:t>2</w:t>
            </w:r>
          </w:p>
        </w:tc>
        <w:tc>
          <w:tcPr>
            <w:tcW w:w="1624" w:type="dxa"/>
            <w:shd w:val="clear" w:color="auto" w:fill="auto"/>
          </w:tcPr>
          <w:p w14:paraId="1B6CD241" w14:textId="77777777" w:rsidR="003067AE" w:rsidRPr="00970B67" w:rsidRDefault="003067AE" w:rsidP="008046E9">
            <w:pPr>
              <w:spacing w:before="0" w:after="0"/>
              <w:jc w:val="center"/>
              <w:rPr>
                <w:sz w:val="22"/>
              </w:rPr>
            </w:pPr>
            <w:r w:rsidRPr="00970B67">
              <w:rPr>
                <w:sz w:val="22"/>
              </w:rPr>
              <w:t>0</w:t>
            </w:r>
          </w:p>
        </w:tc>
        <w:tc>
          <w:tcPr>
            <w:tcW w:w="1650" w:type="dxa"/>
          </w:tcPr>
          <w:p w14:paraId="38CAC235" w14:textId="77777777" w:rsidR="003067AE" w:rsidRPr="00970B67" w:rsidRDefault="003067AE" w:rsidP="008046E9">
            <w:pPr>
              <w:spacing w:before="0" w:after="0"/>
              <w:jc w:val="center"/>
              <w:rPr>
                <w:sz w:val="22"/>
              </w:rPr>
            </w:pPr>
            <w:r w:rsidRPr="00970B67">
              <w:rPr>
                <w:sz w:val="22"/>
              </w:rPr>
              <w:t>2</w:t>
            </w:r>
          </w:p>
        </w:tc>
      </w:tr>
      <w:tr w:rsidR="003067AE" w:rsidRPr="00970B67" w14:paraId="279ECAFD" w14:textId="77777777" w:rsidTr="00970B67">
        <w:tc>
          <w:tcPr>
            <w:tcW w:w="3397" w:type="dxa"/>
          </w:tcPr>
          <w:p w14:paraId="0E6BB88C" w14:textId="77777777" w:rsidR="003067AE" w:rsidRPr="00970B67" w:rsidRDefault="003067AE" w:rsidP="008046E9">
            <w:pPr>
              <w:spacing w:before="0" w:after="0"/>
              <w:rPr>
                <w:sz w:val="22"/>
              </w:rPr>
            </w:pPr>
            <w:r w:rsidRPr="00970B67">
              <w:rPr>
                <w:sz w:val="22"/>
              </w:rPr>
              <w:t>Finance</w:t>
            </w:r>
          </w:p>
        </w:tc>
        <w:tc>
          <w:tcPr>
            <w:tcW w:w="1110" w:type="dxa"/>
            <w:shd w:val="clear" w:color="auto" w:fill="auto"/>
          </w:tcPr>
          <w:p w14:paraId="55939E50" w14:textId="77777777" w:rsidR="003067AE" w:rsidRPr="00970B67" w:rsidRDefault="003067AE" w:rsidP="008046E9">
            <w:pPr>
              <w:spacing w:before="0" w:after="0"/>
              <w:jc w:val="center"/>
              <w:rPr>
                <w:sz w:val="22"/>
              </w:rPr>
            </w:pPr>
            <w:r w:rsidRPr="00970B67">
              <w:rPr>
                <w:sz w:val="22"/>
              </w:rPr>
              <w:t>1</w:t>
            </w:r>
          </w:p>
        </w:tc>
        <w:tc>
          <w:tcPr>
            <w:tcW w:w="1235" w:type="dxa"/>
            <w:shd w:val="clear" w:color="auto" w:fill="auto"/>
          </w:tcPr>
          <w:p w14:paraId="1B2D3988" w14:textId="77777777" w:rsidR="003067AE" w:rsidRPr="00970B67" w:rsidRDefault="003067AE" w:rsidP="008046E9">
            <w:pPr>
              <w:spacing w:before="0" w:after="0"/>
              <w:jc w:val="center"/>
              <w:rPr>
                <w:sz w:val="22"/>
              </w:rPr>
            </w:pPr>
            <w:r w:rsidRPr="00970B67">
              <w:rPr>
                <w:sz w:val="22"/>
              </w:rPr>
              <w:t>3</w:t>
            </w:r>
          </w:p>
        </w:tc>
        <w:tc>
          <w:tcPr>
            <w:tcW w:w="1624" w:type="dxa"/>
            <w:shd w:val="clear" w:color="auto" w:fill="auto"/>
          </w:tcPr>
          <w:p w14:paraId="3104E169" w14:textId="77777777" w:rsidR="003067AE" w:rsidRPr="00970B67" w:rsidRDefault="003067AE" w:rsidP="008046E9">
            <w:pPr>
              <w:spacing w:before="0" w:after="0"/>
              <w:jc w:val="center"/>
              <w:rPr>
                <w:sz w:val="22"/>
              </w:rPr>
            </w:pPr>
            <w:r w:rsidRPr="00970B67">
              <w:rPr>
                <w:sz w:val="22"/>
              </w:rPr>
              <w:t>1</w:t>
            </w:r>
          </w:p>
        </w:tc>
        <w:tc>
          <w:tcPr>
            <w:tcW w:w="1650" w:type="dxa"/>
          </w:tcPr>
          <w:p w14:paraId="23484C2B" w14:textId="77777777" w:rsidR="003067AE" w:rsidRPr="00970B67" w:rsidRDefault="003067AE" w:rsidP="008046E9">
            <w:pPr>
              <w:spacing w:before="0" w:after="0"/>
              <w:jc w:val="center"/>
              <w:rPr>
                <w:sz w:val="22"/>
              </w:rPr>
            </w:pPr>
            <w:r w:rsidRPr="00970B67">
              <w:rPr>
                <w:sz w:val="22"/>
              </w:rPr>
              <w:t>5</w:t>
            </w:r>
          </w:p>
        </w:tc>
      </w:tr>
      <w:tr w:rsidR="003067AE" w:rsidRPr="00970B67" w14:paraId="3BE84813" w14:textId="77777777" w:rsidTr="00970B67">
        <w:tc>
          <w:tcPr>
            <w:tcW w:w="3397" w:type="dxa"/>
          </w:tcPr>
          <w:p w14:paraId="11DE1CB0" w14:textId="77777777" w:rsidR="003067AE" w:rsidRPr="00970B67" w:rsidRDefault="003067AE" w:rsidP="008046E9">
            <w:pPr>
              <w:spacing w:before="0" w:after="0"/>
              <w:rPr>
                <w:sz w:val="22"/>
              </w:rPr>
            </w:pPr>
            <w:r w:rsidRPr="00970B67">
              <w:rPr>
                <w:sz w:val="22"/>
              </w:rPr>
              <w:t>Health Inequalities</w:t>
            </w:r>
          </w:p>
        </w:tc>
        <w:tc>
          <w:tcPr>
            <w:tcW w:w="1110" w:type="dxa"/>
            <w:shd w:val="clear" w:color="auto" w:fill="auto"/>
          </w:tcPr>
          <w:p w14:paraId="10FF3813" w14:textId="77777777" w:rsidR="003067AE" w:rsidRPr="00970B67" w:rsidRDefault="003067AE" w:rsidP="008046E9">
            <w:pPr>
              <w:spacing w:before="0" w:after="0"/>
              <w:jc w:val="center"/>
              <w:rPr>
                <w:sz w:val="22"/>
              </w:rPr>
            </w:pPr>
            <w:r w:rsidRPr="00970B67">
              <w:rPr>
                <w:sz w:val="22"/>
              </w:rPr>
              <w:t>0</w:t>
            </w:r>
          </w:p>
        </w:tc>
        <w:tc>
          <w:tcPr>
            <w:tcW w:w="1235" w:type="dxa"/>
            <w:shd w:val="clear" w:color="auto" w:fill="auto"/>
          </w:tcPr>
          <w:p w14:paraId="2A16E3DB" w14:textId="77777777" w:rsidR="003067AE" w:rsidRPr="00970B67" w:rsidRDefault="003067AE" w:rsidP="008046E9">
            <w:pPr>
              <w:spacing w:before="0" w:after="0"/>
              <w:jc w:val="center"/>
              <w:rPr>
                <w:sz w:val="22"/>
              </w:rPr>
            </w:pPr>
            <w:r w:rsidRPr="00970B67">
              <w:rPr>
                <w:sz w:val="22"/>
              </w:rPr>
              <w:t>1</w:t>
            </w:r>
          </w:p>
        </w:tc>
        <w:tc>
          <w:tcPr>
            <w:tcW w:w="1624" w:type="dxa"/>
            <w:shd w:val="clear" w:color="auto" w:fill="auto"/>
          </w:tcPr>
          <w:p w14:paraId="4B300FD1" w14:textId="77777777" w:rsidR="003067AE" w:rsidRPr="00970B67" w:rsidRDefault="003067AE" w:rsidP="008046E9">
            <w:pPr>
              <w:spacing w:before="0" w:after="0"/>
              <w:jc w:val="center"/>
              <w:rPr>
                <w:sz w:val="22"/>
              </w:rPr>
            </w:pPr>
            <w:r w:rsidRPr="00970B67">
              <w:rPr>
                <w:sz w:val="22"/>
              </w:rPr>
              <w:t>0</w:t>
            </w:r>
          </w:p>
        </w:tc>
        <w:tc>
          <w:tcPr>
            <w:tcW w:w="1650" w:type="dxa"/>
          </w:tcPr>
          <w:p w14:paraId="0DDB94CD" w14:textId="77777777" w:rsidR="003067AE" w:rsidRPr="00970B67" w:rsidRDefault="003067AE" w:rsidP="008046E9">
            <w:pPr>
              <w:spacing w:before="0" w:after="0"/>
              <w:jc w:val="center"/>
              <w:rPr>
                <w:sz w:val="22"/>
              </w:rPr>
            </w:pPr>
            <w:r w:rsidRPr="00970B67">
              <w:rPr>
                <w:sz w:val="22"/>
              </w:rPr>
              <w:t>1</w:t>
            </w:r>
          </w:p>
        </w:tc>
      </w:tr>
      <w:tr w:rsidR="003067AE" w:rsidRPr="00970B67" w14:paraId="09D0B896" w14:textId="77777777" w:rsidTr="00970B67">
        <w:tc>
          <w:tcPr>
            <w:tcW w:w="3397" w:type="dxa"/>
          </w:tcPr>
          <w:p w14:paraId="5921E54E" w14:textId="77777777" w:rsidR="003067AE" w:rsidRPr="00970B67" w:rsidRDefault="003067AE" w:rsidP="008046E9">
            <w:pPr>
              <w:spacing w:before="0" w:after="0"/>
              <w:rPr>
                <w:sz w:val="22"/>
              </w:rPr>
            </w:pPr>
            <w:r w:rsidRPr="00970B67">
              <w:rPr>
                <w:sz w:val="22"/>
              </w:rPr>
              <w:t>Integrated Care System</w:t>
            </w:r>
          </w:p>
        </w:tc>
        <w:tc>
          <w:tcPr>
            <w:tcW w:w="1110" w:type="dxa"/>
            <w:shd w:val="clear" w:color="auto" w:fill="auto"/>
          </w:tcPr>
          <w:p w14:paraId="0466CA77" w14:textId="77777777" w:rsidR="003067AE" w:rsidRPr="00970B67" w:rsidRDefault="003067AE" w:rsidP="008046E9">
            <w:pPr>
              <w:spacing w:before="0" w:after="0"/>
              <w:jc w:val="center"/>
              <w:rPr>
                <w:sz w:val="22"/>
              </w:rPr>
            </w:pPr>
            <w:r w:rsidRPr="00970B67">
              <w:rPr>
                <w:sz w:val="22"/>
              </w:rPr>
              <w:t>2</w:t>
            </w:r>
          </w:p>
        </w:tc>
        <w:tc>
          <w:tcPr>
            <w:tcW w:w="1235" w:type="dxa"/>
            <w:shd w:val="clear" w:color="auto" w:fill="auto"/>
          </w:tcPr>
          <w:p w14:paraId="7671E4A2" w14:textId="77777777" w:rsidR="003067AE" w:rsidRPr="00970B67" w:rsidRDefault="003067AE" w:rsidP="008046E9">
            <w:pPr>
              <w:spacing w:before="0" w:after="0"/>
              <w:jc w:val="center"/>
              <w:rPr>
                <w:sz w:val="22"/>
              </w:rPr>
            </w:pPr>
            <w:r w:rsidRPr="00970B67">
              <w:rPr>
                <w:sz w:val="22"/>
              </w:rPr>
              <w:t>3</w:t>
            </w:r>
          </w:p>
        </w:tc>
        <w:tc>
          <w:tcPr>
            <w:tcW w:w="1624" w:type="dxa"/>
            <w:shd w:val="clear" w:color="auto" w:fill="auto"/>
          </w:tcPr>
          <w:p w14:paraId="0A5D1DE8" w14:textId="77777777" w:rsidR="003067AE" w:rsidRPr="00970B67" w:rsidRDefault="003067AE" w:rsidP="008046E9">
            <w:pPr>
              <w:spacing w:before="0" w:after="0"/>
              <w:jc w:val="center"/>
              <w:rPr>
                <w:sz w:val="22"/>
              </w:rPr>
            </w:pPr>
            <w:r w:rsidRPr="00970B67">
              <w:rPr>
                <w:sz w:val="22"/>
              </w:rPr>
              <w:t>0</w:t>
            </w:r>
          </w:p>
        </w:tc>
        <w:tc>
          <w:tcPr>
            <w:tcW w:w="1650" w:type="dxa"/>
          </w:tcPr>
          <w:p w14:paraId="3150F4EB" w14:textId="77777777" w:rsidR="003067AE" w:rsidRPr="00970B67" w:rsidRDefault="003067AE" w:rsidP="008046E9">
            <w:pPr>
              <w:spacing w:before="0" w:after="0"/>
              <w:jc w:val="center"/>
              <w:rPr>
                <w:sz w:val="22"/>
              </w:rPr>
            </w:pPr>
            <w:r w:rsidRPr="00970B67">
              <w:rPr>
                <w:sz w:val="22"/>
              </w:rPr>
              <w:t>5</w:t>
            </w:r>
          </w:p>
        </w:tc>
      </w:tr>
      <w:tr w:rsidR="003067AE" w:rsidRPr="00970B67" w14:paraId="04246179" w14:textId="77777777" w:rsidTr="00970B67">
        <w:tc>
          <w:tcPr>
            <w:tcW w:w="3397" w:type="dxa"/>
          </w:tcPr>
          <w:p w14:paraId="27460479" w14:textId="77777777" w:rsidR="003067AE" w:rsidRPr="00970B67" w:rsidRDefault="003067AE" w:rsidP="008046E9">
            <w:pPr>
              <w:spacing w:before="0" w:after="0"/>
              <w:rPr>
                <w:sz w:val="22"/>
              </w:rPr>
            </w:pPr>
            <w:r w:rsidRPr="00970B67">
              <w:rPr>
                <w:sz w:val="22"/>
              </w:rPr>
              <w:t>Maternity</w:t>
            </w:r>
          </w:p>
        </w:tc>
        <w:tc>
          <w:tcPr>
            <w:tcW w:w="1110" w:type="dxa"/>
            <w:shd w:val="clear" w:color="auto" w:fill="auto"/>
          </w:tcPr>
          <w:p w14:paraId="44264F5A" w14:textId="77777777" w:rsidR="003067AE" w:rsidRPr="00970B67" w:rsidRDefault="003067AE" w:rsidP="008046E9">
            <w:pPr>
              <w:spacing w:before="0" w:after="0"/>
              <w:jc w:val="center"/>
              <w:rPr>
                <w:sz w:val="22"/>
              </w:rPr>
            </w:pPr>
            <w:r w:rsidRPr="00970B67">
              <w:rPr>
                <w:sz w:val="22"/>
              </w:rPr>
              <w:t>0</w:t>
            </w:r>
          </w:p>
        </w:tc>
        <w:tc>
          <w:tcPr>
            <w:tcW w:w="1235" w:type="dxa"/>
            <w:shd w:val="clear" w:color="auto" w:fill="auto"/>
          </w:tcPr>
          <w:p w14:paraId="0CBF0EC8" w14:textId="77777777" w:rsidR="003067AE" w:rsidRPr="00970B67" w:rsidRDefault="003067AE" w:rsidP="008046E9">
            <w:pPr>
              <w:spacing w:before="0" w:after="0"/>
              <w:jc w:val="center"/>
              <w:rPr>
                <w:sz w:val="22"/>
              </w:rPr>
            </w:pPr>
            <w:r w:rsidRPr="00970B67">
              <w:rPr>
                <w:sz w:val="22"/>
              </w:rPr>
              <w:t>2</w:t>
            </w:r>
          </w:p>
        </w:tc>
        <w:tc>
          <w:tcPr>
            <w:tcW w:w="1624" w:type="dxa"/>
            <w:shd w:val="clear" w:color="auto" w:fill="auto"/>
          </w:tcPr>
          <w:p w14:paraId="18A6D564" w14:textId="77777777" w:rsidR="003067AE" w:rsidRPr="00970B67" w:rsidRDefault="003067AE" w:rsidP="008046E9">
            <w:pPr>
              <w:spacing w:before="0" w:after="0"/>
              <w:jc w:val="center"/>
              <w:rPr>
                <w:sz w:val="22"/>
              </w:rPr>
            </w:pPr>
            <w:r w:rsidRPr="00970B67">
              <w:rPr>
                <w:sz w:val="22"/>
              </w:rPr>
              <w:t>1</w:t>
            </w:r>
          </w:p>
        </w:tc>
        <w:tc>
          <w:tcPr>
            <w:tcW w:w="1650" w:type="dxa"/>
          </w:tcPr>
          <w:p w14:paraId="535522C9" w14:textId="77777777" w:rsidR="003067AE" w:rsidRPr="00970B67" w:rsidRDefault="003067AE" w:rsidP="008046E9">
            <w:pPr>
              <w:spacing w:before="0" w:after="0"/>
              <w:jc w:val="center"/>
              <w:rPr>
                <w:sz w:val="22"/>
              </w:rPr>
            </w:pPr>
            <w:r w:rsidRPr="00970B67">
              <w:rPr>
                <w:sz w:val="22"/>
              </w:rPr>
              <w:t>3</w:t>
            </w:r>
          </w:p>
        </w:tc>
      </w:tr>
      <w:tr w:rsidR="003067AE" w:rsidRPr="00970B67" w14:paraId="64735918" w14:textId="77777777" w:rsidTr="00970B67">
        <w:tc>
          <w:tcPr>
            <w:tcW w:w="3397" w:type="dxa"/>
          </w:tcPr>
          <w:p w14:paraId="02BC1A61" w14:textId="77777777" w:rsidR="003067AE" w:rsidRPr="00970B67" w:rsidRDefault="003067AE" w:rsidP="008046E9">
            <w:pPr>
              <w:spacing w:before="0" w:after="0"/>
              <w:rPr>
                <w:sz w:val="22"/>
              </w:rPr>
            </w:pPr>
            <w:r w:rsidRPr="00970B67">
              <w:rPr>
                <w:sz w:val="22"/>
              </w:rPr>
              <w:t>Medicines Optimisation</w:t>
            </w:r>
          </w:p>
        </w:tc>
        <w:tc>
          <w:tcPr>
            <w:tcW w:w="1110" w:type="dxa"/>
            <w:shd w:val="clear" w:color="auto" w:fill="auto"/>
          </w:tcPr>
          <w:p w14:paraId="054CB04B" w14:textId="77777777" w:rsidR="003067AE" w:rsidRPr="00970B67" w:rsidRDefault="003067AE" w:rsidP="008046E9">
            <w:pPr>
              <w:spacing w:before="0" w:after="0"/>
              <w:jc w:val="center"/>
              <w:rPr>
                <w:sz w:val="22"/>
              </w:rPr>
            </w:pPr>
            <w:r w:rsidRPr="00970B67">
              <w:rPr>
                <w:sz w:val="22"/>
              </w:rPr>
              <w:t>1</w:t>
            </w:r>
          </w:p>
        </w:tc>
        <w:tc>
          <w:tcPr>
            <w:tcW w:w="1235" w:type="dxa"/>
            <w:shd w:val="clear" w:color="auto" w:fill="auto"/>
          </w:tcPr>
          <w:p w14:paraId="6A13D170" w14:textId="77777777" w:rsidR="003067AE" w:rsidRPr="00970B67" w:rsidRDefault="003067AE" w:rsidP="008046E9">
            <w:pPr>
              <w:spacing w:before="0" w:after="0"/>
              <w:jc w:val="center"/>
              <w:rPr>
                <w:sz w:val="22"/>
              </w:rPr>
            </w:pPr>
            <w:r w:rsidRPr="00970B67">
              <w:rPr>
                <w:sz w:val="22"/>
              </w:rPr>
              <w:t>1</w:t>
            </w:r>
          </w:p>
        </w:tc>
        <w:tc>
          <w:tcPr>
            <w:tcW w:w="1624" w:type="dxa"/>
            <w:shd w:val="clear" w:color="auto" w:fill="auto"/>
          </w:tcPr>
          <w:p w14:paraId="15569C42" w14:textId="77777777" w:rsidR="003067AE" w:rsidRPr="00970B67" w:rsidRDefault="003067AE" w:rsidP="008046E9">
            <w:pPr>
              <w:spacing w:before="0" w:after="0"/>
              <w:jc w:val="center"/>
              <w:rPr>
                <w:sz w:val="22"/>
              </w:rPr>
            </w:pPr>
            <w:r w:rsidRPr="00970B67">
              <w:rPr>
                <w:sz w:val="22"/>
              </w:rPr>
              <w:t>0</w:t>
            </w:r>
          </w:p>
        </w:tc>
        <w:tc>
          <w:tcPr>
            <w:tcW w:w="1650" w:type="dxa"/>
          </w:tcPr>
          <w:p w14:paraId="36B54DB8" w14:textId="77777777" w:rsidR="003067AE" w:rsidRPr="00970B67" w:rsidRDefault="003067AE" w:rsidP="008046E9">
            <w:pPr>
              <w:spacing w:before="0" w:after="0"/>
              <w:jc w:val="center"/>
              <w:rPr>
                <w:sz w:val="22"/>
              </w:rPr>
            </w:pPr>
            <w:r w:rsidRPr="00970B67">
              <w:rPr>
                <w:sz w:val="22"/>
              </w:rPr>
              <w:t>2</w:t>
            </w:r>
          </w:p>
        </w:tc>
      </w:tr>
      <w:tr w:rsidR="003067AE" w:rsidRPr="00970B67" w14:paraId="40030C63" w14:textId="77777777" w:rsidTr="00970B67">
        <w:tc>
          <w:tcPr>
            <w:tcW w:w="3397" w:type="dxa"/>
          </w:tcPr>
          <w:p w14:paraId="382DD1F9" w14:textId="77777777" w:rsidR="003067AE" w:rsidRPr="00970B67" w:rsidRDefault="003067AE" w:rsidP="008046E9">
            <w:pPr>
              <w:spacing w:before="0" w:after="0"/>
              <w:rPr>
                <w:sz w:val="22"/>
              </w:rPr>
            </w:pPr>
            <w:r w:rsidRPr="00970B67">
              <w:rPr>
                <w:sz w:val="22"/>
              </w:rPr>
              <w:t>Mental Health and Learning Disability</w:t>
            </w:r>
          </w:p>
        </w:tc>
        <w:tc>
          <w:tcPr>
            <w:tcW w:w="1110" w:type="dxa"/>
            <w:shd w:val="clear" w:color="auto" w:fill="auto"/>
          </w:tcPr>
          <w:p w14:paraId="50DD18A5" w14:textId="77777777" w:rsidR="003067AE" w:rsidRPr="00970B67" w:rsidRDefault="003067AE" w:rsidP="008046E9">
            <w:pPr>
              <w:spacing w:before="0" w:after="0"/>
              <w:jc w:val="center"/>
              <w:rPr>
                <w:sz w:val="22"/>
              </w:rPr>
            </w:pPr>
            <w:r w:rsidRPr="00970B67">
              <w:rPr>
                <w:sz w:val="22"/>
              </w:rPr>
              <w:t>0</w:t>
            </w:r>
          </w:p>
        </w:tc>
        <w:tc>
          <w:tcPr>
            <w:tcW w:w="1235" w:type="dxa"/>
            <w:shd w:val="clear" w:color="auto" w:fill="auto"/>
          </w:tcPr>
          <w:p w14:paraId="4D074DF4" w14:textId="77777777" w:rsidR="003067AE" w:rsidRPr="00970B67" w:rsidRDefault="003067AE" w:rsidP="008046E9">
            <w:pPr>
              <w:spacing w:before="0" w:after="0"/>
              <w:jc w:val="center"/>
              <w:rPr>
                <w:sz w:val="22"/>
              </w:rPr>
            </w:pPr>
            <w:r w:rsidRPr="00970B67">
              <w:rPr>
                <w:sz w:val="22"/>
              </w:rPr>
              <w:t>4</w:t>
            </w:r>
          </w:p>
        </w:tc>
        <w:tc>
          <w:tcPr>
            <w:tcW w:w="1624" w:type="dxa"/>
            <w:shd w:val="clear" w:color="auto" w:fill="auto"/>
          </w:tcPr>
          <w:p w14:paraId="2C466594" w14:textId="77777777" w:rsidR="003067AE" w:rsidRPr="00970B67" w:rsidRDefault="003067AE" w:rsidP="008046E9">
            <w:pPr>
              <w:spacing w:before="0" w:after="0"/>
              <w:jc w:val="center"/>
              <w:rPr>
                <w:sz w:val="22"/>
              </w:rPr>
            </w:pPr>
            <w:r w:rsidRPr="00970B67">
              <w:rPr>
                <w:sz w:val="22"/>
              </w:rPr>
              <w:t>2</w:t>
            </w:r>
          </w:p>
        </w:tc>
        <w:tc>
          <w:tcPr>
            <w:tcW w:w="1650" w:type="dxa"/>
          </w:tcPr>
          <w:p w14:paraId="23B3B3BD" w14:textId="77777777" w:rsidR="003067AE" w:rsidRPr="00970B67" w:rsidRDefault="003067AE" w:rsidP="008046E9">
            <w:pPr>
              <w:spacing w:before="0" w:after="0"/>
              <w:jc w:val="center"/>
              <w:rPr>
                <w:sz w:val="22"/>
              </w:rPr>
            </w:pPr>
            <w:r w:rsidRPr="00970B67">
              <w:rPr>
                <w:sz w:val="22"/>
              </w:rPr>
              <w:t>6</w:t>
            </w:r>
          </w:p>
        </w:tc>
      </w:tr>
      <w:tr w:rsidR="003067AE" w:rsidRPr="00970B67" w14:paraId="4F2B3F1E" w14:textId="77777777" w:rsidTr="00970B67">
        <w:tc>
          <w:tcPr>
            <w:tcW w:w="3397" w:type="dxa"/>
          </w:tcPr>
          <w:p w14:paraId="4FFF0AAE" w14:textId="77777777" w:rsidR="003067AE" w:rsidRPr="00970B67" w:rsidRDefault="003067AE" w:rsidP="008046E9">
            <w:pPr>
              <w:spacing w:before="0" w:after="0"/>
              <w:rPr>
                <w:sz w:val="22"/>
              </w:rPr>
            </w:pPr>
            <w:r w:rsidRPr="00970B67">
              <w:rPr>
                <w:sz w:val="22"/>
              </w:rPr>
              <w:t>People</w:t>
            </w:r>
          </w:p>
        </w:tc>
        <w:tc>
          <w:tcPr>
            <w:tcW w:w="1110" w:type="dxa"/>
            <w:shd w:val="clear" w:color="auto" w:fill="auto"/>
          </w:tcPr>
          <w:p w14:paraId="06499174" w14:textId="77777777" w:rsidR="003067AE" w:rsidRPr="00970B67" w:rsidRDefault="003067AE" w:rsidP="008046E9">
            <w:pPr>
              <w:spacing w:before="0" w:after="0"/>
              <w:jc w:val="center"/>
              <w:rPr>
                <w:sz w:val="22"/>
              </w:rPr>
            </w:pPr>
            <w:r w:rsidRPr="00970B67">
              <w:rPr>
                <w:sz w:val="22"/>
              </w:rPr>
              <w:t>1</w:t>
            </w:r>
          </w:p>
        </w:tc>
        <w:tc>
          <w:tcPr>
            <w:tcW w:w="1235" w:type="dxa"/>
            <w:shd w:val="clear" w:color="auto" w:fill="auto"/>
          </w:tcPr>
          <w:p w14:paraId="4F5DB341" w14:textId="77777777" w:rsidR="003067AE" w:rsidRPr="00970B67" w:rsidRDefault="003067AE" w:rsidP="008046E9">
            <w:pPr>
              <w:spacing w:before="0" w:after="0"/>
              <w:jc w:val="center"/>
              <w:rPr>
                <w:sz w:val="22"/>
              </w:rPr>
            </w:pPr>
            <w:r w:rsidRPr="00970B67">
              <w:rPr>
                <w:sz w:val="22"/>
              </w:rPr>
              <w:t>1</w:t>
            </w:r>
          </w:p>
        </w:tc>
        <w:tc>
          <w:tcPr>
            <w:tcW w:w="1624" w:type="dxa"/>
            <w:shd w:val="clear" w:color="auto" w:fill="auto"/>
          </w:tcPr>
          <w:p w14:paraId="58B2B395" w14:textId="77777777" w:rsidR="003067AE" w:rsidRPr="00970B67" w:rsidRDefault="003067AE" w:rsidP="008046E9">
            <w:pPr>
              <w:spacing w:before="0" w:after="0"/>
              <w:jc w:val="center"/>
              <w:rPr>
                <w:sz w:val="22"/>
              </w:rPr>
            </w:pPr>
            <w:r w:rsidRPr="00970B67">
              <w:rPr>
                <w:sz w:val="22"/>
              </w:rPr>
              <w:t>1</w:t>
            </w:r>
          </w:p>
        </w:tc>
        <w:tc>
          <w:tcPr>
            <w:tcW w:w="1650" w:type="dxa"/>
          </w:tcPr>
          <w:p w14:paraId="5AA03557" w14:textId="77777777" w:rsidR="003067AE" w:rsidRPr="00970B67" w:rsidRDefault="003067AE" w:rsidP="008046E9">
            <w:pPr>
              <w:spacing w:before="0" w:after="0"/>
              <w:jc w:val="center"/>
              <w:rPr>
                <w:sz w:val="22"/>
              </w:rPr>
            </w:pPr>
            <w:r w:rsidRPr="00970B67">
              <w:rPr>
                <w:sz w:val="22"/>
              </w:rPr>
              <w:t>3</w:t>
            </w:r>
          </w:p>
        </w:tc>
      </w:tr>
      <w:tr w:rsidR="003067AE" w:rsidRPr="00970B67" w14:paraId="64BB6E5D" w14:textId="77777777" w:rsidTr="00970B67">
        <w:tc>
          <w:tcPr>
            <w:tcW w:w="3397" w:type="dxa"/>
          </w:tcPr>
          <w:p w14:paraId="49214D0C" w14:textId="77777777" w:rsidR="003067AE" w:rsidRPr="00970B67" w:rsidRDefault="003067AE" w:rsidP="008046E9">
            <w:pPr>
              <w:spacing w:before="0" w:after="0"/>
              <w:rPr>
                <w:sz w:val="22"/>
              </w:rPr>
            </w:pPr>
            <w:r w:rsidRPr="00970B67">
              <w:rPr>
                <w:sz w:val="22"/>
              </w:rPr>
              <w:t>Planned Care</w:t>
            </w:r>
          </w:p>
        </w:tc>
        <w:tc>
          <w:tcPr>
            <w:tcW w:w="1110" w:type="dxa"/>
            <w:shd w:val="clear" w:color="auto" w:fill="auto"/>
          </w:tcPr>
          <w:p w14:paraId="1D959576" w14:textId="77777777" w:rsidR="003067AE" w:rsidRPr="00970B67" w:rsidRDefault="003067AE" w:rsidP="008046E9">
            <w:pPr>
              <w:spacing w:before="0" w:after="0"/>
              <w:jc w:val="center"/>
              <w:rPr>
                <w:sz w:val="22"/>
              </w:rPr>
            </w:pPr>
            <w:r w:rsidRPr="00970B67">
              <w:rPr>
                <w:sz w:val="22"/>
              </w:rPr>
              <w:t>1</w:t>
            </w:r>
          </w:p>
        </w:tc>
        <w:tc>
          <w:tcPr>
            <w:tcW w:w="1235" w:type="dxa"/>
            <w:shd w:val="clear" w:color="auto" w:fill="auto"/>
          </w:tcPr>
          <w:p w14:paraId="0E938A04" w14:textId="77777777" w:rsidR="003067AE" w:rsidRPr="00970B67" w:rsidRDefault="003067AE" w:rsidP="008046E9">
            <w:pPr>
              <w:spacing w:before="0" w:after="0"/>
              <w:jc w:val="center"/>
              <w:rPr>
                <w:sz w:val="22"/>
              </w:rPr>
            </w:pPr>
            <w:r w:rsidRPr="00970B67">
              <w:rPr>
                <w:sz w:val="22"/>
              </w:rPr>
              <w:t>2</w:t>
            </w:r>
          </w:p>
        </w:tc>
        <w:tc>
          <w:tcPr>
            <w:tcW w:w="1624" w:type="dxa"/>
            <w:shd w:val="clear" w:color="auto" w:fill="auto"/>
          </w:tcPr>
          <w:p w14:paraId="4D226D21" w14:textId="77777777" w:rsidR="003067AE" w:rsidRPr="00970B67" w:rsidRDefault="003067AE" w:rsidP="008046E9">
            <w:pPr>
              <w:spacing w:before="0" w:after="0"/>
              <w:jc w:val="center"/>
              <w:rPr>
                <w:sz w:val="22"/>
              </w:rPr>
            </w:pPr>
            <w:r w:rsidRPr="00970B67">
              <w:rPr>
                <w:sz w:val="22"/>
              </w:rPr>
              <w:t>2</w:t>
            </w:r>
          </w:p>
        </w:tc>
        <w:tc>
          <w:tcPr>
            <w:tcW w:w="1650" w:type="dxa"/>
          </w:tcPr>
          <w:p w14:paraId="3CC1753D" w14:textId="77777777" w:rsidR="003067AE" w:rsidRPr="00970B67" w:rsidRDefault="003067AE" w:rsidP="008046E9">
            <w:pPr>
              <w:spacing w:before="0" w:after="0"/>
              <w:jc w:val="center"/>
              <w:rPr>
                <w:sz w:val="22"/>
              </w:rPr>
            </w:pPr>
            <w:r w:rsidRPr="00970B67">
              <w:rPr>
                <w:sz w:val="22"/>
              </w:rPr>
              <w:t>5</w:t>
            </w:r>
          </w:p>
        </w:tc>
      </w:tr>
      <w:tr w:rsidR="003067AE" w:rsidRPr="00970B67" w14:paraId="74E0A0E2" w14:textId="77777777" w:rsidTr="00970B67">
        <w:tc>
          <w:tcPr>
            <w:tcW w:w="3397" w:type="dxa"/>
          </w:tcPr>
          <w:p w14:paraId="0585D163" w14:textId="77777777" w:rsidR="003067AE" w:rsidRPr="00970B67" w:rsidRDefault="003067AE" w:rsidP="008046E9">
            <w:pPr>
              <w:spacing w:before="0" w:after="0"/>
              <w:rPr>
                <w:sz w:val="22"/>
              </w:rPr>
            </w:pPr>
            <w:r w:rsidRPr="00970B67">
              <w:rPr>
                <w:sz w:val="22"/>
              </w:rPr>
              <w:t>Population Health Management</w:t>
            </w:r>
          </w:p>
        </w:tc>
        <w:tc>
          <w:tcPr>
            <w:tcW w:w="1110" w:type="dxa"/>
            <w:shd w:val="clear" w:color="auto" w:fill="auto"/>
          </w:tcPr>
          <w:p w14:paraId="79BE7025" w14:textId="77777777" w:rsidR="003067AE" w:rsidRPr="00970B67" w:rsidRDefault="003067AE" w:rsidP="008046E9">
            <w:pPr>
              <w:spacing w:before="0" w:after="0"/>
              <w:jc w:val="center"/>
              <w:rPr>
                <w:sz w:val="22"/>
              </w:rPr>
            </w:pPr>
            <w:r w:rsidRPr="00970B67">
              <w:rPr>
                <w:sz w:val="22"/>
              </w:rPr>
              <w:t>0</w:t>
            </w:r>
          </w:p>
        </w:tc>
        <w:tc>
          <w:tcPr>
            <w:tcW w:w="1235" w:type="dxa"/>
            <w:shd w:val="clear" w:color="auto" w:fill="auto"/>
          </w:tcPr>
          <w:p w14:paraId="19E12997" w14:textId="77777777" w:rsidR="003067AE" w:rsidRPr="00970B67" w:rsidRDefault="003067AE" w:rsidP="008046E9">
            <w:pPr>
              <w:spacing w:before="0" w:after="0"/>
              <w:jc w:val="center"/>
              <w:rPr>
                <w:sz w:val="22"/>
              </w:rPr>
            </w:pPr>
            <w:r w:rsidRPr="00970B67">
              <w:rPr>
                <w:sz w:val="22"/>
              </w:rPr>
              <w:t>3</w:t>
            </w:r>
          </w:p>
        </w:tc>
        <w:tc>
          <w:tcPr>
            <w:tcW w:w="1624" w:type="dxa"/>
            <w:shd w:val="clear" w:color="auto" w:fill="auto"/>
          </w:tcPr>
          <w:p w14:paraId="6E0539EE" w14:textId="77777777" w:rsidR="003067AE" w:rsidRPr="00970B67" w:rsidRDefault="003067AE" w:rsidP="008046E9">
            <w:pPr>
              <w:spacing w:before="0" w:after="0"/>
              <w:jc w:val="center"/>
              <w:rPr>
                <w:sz w:val="22"/>
              </w:rPr>
            </w:pPr>
            <w:r w:rsidRPr="00970B67">
              <w:rPr>
                <w:sz w:val="22"/>
              </w:rPr>
              <w:t>0</w:t>
            </w:r>
          </w:p>
        </w:tc>
        <w:tc>
          <w:tcPr>
            <w:tcW w:w="1650" w:type="dxa"/>
          </w:tcPr>
          <w:p w14:paraId="598C4284" w14:textId="77777777" w:rsidR="003067AE" w:rsidRPr="00970B67" w:rsidRDefault="003067AE" w:rsidP="008046E9">
            <w:pPr>
              <w:spacing w:before="0" w:after="0"/>
              <w:jc w:val="center"/>
              <w:rPr>
                <w:sz w:val="22"/>
              </w:rPr>
            </w:pPr>
            <w:r w:rsidRPr="00970B67">
              <w:rPr>
                <w:sz w:val="22"/>
              </w:rPr>
              <w:t>3</w:t>
            </w:r>
          </w:p>
        </w:tc>
      </w:tr>
      <w:tr w:rsidR="003067AE" w:rsidRPr="00970B67" w14:paraId="641FBC3D" w14:textId="77777777" w:rsidTr="00970B67">
        <w:tc>
          <w:tcPr>
            <w:tcW w:w="3397" w:type="dxa"/>
          </w:tcPr>
          <w:p w14:paraId="6889039F" w14:textId="77777777" w:rsidR="003067AE" w:rsidRPr="00970B67" w:rsidRDefault="003067AE" w:rsidP="008046E9">
            <w:pPr>
              <w:spacing w:before="0" w:after="0"/>
              <w:rPr>
                <w:sz w:val="22"/>
              </w:rPr>
            </w:pPr>
            <w:r w:rsidRPr="00970B67">
              <w:rPr>
                <w:sz w:val="22"/>
              </w:rPr>
              <w:t>Primary Care</w:t>
            </w:r>
          </w:p>
        </w:tc>
        <w:tc>
          <w:tcPr>
            <w:tcW w:w="1110" w:type="dxa"/>
            <w:shd w:val="clear" w:color="auto" w:fill="auto"/>
          </w:tcPr>
          <w:p w14:paraId="6B5CDEF9" w14:textId="77777777" w:rsidR="003067AE" w:rsidRPr="00970B67" w:rsidRDefault="003067AE" w:rsidP="008046E9">
            <w:pPr>
              <w:spacing w:before="0" w:after="0"/>
              <w:jc w:val="center"/>
              <w:rPr>
                <w:sz w:val="22"/>
              </w:rPr>
            </w:pPr>
            <w:r w:rsidRPr="00970B67">
              <w:rPr>
                <w:sz w:val="22"/>
              </w:rPr>
              <w:t>2</w:t>
            </w:r>
          </w:p>
        </w:tc>
        <w:tc>
          <w:tcPr>
            <w:tcW w:w="1235" w:type="dxa"/>
            <w:shd w:val="clear" w:color="auto" w:fill="auto"/>
          </w:tcPr>
          <w:p w14:paraId="64E2EC18" w14:textId="77777777" w:rsidR="003067AE" w:rsidRPr="00970B67" w:rsidRDefault="003067AE" w:rsidP="008046E9">
            <w:pPr>
              <w:spacing w:before="0" w:after="0"/>
              <w:jc w:val="center"/>
              <w:rPr>
                <w:sz w:val="22"/>
              </w:rPr>
            </w:pPr>
            <w:r w:rsidRPr="00970B67">
              <w:rPr>
                <w:sz w:val="22"/>
              </w:rPr>
              <w:t>5</w:t>
            </w:r>
          </w:p>
        </w:tc>
        <w:tc>
          <w:tcPr>
            <w:tcW w:w="1624" w:type="dxa"/>
            <w:shd w:val="clear" w:color="auto" w:fill="auto"/>
          </w:tcPr>
          <w:p w14:paraId="70883573" w14:textId="77777777" w:rsidR="003067AE" w:rsidRPr="00970B67" w:rsidRDefault="003067AE" w:rsidP="008046E9">
            <w:pPr>
              <w:spacing w:before="0" w:after="0"/>
              <w:jc w:val="center"/>
              <w:rPr>
                <w:sz w:val="22"/>
              </w:rPr>
            </w:pPr>
            <w:r w:rsidRPr="00970B67">
              <w:rPr>
                <w:sz w:val="22"/>
              </w:rPr>
              <w:t>0</w:t>
            </w:r>
          </w:p>
        </w:tc>
        <w:tc>
          <w:tcPr>
            <w:tcW w:w="1650" w:type="dxa"/>
          </w:tcPr>
          <w:p w14:paraId="347769B9" w14:textId="77777777" w:rsidR="003067AE" w:rsidRPr="00970B67" w:rsidRDefault="003067AE" w:rsidP="008046E9">
            <w:pPr>
              <w:spacing w:before="0" w:after="0"/>
              <w:jc w:val="center"/>
              <w:rPr>
                <w:sz w:val="22"/>
              </w:rPr>
            </w:pPr>
            <w:r w:rsidRPr="00970B67">
              <w:rPr>
                <w:sz w:val="22"/>
              </w:rPr>
              <w:t>7</w:t>
            </w:r>
          </w:p>
        </w:tc>
      </w:tr>
      <w:tr w:rsidR="003067AE" w:rsidRPr="00970B67" w14:paraId="533BCA11" w14:textId="77777777" w:rsidTr="00970B67">
        <w:tc>
          <w:tcPr>
            <w:tcW w:w="3397" w:type="dxa"/>
          </w:tcPr>
          <w:p w14:paraId="30856ECA" w14:textId="77777777" w:rsidR="003067AE" w:rsidRPr="00970B67" w:rsidRDefault="003067AE" w:rsidP="008046E9">
            <w:pPr>
              <w:spacing w:before="0" w:after="0"/>
              <w:rPr>
                <w:sz w:val="22"/>
              </w:rPr>
            </w:pPr>
            <w:r w:rsidRPr="00970B67">
              <w:rPr>
                <w:sz w:val="22"/>
              </w:rPr>
              <w:t>Stewardship</w:t>
            </w:r>
          </w:p>
        </w:tc>
        <w:tc>
          <w:tcPr>
            <w:tcW w:w="1110" w:type="dxa"/>
            <w:shd w:val="clear" w:color="auto" w:fill="auto"/>
          </w:tcPr>
          <w:p w14:paraId="09F8142D" w14:textId="77777777" w:rsidR="003067AE" w:rsidRPr="00970B67" w:rsidRDefault="003067AE" w:rsidP="008046E9">
            <w:pPr>
              <w:spacing w:before="0" w:after="0"/>
              <w:jc w:val="center"/>
              <w:rPr>
                <w:sz w:val="22"/>
              </w:rPr>
            </w:pPr>
            <w:r w:rsidRPr="00970B67">
              <w:rPr>
                <w:sz w:val="22"/>
              </w:rPr>
              <w:t>0</w:t>
            </w:r>
          </w:p>
        </w:tc>
        <w:tc>
          <w:tcPr>
            <w:tcW w:w="1235" w:type="dxa"/>
            <w:shd w:val="clear" w:color="auto" w:fill="auto"/>
          </w:tcPr>
          <w:p w14:paraId="0D2ABF31" w14:textId="77777777" w:rsidR="003067AE" w:rsidRPr="00970B67" w:rsidRDefault="003067AE" w:rsidP="008046E9">
            <w:pPr>
              <w:spacing w:before="0" w:after="0"/>
              <w:jc w:val="center"/>
              <w:rPr>
                <w:sz w:val="22"/>
              </w:rPr>
            </w:pPr>
            <w:r w:rsidRPr="00970B67">
              <w:rPr>
                <w:sz w:val="22"/>
              </w:rPr>
              <w:t>0</w:t>
            </w:r>
          </w:p>
        </w:tc>
        <w:tc>
          <w:tcPr>
            <w:tcW w:w="1624" w:type="dxa"/>
            <w:shd w:val="clear" w:color="auto" w:fill="auto"/>
          </w:tcPr>
          <w:p w14:paraId="3BF58129" w14:textId="77777777" w:rsidR="003067AE" w:rsidRPr="00970B67" w:rsidRDefault="003067AE" w:rsidP="008046E9">
            <w:pPr>
              <w:spacing w:before="0" w:after="0"/>
              <w:jc w:val="center"/>
              <w:rPr>
                <w:sz w:val="22"/>
              </w:rPr>
            </w:pPr>
            <w:r w:rsidRPr="00970B67">
              <w:rPr>
                <w:sz w:val="22"/>
              </w:rPr>
              <w:t>0</w:t>
            </w:r>
          </w:p>
        </w:tc>
        <w:tc>
          <w:tcPr>
            <w:tcW w:w="1650" w:type="dxa"/>
          </w:tcPr>
          <w:p w14:paraId="5468CAE0" w14:textId="77777777" w:rsidR="003067AE" w:rsidRPr="00970B67" w:rsidRDefault="003067AE" w:rsidP="008046E9">
            <w:pPr>
              <w:spacing w:before="0" w:after="0"/>
              <w:jc w:val="center"/>
              <w:rPr>
                <w:sz w:val="22"/>
              </w:rPr>
            </w:pPr>
            <w:r w:rsidRPr="00970B67">
              <w:rPr>
                <w:sz w:val="22"/>
              </w:rPr>
              <w:t>0</w:t>
            </w:r>
          </w:p>
        </w:tc>
      </w:tr>
      <w:tr w:rsidR="003067AE" w:rsidRPr="00970B67" w14:paraId="001F1011" w14:textId="77777777" w:rsidTr="00970B67">
        <w:tc>
          <w:tcPr>
            <w:tcW w:w="3397" w:type="dxa"/>
          </w:tcPr>
          <w:p w14:paraId="37C3CE16" w14:textId="77777777" w:rsidR="003067AE" w:rsidRPr="00970B67" w:rsidRDefault="003067AE" w:rsidP="008046E9">
            <w:pPr>
              <w:spacing w:before="0" w:after="0"/>
              <w:rPr>
                <w:sz w:val="22"/>
              </w:rPr>
            </w:pPr>
            <w:r w:rsidRPr="00970B67">
              <w:rPr>
                <w:sz w:val="22"/>
              </w:rPr>
              <w:t>Urgent Emergency Care</w:t>
            </w:r>
          </w:p>
        </w:tc>
        <w:tc>
          <w:tcPr>
            <w:tcW w:w="1110" w:type="dxa"/>
            <w:shd w:val="clear" w:color="auto" w:fill="auto"/>
          </w:tcPr>
          <w:p w14:paraId="6DC5E8A6" w14:textId="77777777" w:rsidR="003067AE" w:rsidRPr="00970B67" w:rsidRDefault="003067AE" w:rsidP="008046E9">
            <w:pPr>
              <w:spacing w:before="0" w:after="0"/>
              <w:jc w:val="center"/>
              <w:rPr>
                <w:sz w:val="22"/>
              </w:rPr>
            </w:pPr>
            <w:r w:rsidRPr="00970B67">
              <w:rPr>
                <w:sz w:val="22"/>
              </w:rPr>
              <w:t>2</w:t>
            </w:r>
          </w:p>
        </w:tc>
        <w:tc>
          <w:tcPr>
            <w:tcW w:w="1235" w:type="dxa"/>
            <w:shd w:val="clear" w:color="auto" w:fill="auto"/>
          </w:tcPr>
          <w:p w14:paraId="5C7B0D28" w14:textId="77777777" w:rsidR="003067AE" w:rsidRPr="00970B67" w:rsidRDefault="003067AE" w:rsidP="008046E9">
            <w:pPr>
              <w:spacing w:before="0" w:after="0"/>
              <w:jc w:val="center"/>
              <w:rPr>
                <w:sz w:val="22"/>
              </w:rPr>
            </w:pPr>
            <w:r w:rsidRPr="00970B67">
              <w:rPr>
                <w:sz w:val="22"/>
              </w:rPr>
              <w:t>5</w:t>
            </w:r>
          </w:p>
        </w:tc>
        <w:tc>
          <w:tcPr>
            <w:tcW w:w="1624" w:type="dxa"/>
            <w:shd w:val="clear" w:color="auto" w:fill="auto"/>
          </w:tcPr>
          <w:p w14:paraId="77B4A440" w14:textId="77777777" w:rsidR="003067AE" w:rsidRPr="00970B67" w:rsidRDefault="003067AE" w:rsidP="008046E9">
            <w:pPr>
              <w:spacing w:before="0" w:after="0"/>
              <w:jc w:val="center"/>
              <w:rPr>
                <w:sz w:val="22"/>
              </w:rPr>
            </w:pPr>
            <w:r w:rsidRPr="00970B67">
              <w:rPr>
                <w:sz w:val="22"/>
              </w:rPr>
              <w:t>0</w:t>
            </w:r>
          </w:p>
        </w:tc>
        <w:tc>
          <w:tcPr>
            <w:tcW w:w="1650" w:type="dxa"/>
          </w:tcPr>
          <w:p w14:paraId="680E1A97" w14:textId="77777777" w:rsidR="003067AE" w:rsidRPr="00970B67" w:rsidRDefault="003067AE" w:rsidP="008046E9">
            <w:pPr>
              <w:spacing w:before="0" w:after="0"/>
              <w:jc w:val="center"/>
              <w:rPr>
                <w:sz w:val="22"/>
              </w:rPr>
            </w:pPr>
            <w:r w:rsidRPr="00970B67">
              <w:rPr>
                <w:sz w:val="22"/>
              </w:rPr>
              <w:t>7</w:t>
            </w:r>
          </w:p>
        </w:tc>
      </w:tr>
      <w:tr w:rsidR="003067AE" w:rsidRPr="00970B67" w14:paraId="07214C76" w14:textId="77777777" w:rsidTr="00970B67">
        <w:tc>
          <w:tcPr>
            <w:tcW w:w="3397" w:type="dxa"/>
            <w:tcBorders>
              <w:bottom w:val="single" w:sz="4" w:space="0" w:color="auto"/>
            </w:tcBorders>
          </w:tcPr>
          <w:p w14:paraId="42B7FD4B" w14:textId="77777777" w:rsidR="003067AE" w:rsidRPr="00970B67" w:rsidRDefault="003067AE" w:rsidP="008046E9">
            <w:pPr>
              <w:spacing w:before="0" w:after="0"/>
              <w:rPr>
                <w:sz w:val="22"/>
              </w:rPr>
            </w:pPr>
            <w:r w:rsidRPr="00970B67">
              <w:rPr>
                <w:sz w:val="22"/>
              </w:rPr>
              <w:t>Vaccination</w:t>
            </w:r>
          </w:p>
        </w:tc>
        <w:tc>
          <w:tcPr>
            <w:tcW w:w="1110" w:type="dxa"/>
            <w:tcBorders>
              <w:bottom w:val="single" w:sz="4" w:space="0" w:color="auto"/>
            </w:tcBorders>
            <w:shd w:val="clear" w:color="auto" w:fill="auto"/>
          </w:tcPr>
          <w:p w14:paraId="277D0B07" w14:textId="77777777" w:rsidR="003067AE" w:rsidRPr="00970B67" w:rsidRDefault="003067AE" w:rsidP="008046E9">
            <w:pPr>
              <w:spacing w:before="0" w:after="0"/>
              <w:jc w:val="center"/>
              <w:rPr>
                <w:sz w:val="22"/>
              </w:rPr>
            </w:pPr>
            <w:r w:rsidRPr="00970B67">
              <w:rPr>
                <w:sz w:val="22"/>
              </w:rPr>
              <w:t>0</w:t>
            </w:r>
          </w:p>
        </w:tc>
        <w:tc>
          <w:tcPr>
            <w:tcW w:w="1235" w:type="dxa"/>
            <w:tcBorders>
              <w:bottom w:val="single" w:sz="4" w:space="0" w:color="auto"/>
            </w:tcBorders>
            <w:shd w:val="clear" w:color="auto" w:fill="auto"/>
          </w:tcPr>
          <w:p w14:paraId="031CD92C" w14:textId="77777777" w:rsidR="003067AE" w:rsidRPr="00970B67" w:rsidRDefault="003067AE" w:rsidP="008046E9">
            <w:pPr>
              <w:spacing w:before="0" w:after="0"/>
              <w:jc w:val="center"/>
              <w:rPr>
                <w:sz w:val="22"/>
              </w:rPr>
            </w:pPr>
            <w:r w:rsidRPr="00970B67">
              <w:rPr>
                <w:sz w:val="22"/>
              </w:rPr>
              <w:t>1</w:t>
            </w:r>
          </w:p>
        </w:tc>
        <w:tc>
          <w:tcPr>
            <w:tcW w:w="1624" w:type="dxa"/>
            <w:tcBorders>
              <w:bottom w:val="single" w:sz="4" w:space="0" w:color="auto"/>
            </w:tcBorders>
            <w:shd w:val="clear" w:color="auto" w:fill="auto"/>
          </w:tcPr>
          <w:p w14:paraId="04C4275C" w14:textId="77777777" w:rsidR="003067AE" w:rsidRPr="00970B67" w:rsidRDefault="003067AE" w:rsidP="008046E9">
            <w:pPr>
              <w:spacing w:before="0" w:after="0"/>
              <w:jc w:val="center"/>
              <w:rPr>
                <w:sz w:val="22"/>
              </w:rPr>
            </w:pPr>
            <w:r w:rsidRPr="00970B67">
              <w:rPr>
                <w:sz w:val="22"/>
              </w:rPr>
              <w:t>0</w:t>
            </w:r>
          </w:p>
        </w:tc>
        <w:tc>
          <w:tcPr>
            <w:tcW w:w="1650" w:type="dxa"/>
            <w:tcBorders>
              <w:bottom w:val="single" w:sz="4" w:space="0" w:color="auto"/>
            </w:tcBorders>
          </w:tcPr>
          <w:p w14:paraId="742694A4" w14:textId="77777777" w:rsidR="003067AE" w:rsidRPr="00970B67" w:rsidRDefault="003067AE" w:rsidP="008046E9">
            <w:pPr>
              <w:spacing w:before="0" w:after="0"/>
              <w:jc w:val="center"/>
              <w:rPr>
                <w:sz w:val="22"/>
              </w:rPr>
            </w:pPr>
            <w:r w:rsidRPr="00970B67">
              <w:rPr>
                <w:sz w:val="22"/>
              </w:rPr>
              <w:t>1</w:t>
            </w:r>
          </w:p>
        </w:tc>
      </w:tr>
      <w:tr w:rsidR="003067AE" w:rsidRPr="00970B67" w14:paraId="1D555829" w14:textId="77777777" w:rsidTr="00970B67">
        <w:tc>
          <w:tcPr>
            <w:tcW w:w="3397" w:type="dxa"/>
            <w:tcBorders>
              <w:bottom w:val="single" w:sz="4" w:space="0" w:color="auto"/>
            </w:tcBorders>
            <w:shd w:val="clear" w:color="auto" w:fill="D9D9D9" w:themeFill="background1" w:themeFillShade="D9"/>
          </w:tcPr>
          <w:p w14:paraId="237EFCFF" w14:textId="77777777" w:rsidR="003067AE" w:rsidRPr="00970B67" w:rsidRDefault="003067AE" w:rsidP="008046E9">
            <w:pPr>
              <w:spacing w:before="0" w:after="0"/>
              <w:rPr>
                <w:b/>
                <w:sz w:val="22"/>
              </w:rPr>
            </w:pPr>
            <w:r w:rsidRPr="00970B67">
              <w:rPr>
                <w:b/>
                <w:sz w:val="22"/>
              </w:rPr>
              <w:t>Total as at 31 March 2022</w:t>
            </w:r>
          </w:p>
        </w:tc>
        <w:tc>
          <w:tcPr>
            <w:tcW w:w="1110" w:type="dxa"/>
            <w:tcBorders>
              <w:bottom w:val="single" w:sz="4" w:space="0" w:color="auto"/>
            </w:tcBorders>
            <w:shd w:val="clear" w:color="auto" w:fill="D9D9D9" w:themeFill="background1" w:themeFillShade="D9"/>
          </w:tcPr>
          <w:p w14:paraId="59BC89F8" w14:textId="77777777" w:rsidR="003067AE" w:rsidRPr="00970B67" w:rsidRDefault="003067AE" w:rsidP="008046E9">
            <w:pPr>
              <w:spacing w:before="0" w:after="0"/>
              <w:jc w:val="center"/>
              <w:rPr>
                <w:b/>
                <w:sz w:val="22"/>
              </w:rPr>
            </w:pPr>
            <w:r w:rsidRPr="00970B67">
              <w:rPr>
                <w:b/>
                <w:sz w:val="22"/>
              </w:rPr>
              <w:t>13</w:t>
            </w:r>
          </w:p>
        </w:tc>
        <w:tc>
          <w:tcPr>
            <w:tcW w:w="1235" w:type="dxa"/>
            <w:tcBorders>
              <w:bottom w:val="single" w:sz="4" w:space="0" w:color="auto"/>
            </w:tcBorders>
            <w:shd w:val="clear" w:color="auto" w:fill="D9D9D9" w:themeFill="background1" w:themeFillShade="D9"/>
          </w:tcPr>
          <w:p w14:paraId="3105C5F0" w14:textId="77777777" w:rsidR="003067AE" w:rsidRPr="00970B67" w:rsidRDefault="003067AE" w:rsidP="008046E9">
            <w:pPr>
              <w:spacing w:before="0" w:after="0"/>
              <w:jc w:val="center"/>
              <w:rPr>
                <w:b/>
                <w:sz w:val="22"/>
              </w:rPr>
            </w:pPr>
            <w:r w:rsidRPr="00970B67">
              <w:rPr>
                <w:b/>
                <w:sz w:val="22"/>
              </w:rPr>
              <w:t>47</w:t>
            </w:r>
          </w:p>
        </w:tc>
        <w:tc>
          <w:tcPr>
            <w:tcW w:w="1624" w:type="dxa"/>
            <w:tcBorders>
              <w:bottom w:val="single" w:sz="4" w:space="0" w:color="auto"/>
            </w:tcBorders>
            <w:shd w:val="clear" w:color="auto" w:fill="D9D9D9" w:themeFill="background1" w:themeFillShade="D9"/>
          </w:tcPr>
          <w:p w14:paraId="45874FAB" w14:textId="77777777" w:rsidR="003067AE" w:rsidRPr="00970B67" w:rsidRDefault="003067AE" w:rsidP="008046E9">
            <w:pPr>
              <w:spacing w:before="0" w:after="0"/>
              <w:jc w:val="center"/>
              <w:rPr>
                <w:b/>
                <w:sz w:val="22"/>
              </w:rPr>
            </w:pPr>
            <w:r w:rsidRPr="00970B67">
              <w:rPr>
                <w:b/>
                <w:sz w:val="22"/>
              </w:rPr>
              <w:t xml:space="preserve">8   </w:t>
            </w:r>
          </w:p>
        </w:tc>
        <w:tc>
          <w:tcPr>
            <w:tcW w:w="1650" w:type="dxa"/>
            <w:tcBorders>
              <w:bottom w:val="single" w:sz="4" w:space="0" w:color="auto"/>
            </w:tcBorders>
            <w:shd w:val="clear" w:color="auto" w:fill="D9D9D9" w:themeFill="background1" w:themeFillShade="D9"/>
          </w:tcPr>
          <w:p w14:paraId="730837E6" w14:textId="77777777" w:rsidR="003067AE" w:rsidRPr="00970B67" w:rsidRDefault="003067AE" w:rsidP="008046E9">
            <w:pPr>
              <w:spacing w:before="0" w:after="0"/>
              <w:jc w:val="center"/>
              <w:rPr>
                <w:b/>
                <w:sz w:val="22"/>
              </w:rPr>
            </w:pPr>
            <w:r w:rsidRPr="00970B67">
              <w:rPr>
                <w:b/>
                <w:sz w:val="22"/>
              </w:rPr>
              <w:t>68</w:t>
            </w:r>
          </w:p>
        </w:tc>
      </w:tr>
      <w:tr w:rsidR="00E2234D" w:rsidRPr="00970B67" w14:paraId="0EBE0E41" w14:textId="77777777" w:rsidTr="00970B67">
        <w:trPr>
          <w:tblHeader/>
        </w:trPr>
        <w:tc>
          <w:tcPr>
            <w:tcW w:w="3397" w:type="dxa"/>
            <w:vMerge w:val="restart"/>
            <w:shd w:val="clear" w:color="auto" w:fill="D9D9D9" w:themeFill="background1" w:themeFillShade="D9"/>
          </w:tcPr>
          <w:p w14:paraId="747FF59E" w14:textId="6E0964EF" w:rsidR="00E2234D" w:rsidRPr="00970B67" w:rsidRDefault="00E2234D" w:rsidP="00430F01">
            <w:pPr>
              <w:spacing w:before="0" w:after="0"/>
              <w:rPr>
                <w:b/>
                <w:sz w:val="22"/>
              </w:rPr>
            </w:pPr>
            <w:bookmarkStart w:id="84" w:name="_Hlk101430687"/>
          </w:p>
        </w:tc>
        <w:tc>
          <w:tcPr>
            <w:tcW w:w="3969" w:type="dxa"/>
            <w:gridSpan w:val="3"/>
            <w:shd w:val="clear" w:color="auto" w:fill="D9D9D9" w:themeFill="background1" w:themeFillShade="D9"/>
          </w:tcPr>
          <w:p w14:paraId="6BFE9593" w14:textId="502D1EF4" w:rsidR="00E2234D" w:rsidRPr="00970B67" w:rsidRDefault="00E2234D" w:rsidP="00430F01">
            <w:pPr>
              <w:spacing w:before="0" w:after="0"/>
              <w:jc w:val="center"/>
              <w:rPr>
                <w:b/>
                <w:sz w:val="22"/>
              </w:rPr>
            </w:pPr>
          </w:p>
        </w:tc>
        <w:tc>
          <w:tcPr>
            <w:tcW w:w="1650" w:type="dxa"/>
            <w:vMerge w:val="restart"/>
            <w:shd w:val="clear" w:color="auto" w:fill="D9D9D9" w:themeFill="background1" w:themeFillShade="D9"/>
          </w:tcPr>
          <w:p w14:paraId="20BD06E4" w14:textId="519EB25B" w:rsidR="00E2234D" w:rsidRPr="00970B67" w:rsidRDefault="00E2234D" w:rsidP="00430F01">
            <w:pPr>
              <w:spacing w:before="0" w:after="0"/>
              <w:jc w:val="center"/>
              <w:rPr>
                <w:b/>
                <w:sz w:val="22"/>
              </w:rPr>
            </w:pPr>
          </w:p>
        </w:tc>
      </w:tr>
      <w:tr w:rsidR="00E2234D" w:rsidRPr="0048204F" w14:paraId="13031FE2" w14:textId="77777777" w:rsidTr="00970B67">
        <w:tc>
          <w:tcPr>
            <w:tcW w:w="3397" w:type="dxa"/>
            <w:vMerge/>
            <w:shd w:val="clear" w:color="auto" w:fill="D9D9D9" w:themeFill="background1" w:themeFillShade="D9"/>
          </w:tcPr>
          <w:p w14:paraId="2C359AA6" w14:textId="77777777" w:rsidR="00E2234D" w:rsidRPr="0048204F" w:rsidRDefault="00E2234D" w:rsidP="00430F01">
            <w:pPr>
              <w:spacing w:before="0" w:after="0"/>
              <w:rPr>
                <w:b/>
                <w:szCs w:val="24"/>
              </w:rPr>
            </w:pPr>
          </w:p>
        </w:tc>
        <w:tc>
          <w:tcPr>
            <w:tcW w:w="1110" w:type="dxa"/>
            <w:tcBorders>
              <w:bottom w:val="single" w:sz="4" w:space="0" w:color="auto"/>
            </w:tcBorders>
            <w:shd w:val="clear" w:color="auto" w:fill="00B050"/>
          </w:tcPr>
          <w:p w14:paraId="1F7A8D47" w14:textId="61014D4D" w:rsidR="00E2234D" w:rsidRPr="0048204F" w:rsidRDefault="00E2234D" w:rsidP="00430F01">
            <w:pPr>
              <w:spacing w:before="0" w:after="0"/>
              <w:jc w:val="center"/>
              <w:rPr>
                <w:b/>
                <w:szCs w:val="24"/>
              </w:rPr>
            </w:pPr>
          </w:p>
        </w:tc>
        <w:tc>
          <w:tcPr>
            <w:tcW w:w="1235" w:type="dxa"/>
            <w:tcBorders>
              <w:bottom w:val="single" w:sz="4" w:space="0" w:color="auto"/>
            </w:tcBorders>
            <w:shd w:val="clear" w:color="auto" w:fill="FFC000"/>
          </w:tcPr>
          <w:p w14:paraId="3B8A8E65" w14:textId="276B78AD" w:rsidR="00E2234D" w:rsidRPr="0048204F" w:rsidRDefault="00E2234D" w:rsidP="00430F01">
            <w:pPr>
              <w:spacing w:before="0" w:after="0"/>
              <w:jc w:val="center"/>
              <w:rPr>
                <w:b/>
                <w:szCs w:val="24"/>
              </w:rPr>
            </w:pPr>
          </w:p>
        </w:tc>
        <w:tc>
          <w:tcPr>
            <w:tcW w:w="1624" w:type="dxa"/>
            <w:tcBorders>
              <w:bottom w:val="single" w:sz="4" w:space="0" w:color="auto"/>
            </w:tcBorders>
            <w:shd w:val="clear" w:color="auto" w:fill="FF0000"/>
          </w:tcPr>
          <w:p w14:paraId="4D859BF9" w14:textId="79720D0C" w:rsidR="00E2234D" w:rsidRPr="0048204F" w:rsidRDefault="00E2234D" w:rsidP="00430F01">
            <w:pPr>
              <w:spacing w:before="0" w:after="0"/>
              <w:jc w:val="center"/>
              <w:rPr>
                <w:b/>
                <w:szCs w:val="24"/>
              </w:rPr>
            </w:pPr>
          </w:p>
        </w:tc>
        <w:tc>
          <w:tcPr>
            <w:tcW w:w="1650" w:type="dxa"/>
            <w:vMerge/>
            <w:tcBorders>
              <w:bottom w:val="single" w:sz="4" w:space="0" w:color="auto"/>
            </w:tcBorders>
            <w:shd w:val="clear" w:color="auto" w:fill="D9D9D9" w:themeFill="background1" w:themeFillShade="D9"/>
          </w:tcPr>
          <w:p w14:paraId="19BD6CC9" w14:textId="77777777" w:rsidR="00E2234D" w:rsidRPr="0048204F" w:rsidRDefault="00E2234D" w:rsidP="00430F01">
            <w:pPr>
              <w:spacing w:before="0" w:after="0"/>
              <w:jc w:val="center"/>
              <w:rPr>
                <w:b/>
                <w:szCs w:val="24"/>
              </w:rPr>
            </w:pPr>
          </w:p>
        </w:tc>
      </w:tr>
    </w:tbl>
    <w:bookmarkEnd w:id="84"/>
    <w:p w14:paraId="0385ACC1" w14:textId="0C82EF35" w:rsidR="00E2234D" w:rsidRPr="0048204F" w:rsidRDefault="00E2234D" w:rsidP="00F042F6">
      <w:pPr>
        <w:pStyle w:val="BodyText"/>
        <w:rPr>
          <w:lang w:eastAsia="en-GB"/>
        </w:rPr>
      </w:pPr>
      <w:r w:rsidRPr="0048204F">
        <w:rPr>
          <w:lang w:eastAsia="en-GB"/>
        </w:rPr>
        <w:t xml:space="preserve">During 2021/22 the MSE CCG’s risk profile has seen the number of red rated risks decrease.   As of </w:t>
      </w:r>
      <w:r w:rsidR="006C2D74" w:rsidRPr="0048204F">
        <w:rPr>
          <w:lang w:eastAsia="en-GB"/>
        </w:rPr>
        <w:t>31 March 2022,</w:t>
      </w:r>
      <w:r w:rsidRPr="0048204F">
        <w:rPr>
          <w:lang w:eastAsia="en-GB"/>
        </w:rPr>
        <w:t xml:space="preserve"> there were 8 red-rated risks, which related to the following 5 areas of the CCG’s business:</w:t>
      </w:r>
    </w:p>
    <w:p w14:paraId="3A4129FA" w14:textId="64706815" w:rsidR="00E2234D" w:rsidRPr="00F042F6" w:rsidRDefault="00E2234D" w:rsidP="003A3592">
      <w:pPr>
        <w:pStyle w:val="BodyText"/>
        <w:spacing w:before="360"/>
        <w:rPr>
          <w:rFonts w:eastAsia="Calibri"/>
          <w:b/>
          <w:bCs/>
          <w:lang w:eastAsia="en-GB"/>
        </w:rPr>
      </w:pPr>
      <w:r w:rsidRPr="00F042F6">
        <w:rPr>
          <w:b/>
          <w:bCs/>
          <w:lang w:eastAsia="en-GB"/>
        </w:rPr>
        <w:t>Referral to Treatment (RTT) standard, cancer, access to service and capacity</w:t>
      </w:r>
    </w:p>
    <w:p w14:paraId="7E226116" w14:textId="77777777" w:rsidR="00825B47" w:rsidRDefault="00E2234D" w:rsidP="00825B47">
      <w:pPr>
        <w:spacing w:after="120"/>
      </w:pPr>
      <w:r w:rsidRPr="0048204F">
        <w:rPr>
          <w:rFonts w:eastAsia="Calibri" w:cs="Times New Roman"/>
        </w:rPr>
        <w:t>The CCGs continue to work with the Mid and South Essex NHS Foundation Trust (MSEFT) to address Licence Undertakings.  Arrangements are in place to ensure oversight of the required actions to address RTT poor performance.  There has been a significant impact on performance as a direct result of the C</w:t>
      </w:r>
      <w:r w:rsidR="003067AE">
        <w:rPr>
          <w:rFonts w:eastAsia="Calibri" w:cs="Times New Roman"/>
        </w:rPr>
        <w:t>ovid</w:t>
      </w:r>
      <w:r w:rsidRPr="0048204F">
        <w:rPr>
          <w:rFonts w:eastAsia="Calibri" w:cs="Times New Roman"/>
        </w:rPr>
        <w:t>-19 pandemic.  In partnership with NHS England, plans, oversight groups and reporting processes have been established to oversee restoration</w:t>
      </w:r>
      <w:r w:rsidRPr="00825B47">
        <w:rPr>
          <w:rFonts w:eastAsia="Calibri" w:cs="Times New Roman"/>
        </w:rPr>
        <w:t>.</w:t>
      </w:r>
      <w:r w:rsidR="00825B47" w:rsidRPr="00825B47">
        <w:t xml:space="preserve"> </w:t>
      </w:r>
    </w:p>
    <w:p w14:paraId="411E6451" w14:textId="161F83DF" w:rsidR="00825B47" w:rsidRDefault="00825B47" w:rsidP="00825B47">
      <w:pPr>
        <w:spacing w:after="120"/>
      </w:pPr>
      <w:r w:rsidRPr="00825B47">
        <w:t>The System Quality section above provides an overview of action taken by MSE Quality teams to support MSEFT to undertake deep dive harm reviews on all patients whose care pathways breached cancer and RTT standards.</w:t>
      </w:r>
    </w:p>
    <w:p w14:paraId="61CA1C70" w14:textId="17DC92AF" w:rsidR="00E2234D" w:rsidRPr="00F042F6" w:rsidRDefault="00E2234D" w:rsidP="00F042F6">
      <w:pPr>
        <w:pStyle w:val="BodyText"/>
        <w:rPr>
          <w:rFonts w:eastAsia="Calibri"/>
          <w:b/>
          <w:bCs/>
        </w:rPr>
      </w:pPr>
      <w:r w:rsidRPr="00F042F6">
        <w:rPr>
          <w:b/>
          <w:bCs/>
        </w:rPr>
        <w:t>Maternity services</w:t>
      </w:r>
    </w:p>
    <w:p w14:paraId="771ABBA0" w14:textId="3987CF13" w:rsidR="00825B47" w:rsidRDefault="00E2234D" w:rsidP="00825B47">
      <w:pPr>
        <w:rPr>
          <w:rFonts w:ascii="Calibri" w:hAnsi="Calibri"/>
          <w:color w:val="FF0000"/>
          <w:sz w:val="22"/>
        </w:rPr>
      </w:pPr>
      <w:r w:rsidRPr="0048204F">
        <w:rPr>
          <w:rFonts w:eastAsia="Calibri" w:cs="Times New Roman"/>
        </w:rPr>
        <w:t xml:space="preserve">Arrangements are in place (as part of the MSEFT Licence Undertakings) to address significant concerns relating to maternity services, particularly those identified in the Care Quality Commission report for Basildon Hospital.   The Mid and South Essex </w:t>
      </w:r>
      <w:r w:rsidRPr="0048204F">
        <w:rPr>
          <w:rFonts w:eastAsia="Calibri" w:cs="Times New Roman"/>
        </w:rPr>
        <w:lastRenderedPageBreak/>
        <w:t xml:space="preserve">Local Maternity and Neonatal System (LMNS) are working with MSEFT to support workforce recruitment and retention measures and the Maternity Improvement Plan, including a review of the findings set out Donna Ockenden’s reports following her </w:t>
      </w:r>
      <w:r w:rsidRPr="00825B47">
        <w:rPr>
          <w:rFonts w:eastAsia="Calibri" w:cs="Times New Roman"/>
        </w:rPr>
        <w:t>independent review of maternity services to assure the system and identify any further action required.</w:t>
      </w:r>
      <w:r w:rsidR="00825B47" w:rsidRPr="00825B47">
        <w:t xml:space="preserve"> Further information on maternity services is provided under the Care Quality Commission section of this report. </w:t>
      </w:r>
    </w:p>
    <w:p w14:paraId="4099FCB1" w14:textId="340CD0B4" w:rsidR="00E2234D" w:rsidRPr="00F042F6" w:rsidRDefault="00E2234D" w:rsidP="00F042F6">
      <w:pPr>
        <w:pStyle w:val="BodyText"/>
        <w:rPr>
          <w:b/>
          <w:bCs/>
          <w:lang w:eastAsia="en-GB"/>
        </w:rPr>
      </w:pPr>
      <w:r w:rsidRPr="00F042F6">
        <w:rPr>
          <w:b/>
          <w:bCs/>
          <w:lang w:eastAsia="en-GB"/>
        </w:rPr>
        <w:t xml:space="preserve">Mental health services </w:t>
      </w:r>
    </w:p>
    <w:p w14:paraId="6E7FFBB9" w14:textId="77777777" w:rsidR="00E2234D" w:rsidRPr="0048204F" w:rsidRDefault="00E2234D" w:rsidP="00E2234D">
      <w:pPr>
        <w:rPr>
          <w:lang w:eastAsia="en-GB"/>
        </w:rPr>
      </w:pPr>
      <w:r w:rsidRPr="0048204F">
        <w:rPr>
          <w:lang w:eastAsia="en-GB"/>
        </w:rPr>
        <w:t>The Essex Mental Health Independent Inquiry is investigating matters surrounding the deaths of mental health inpatients across NHS Trusts in Essex between 2000 and 2020. The Inquiry will hear evidence from families, carers, and friends of those who died; others with experience of mental health inpatient care in Essex during the 21 year period; as well as staff, former-staff, relevant professionals, and organisations. The Inquiry is independent of government and the health care system.</w:t>
      </w:r>
    </w:p>
    <w:p w14:paraId="3EE8D7DA" w14:textId="4783F635" w:rsidR="00E2234D" w:rsidRPr="00F042F6" w:rsidRDefault="00E2234D" w:rsidP="00F042F6">
      <w:pPr>
        <w:pStyle w:val="BodyText"/>
        <w:rPr>
          <w:b/>
          <w:bCs/>
        </w:rPr>
      </w:pPr>
      <w:r w:rsidRPr="00F042F6">
        <w:rPr>
          <w:b/>
          <w:bCs/>
        </w:rPr>
        <w:t>Workforce</w:t>
      </w:r>
    </w:p>
    <w:p w14:paraId="05AD928D" w14:textId="77777777" w:rsidR="00E2234D" w:rsidRPr="0048204F" w:rsidRDefault="00E2234D" w:rsidP="00E2234D">
      <w:pPr>
        <w:spacing w:before="0" w:after="0"/>
        <w:rPr>
          <w:rFonts w:eastAsia="Calibri" w:cs="Times New Roman"/>
          <w:color w:val="FF0000"/>
        </w:rPr>
      </w:pPr>
      <w:r w:rsidRPr="0048204F">
        <w:rPr>
          <w:rFonts w:eastAsia="Calibri" w:cs="Times New Roman"/>
        </w:rPr>
        <w:t>Workforce vacancy levels persist across MSE particularly in nursing and midwifery areas. Ongoing international and domestic recruitment initiatives are in place with a targeted retention strategy running in parallel. The MSE system has recently trialled a large in-person recruitment event for entry level roles, which resulted in 170 plus offers being made in one day. Similar initiatives will be rolled out across the system during 2022/2023.</w:t>
      </w:r>
    </w:p>
    <w:p w14:paraId="6EDBE238" w14:textId="239DC8C6" w:rsidR="00E2234D" w:rsidRPr="00F042F6" w:rsidRDefault="00E2234D" w:rsidP="00F042F6">
      <w:pPr>
        <w:pStyle w:val="BodyText"/>
        <w:rPr>
          <w:b/>
          <w:bCs/>
        </w:rPr>
      </w:pPr>
      <w:r w:rsidRPr="00F042F6">
        <w:rPr>
          <w:b/>
          <w:bCs/>
        </w:rPr>
        <w:t>Financial Impact of Elective Recovery</w:t>
      </w:r>
    </w:p>
    <w:p w14:paraId="048264A0" w14:textId="69ACA7AC" w:rsidR="003A63C9" w:rsidRDefault="00E2234D" w:rsidP="00E2234D">
      <w:pPr>
        <w:rPr>
          <w:rFonts w:eastAsia="Calibri" w:cs="Times New Roman"/>
        </w:rPr>
      </w:pPr>
      <w:r w:rsidRPr="0048204F">
        <w:rPr>
          <w:rFonts w:eastAsia="Calibri" w:cs="Times New Roman"/>
        </w:rPr>
        <w:t xml:space="preserve">The submitted plans for Half 2 (H2) 2021/22 did not include additional Elective Recovery Fund income (ERF) within the system. This led to an income shortfall which has been mitigated by a mixture of additional efficiency savings within the system and some additional non-recurrent funding. </w:t>
      </w:r>
    </w:p>
    <w:p w14:paraId="03B680E1" w14:textId="4DC8E839" w:rsidR="008977B1" w:rsidRPr="00A110D0" w:rsidRDefault="008977B1" w:rsidP="00FF0E5D">
      <w:pPr>
        <w:pStyle w:val="Heading3"/>
      </w:pPr>
      <w:bookmarkStart w:id="85" w:name="_Toc107389451"/>
      <w:r w:rsidRPr="00A110D0">
        <w:t>Sustainable Development</w:t>
      </w:r>
      <w:bookmarkEnd w:id="85"/>
    </w:p>
    <w:p w14:paraId="0B7AE85F" w14:textId="77777777" w:rsidR="008977B1" w:rsidRPr="008931E6" w:rsidRDefault="008977B1" w:rsidP="008931E6">
      <w:pPr>
        <w:pStyle w:val="BodyText"/>
        <w:rPr>
          <w:b/>
          <w:bCs/>
          <w:sz w:val="28"/>
          <w:szCs w:val="28"/>
        </w:rPr>
      </w:pPr>
      <w:r w:rsidRPr="008931E6">
        <w:rPr>
          <w:b/>
          <w:bCs/>
          <w:sz w:val="28"/>
          <w:szCs w:val="28"/>
        </w:rPr>
        <w:t>Introduction</w:t>
      </w:r>
    </w:p>
    <w:p w14:paraId="05313392" w14:textId="77777777" w:rsidR="008977B1" w:rsidRPr="00D8591B" w:rsidRDefault="008977B1" w:rsidP="008977B1">
      <w:pPr>
        <w:tabs>
          <w:tab w:val="left" w:pos="0"/>
        </w:tabs>
        <w:spacing w:before="120"/>
        <w:rPr>
          <w:lang w:val="en" w:eastAsia="en-GB"/>
        </w:rPr>
      </w:pPr>
      <w:r w:rsidRPr="00D8591B">
        <w:rPr>
          <w:lang w:val="en" w:eastAsia="en-GB"/>
        </w:rPr>
        <w:t>As an NHS</w:t>
      </w:r>
      <w:r w:rsidRPr="00D8591B">
        <w:rPr>
          <w:lang w:eastAsia="en-GB"/>
        </w:rPr>
        <w:t xml:space="preserve"> organisation</w:t>
      </w:r>
      <w:r w:rsidRPr="00D8591B">
        <w:rPr>
          <w:lang w:val="en" w:eastAsia="en-GB"/>
        </w:rPr>
        <w:t>, and as a spender of public funds, we have an obligation to work in a way that has a positive effect on the communities for which we commission and procure healthcare services.  Sustainability means spending public money well, the smart and efficient use of natural resources and building healthy, resilient communities.  By making the most of social, environmental, and economic assets we can improve health both in the immediate and long term even in the context of rising cost of natural resources.  Spending money well and considering the social and environmental impacts is enshrined in the Public Services (Social Value) Act (2012).</w:t>
      </w:r>
    </w:p>
    <w:p w14:paraId="4B941E36" w14:textId="77777777" w:rsidR="008977B1" w:rsidRPr="00D8591B" w:rsidRDefault="008977B1" w:rsidP="008977B1">
      <w:pPr>
        <w:tabs>
          <w:tab w:val="left" w:pos="0"/>
        </w:tabs>
        <w:spacing w:before="120"/>
        <w:rPr>
          <w:lang w:val="en" w:eastAsia="en-GB"/>
        </w:rPr>
      </w:pPr>
      <w:r w:rsidRPr="00D8591B">
        <w:rPr>
          <w:lang w:val="en" w:eastAsia="en-GB"/>
        </w:rPr>
        <w:t>We acknowledge this responsibility to our patients, local communities, and the environment by working hard to</w:t>
      </w:r>
      <w:r w:rsidRPr="00D8591B">
        <w:rPr>
          <w:lang w:eastAsia="en-GB"/>
        </w:rPr>
        <w:t xml:space="preserve"> minimise</w:t>
      </w:r>
      <w:r w:rsidRPr="00D8591B">
        <w:rPr>
          <w:lang w:val="en" w:eastAsia="en-GB"/>
        </w:rPr>
        <w:t xml:space="preserve"> our </w:t>
      </w:r>
      <w:r>
        <w:rPr>
          <w:lang w:val="en" w:eastAsia="en-GB"/>
        </w:rPr>
        <w:t xml:space="preserve">carbon </w:t>
      </w:r>
      <w:r w:rsidRPr="00D8591B">
        <w:rPr>
          <w:lang w:val="en" w:eastAsia="en-GB"/>
        </w:rPr>
        <w:t>footprint.</w:t>
      </w:r>
    </w:p>
    <w:p w14:paraId="0C57E3F9" w14:textId="77777777" w:rsidR="008977B1" w:rsidRDefault="008977B1" w:rsidP="008977B1">
      <w:pPr>
        <w:tabs>
          <w:tab w:val="left" w:pos="0"/>
        </w:tabs>
        <w:spacing w:before="120"/>
        <w:rPr>
          <w:lang w:val="en" w:eastAsia="en-GB"/>
        </w:rPr>
      </w:pPr>
      <w:r w:rsidRPr="00BC29A4">
        <w:rPr>
          <w:lang w:val="en" w:eastAsia="en-GB"/>
        </w:rPr>
        <w:t xml:space="preserve">In October 2020, the Greener NHS National Programme published its new strategy, Delivering a Net Zero National Health Service. This report highlighted that left unabated </w:t>
      </w:r>
      <w:r w:rsidRPr="00BC29A4">
        <w:rPr>
          <w:lang w:val="en" w:eastAsia="en-GB"/>
        </w:rPr>
        <w:lastRenderedPageBreak/>
        <w:t xml:space="preserve">climate change will disrupt care, with poor environmental health contributing to major diseases, including cardiac problems, asthma and cancer. The report set out trajectories and actions for the entire NHS to reach net zero carbon emissions by 2040 for the emissions it controls directly, and 2045 for those it can influence (such as the supply chain). </w:t>
      </w:r>
      <w:r w:rsidRPr="00D8591B">
        <w:rPr>
          <w:lang w:val="en" w:eastAsia="en-GB"/>
        </w:rPr>
        <w:t xml:space="preserve">As part of the NHS, public health and social care system, it is our duty to contribute towards the </w:t>
      </w:r>
      <w:r>
        <w:rPr>
          <w:lang w:val="en" w:eastAsia="en-GB"/>
        </w:rPr>
        <w:t>targets</w:t>
      </w:r>
      <w:r w:rsidRPr="00D8591B">
        <w:rPr>
          <w:lang w:val="en" w:eastAsia="en-GB"/>
        </w:rPr>
        <w:t xml:space="preserve"> set </w:t>
      </w:r>
      <w:r>
        <w:rPr>
          <w:lang w:val="en" w:eastAsia="en-GB"/>
        </w:rPr>
        <w:t>out in this document.</w:t>
      </w:r>
    </w:p>
    <w:p w14:paraId="22D17F95" w14:textId="6B8BFB93" w:rsidR="008977B1" w:rsidRDefault="008977B1" w:rsidP="008977B1">
      <w:pPr>
        <w:tabs>
          <w:tab w:val="left" w:pos="0"/>
        </w:tabs>
        <w:spacing w:before="120"/>
        <w:rPr>
          <w:lang w:val="en" w:eastAsia="en-GB"/>
        </w:rPr>
      </w:pPr>
      <w:r>
        <w:rPr>
          <w:lang w:val="en" w:eastAsia="en-GB"/>
        </w:rPr>
        <w:t xml:space="preserve">As a commissioner of services, the CCG sets out a commitment to sustainable procurement in its Procurement Policy. The CCG has taken measures to encourage greater awareness among staff. In November 2019 the Governance Committee recommended adoption of the NHS England pledge to eliminate single use plastics. In December 2019 the Staff Engagement Group supported an initiative for staff to make a “Green Pledge” for the start of the New Year. </w:t>
      </w:r>
    </w:p>
    <w:p w14:paraId="5A182C7A" w14:textId="5233CC86" w:rsidR="008977B1" w:rsidRDefault="008977B1" w:rsidP="008977B1">
      <w:pPr>
        <w:tabs>
          <w:tab w:val="left" w:pos="0"/>
        </w:tabs>
        <w:spacing w:before="120"/>
        <w:rPr>
          <w:lang w:val="en" w:eastAsia="en-GB"/>
        </w:rPr>
      </w:pPr>
      <w:r>
        <w:rPr>
          <w:lang w:val="en" w:eastAsia="en-GB"/>
        </w:rPr>
        <w:t>An ICS Green Plan has been development and sets out actions to achieve Net Zero Carbon across the ICS.  The CCG is fundamental to the delivery of this plan.  Sustainability will become business as usual across a</w:t>
      </w:r>
      <w:r w:rsidR="008931E6">
        <w:rPr>
          <w:lang w:val="en" w:eastAsia="en-GB"/>
        </w:rPr>
        <w:t>l</w:t>
      </w:r>
      <w:r>
        <w:rPr>
          <w:lang w:val="en" w:eastAsia="en-GB"/>
        </w:rPr>
        <w:t xml:space="preserve">l service areas. </w:t>
      </w:r>
    </w:p>
    <w:p w14:paraId="6C6F2ABF" w14:textId="1ADF7E64" w:rsidR="008977B1" w:rsidRPr="008931E6" w:rsidRDefault="008977B1" w:rsidP="00970B67">
      <w:pPr>
        <w:pStyle w:val="BodyText"/>
        <w:spacing w:after="120"/>
        <w:rPr>
          <w:b/>
          <w:bCs/>
          <w:sz w:val="28"/>
          <w:szCs w:val="28"/>
        </w:rPr>
      </w:pPr>
      <w:r w:rsidRPr="008931E6">
        <w:rPr>
          <w:b/>
          <w:bCs/>
          <w:sz w:val="28"/>
          <w:szCs w:val="28"/>
        </w:rPr>
        <w:t>Modelled Carbon Footprint</w:t>
      </w:r>
    </w:p>
    <w:p w14:paraId="7FC7C6D6" w14:textId="77777777" w:rsidR="008977B1" w:rsidRDefault="008977B1" w:rsidP="008977B1">
      <w:r>
        <w:t>In England, the NHS is estimated to account for 5.4% of the country’s greenhouse gas emissions. The health and social care system reduced its carbon footprint by an estimated 62% between 1990-2020, however, drastic action is now required.</w:t>
      </w:r>
    </w:p>
    <w:p w14:paraId="03B611FD" w14:textId="77777777" w:rsidR="00EB1E92" w:rsidRDefault="008977B1" w:rsidP="008977B1">
      <w:r>
        <w:t>Figures 2 and 3 below illustrate the key areas of focus that the NHS must deliver on to reduce its carbon footprint and meet the Greener NHS targets of being a net carbon zero health care service by 2045.</w:t>
      </w:r>
    </w:p>
    <w:p w14:paraId="3B39EF8A" w14:textId="62F59DDD" w:rsidR="008977B1" w:rsidRDefault="008977B1" w:rsidP="008977B1">
      <w:pPr>
        <w:rPr>
          <w:sz w:val="20"/>
          <w:szCs w:val="20"/>
        </w:rPr>
      </w:pPr>
      <w:r w:rsidRPr="00A110D0">
        <w:rPr>
          <w:sz w:val="20"/>
          <w:szCs w:val="20"/>
        </w:rPr>
        <w:t>Figure 2:</w:t>
      </w:r>
      <w:r>
        <w:rPr>
          <w:sz w:val="20"/>
          <w:szCs w:val="20"/>
        </w:rPr>
        <w:t xml:space="preserve"> Greenhouse Gas Protocol (GHGP) scopes in the context of the NHS</w:t>
      </w:r>
    </w:p>
    <w:p w14:paraId="38A76324" w14:textId="77777777" w:rsidR="008977B1" w:rsidRDefault="008977B1" w:rsidP="008977B1">
      <w:pPr>
        <w:jc w:val="center"/>
        <w:rPr>
          <w:sz w:val="20"/>
          <w:szCs w:val="20"/>
        </w:rPr>
      </w:pPr>
      <w:r>
        <w:rPr>
          <w:noProof/>
        </w:rPr>
        <w:drawing>
          <wp:inline distT="0" distB="0" distL="0" distR="0" wp14:anchorId="3F3DB091" wp14:editId="49EF9222">
            <wp:extent cx="3815871" cy="3138407"/>
            <wp:effectExtent l="0" t="0" r="0" b="5080"/>
            <wp:docPr id="9" name="Picture 9" descr="diagram showing key areas of focus that the NHS must deliver to reduce its carbon 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howing key areas of focus that the NHS must deliver to reduce its carbon footpri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6149" cy="3155085"/>
                    </a:xfrm>
                    <a:prstGeom prst="rect">
                      <a:avLst/>
                    </a:prstGeom>
                    <a:noFill/>
                  </pic:spPr>
                </pic:pic>
              </a:graphicData>
            </a:graphic>
          </wp:inline>
        </w:drawing>
      </w:r>
    </w:p>
    <w:p w14:paraId="3E725D7B" w14:textId="77777777" w:rsidR="007676B8" w:rsidRDefault="007676B8" w:rsidP="00EB1E92">
      <w:pPr>
        <w:spacing w:after="200" w:line="276" w:lineRule="auto"/>
        <w:rPr>
          <w:sz w:val="20"/>
          <w:szCs w:val="20"/>
        </w:rPr>
      </w:pPr>
    </w:p>
    <w:p w14:paraId="2FC3DCDE" w14:textId="10378EEA" w:rsidR="004B0989" w:rsidRPr="00A110D0" w:rsidRDefault="008977B1" w:rsidP="00EB1E92">
      <w:pPr>
        <w:spacing w:after="200" w:line="276" w:lineRule="auto"/>
        <w:rPr>
          <w:sz w:val="20"/>
          <w:szCs w:val="20"/>
        </w:rPr>
      </w:pPr>
      <w:r w:rsidRPr="00A110D0">
        <w:rPr>
          <w:sz w:val="20"/>
          <w:szCs w:val="20"/>
        </w:rPr>
        <w:lastRenderedPageBreak/>
        <w:t xml:space="preserve">Figure 3: Sources of carbon emissions by proportion of NHS Carbon Footprint Plus </w:t>
      </w:r>
    </w:p>
    <w:p w14:paraId="43F02F86" w14:textId="1A15AE0C" w:rsidR="00B365E9" w:rsidRDefault="008977B1" w:rsidP="00FF6356">
      <w:pPr>
        <w:jc w:val="center"/>
        <w:rPr>
          <w:rFonts w:eastAsia="Times" w:cs="Times New Roman"/>
          <w:b/>
          <w:bCs/>
          <w:sz w:val="48"/>
          <w:szCs w:val="48"/>
        </w:rPr>
      </w:pPr>
      <w:r>
        <w:rPr>
          <w:noProof/>
          <w:color w:val="0D303F"/>
        </w:rPr>
        <w:drawing>
          <wp:inline distT="0" distB="0" distL="0" distR="0" wp14:anchorId="18E28654" wp14:editId="46C0947E">
            <wp:extent cx="4918101" cy="3944318"/>
            <wp:effectExtent l="0" t="0" r="0" b="0"/>
            <wp:docPr id="8" name="Picture 8" descr="Diagram&#10;Pie chart showing sources of carbon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Pie chart showing sources of carbon emiss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2510" cy="3947854"/>
                    </a:xfrm>
                    <a:prstGeom prst="rect">
                      <a:avLst/>
                    </a:prstGeom>
                    <a:noFill/>
                  </pic:spPr>
                </pic:pic>
              </a:graphicData>
            </a:graphic>
          </wp:inline>
        </w:drawing>
      </w:r>
      <w:bookmarkStart w:id="86" w:name="_Toc94188183"/>
      <w:bookmarkStart w:id="87" w:name="_Toc97218334"/>
      <w:r w:rsidR="00B365E9">
        <w:br w:type="page"/>
      </w:r>
    </w:p>
    <w:p w14:paraId="139654B3" w14:textId="6595F77E" w:rsidR="00F90D7E" w:rsidRPr="007830C3" w:rsidRDefault="00F90D7E" w:rsidP="008931E6">
      <w:pPr>
        <w:pStyle w:val="Heading1"/>
      </w:pPr>
      <w:bookmarkStart w:id="88" w:name="_Toc107389452"/>
      <w:r w:rsidRPr="007830C3">
        <w:lastRenderedPageBreak/>
        <w:t>ACCOUNTABILITY REPORT</w:t>
      </w:r>
      <w:bookmarkEnd w:id="86"/>
      <w:bookmarkEnd w:id="87"/>
      <w:bookmarkEnd w:id="88"/>
    </w:p>
    <w:p w14:paraId="6DB4A7AB" w14:textId="663CB464" w:rsidR="00F90D7E" w:rsidRPr="007830C3" w:rsidRDefault="00F90D7E" w:rsidP="00FF0E5D">
      <w:pPr>
        <w:pStyle w:val="Heading2"/>
      </w:pPr>
      <w:bookmarkStart w:id="89" w:name="_Toc94188184"/>
      <w:bookmarkStart w:id="90" w:name="_Toc97218335"/>
      <w:bookmarkStart w:id="91" w:name="_Toc107389453"/>
      <w:r w:rsidRPr="007830C3">
        <w:t>Corporate Governance Report</w:t>
      </w:r>
      <w:bookmarkEnd w:id="89"/>
      <w:bookmarkEnd w:id="90"/>
      <w:bookmarkEnd w:id="91"/>
    </w:p>
    <w:p w14:paraId="0665DB05" w14:textId="6C1F83F5" w:rsidR="00F90D7E" w:rsidRPr="00C645AB" w:rsidRDefault="00F90D7E" w:rsidP="00FF0E5D">
      <w:pPr>
        <w:pStyle w:val="Heading2"/>
      </w:pPr>
      <w:bookmarkStart w:id="92" w:name="_Toc94188185"/>
      <w:bookmarkStart w:id="93" w:name="_Toc97218336"/>
      <w:bookmarkStart w:id="94" w:name="_Toc107389454"/>
      <w:r w:rsidRPr="00C645AB">
        <w:t>Members Report</w:t>
      </w:r>
      <w:bookmarkEnd w:id="92"/>
      <w:bookmarkEnd w:id="93"/>
      <w:bookmarkEnd w:id="94"/>
    </w:p>
    <w:p w14:paraId="79C412F8" w14:textId="1AC5576E" w:rsidR="00E2234D" w:rsidRDefault="00E2234D" w:rsidP="009C1E46">
      <w:pPr>
        <w:pStyle w:val="Heading3"/>
        <w:spacing w:after="360"/>
      </w:pPr>
      <w:bookmarkStart w:id="95" w:name="_Toc107389455"/>
      <w:bookmarkStart w:id="96" w:name="_Toc94188187"/>
      <w:bookmarkStart w:id="97" w:name="_Toc97218338"/>
      <w:r>
        <w:t>Members Profiles</w:t>
      </w:r>
      <w:bookmarkEnd w:id="95"/>
    </w:p>
    <w:p w14:paraId="1FB7C7D1" w14:textId="5DBE26C5" w:rsidR="00970B67" w:rsidRDefault="00BD23F5" w:rsidP="00970B67">
      <w:r>
        <w:t>CCGs are clinically-led membership organisations made up of general practices.  As of 31 March 2022 the following 35 practices are members of Basildon and Brentwood CCG:</w:t>
      </w:r>
    </w:p>
    <w:tbl>
      <w:tblPr>
        <w:tblStyle w:val="TableGrid"/>
        <w:tblW w:w="0" w:type="auto"/>
        <w:tblLook w:val="04A0" w:firstRow="1" w:lastRow="0" w:firstColumn="1" w:lastColumn="0" w:noHBand="0" w:noVBand="1"/>
      </w:tblPr>
      <w:tblGrid>
        <w:gridCol w:w="4815"/>
        <w:gridCol w:w="4201"/>
      </w:tblGrid>
      <w:tr w:rsidR="00BD23F5" w:rsidRPr="00BD23F5" w14:paraId="1BAA4156" w14:textId="77777777" w:rsidTr="00825B47">
        <w:trPr>
          <w:trHeight w:val="3103"/>
        </w:trPr>
        <w:tc>
          <w:tcPr>
            <w:tcW w:w="4815" w:type="dxa"/>
          </w:tcPr>
          <w:p w14:paraId="6131F66B" w14:textId="77777777" w:rsidR="00BD23F5" w:rsidRPr="00BD23F5" w:rsidRDefault="00BD23F5" w:rsidP="00825B47">
            <w:pPr>
              <w:pStyle w:val="Heading5"/>
              <w:spacing w:before="120"/>
              <w:jc w:val="both"/>
              <w:outlineLvl w:val="4"/>
              <w:rPr>
                <w:rFonts w:ascii="Arial" w:hAnsi="Arial" w:cs="Arial"/>
                <w:b/>
                <w:bCs/>
                <w:color w:val="auto"/>
                <w:szCs w:val="24"/>
              </w:rPr>
            </w:pPr>
            <w:r w:rsidRPr="00BD23F5">
              <w:rPr>
                <w:rFonts w:ascii="Arial" w:hAnsi="Arial" w:cs="Arial"/>
                <w:b/>
                <w:bCs/>
                <w:color w:val="auto"/>
                <w:szCs w:val="24"/>
              </w:rPr>
              <w:t xml:space="preserve">Arterial Locality </w:t>
            </w:r>
          </w:p>
          <w:p w14:paraId="54C761FA" w14:textId="77777777" w:rsidR="00BD23F5" w:rsidRPr="00BD23F5" w:rsidRDefault="00BD23F5" w:rsidP="00825B47">
            <w:pPr>
              <w:spacing w:before="0" w:after="0"/>
              <w:rPr>
                <w:rFonts w:cs="Arial"/>
                <w:szCs w:val="24"/>
              </w:rPr>
            </w:pPr>
            <w:r w:rsidRPr="00BD23F5">
              <w:rPr>
                <w:rFonts w:cs="Arial"/>
                <w:szCs w:val="24"/>
              </w:rPr>
              <w:t xml:space="preserve">Ballards Walk Surgery </w:t>
            </w:r>
          </w:p>
          <w:p w14:paraId="00069E5F" w14:textId="77777777" w:rsidR="00BD23F5" w:rsidRPr="00BD23F5" w:rsidRDefault="00BD23F5" w:rsidP="00825B47">
            <w:pPr>
              <w:spacing w:before="0" w:after="0"/>
              <w:rPr>
                <w:rFonts w:cs="Arial"/>
                <w:szCs w:val="24"/>
              </w:rPr>
            </w:pPr>
            <w:r w:rsidRPr="00BD23F5">
              <w:rPr>
                <w:rFonts w:cs="Arial"/>
                <w:szCs w:val="24"/>
              </w:rPr>
              <w:t>Dipple Medical Centre, East Wing (Dr Arayomi)</w:t>
            </w:r>
          </w:p>
          <w:p w14:paraId="18F6613B" w14:textId="77777777" w:rsidR="00BD23F5" w:rsidRPr="00BD23F5" w:rsidRDefault="00BD23F5" w:rsidP="00825B47">
            <w:pPr>
              <w:spacing w:before="0" w:after="0"/>
              <w:rPr>
                <w:rFonts w:cs="Arial"/>
                <w:szCs w:val="24"/>
              </w:rPr>
            </w:pPr>
            <w:r w:rsidRPr="00BD23F5">
              <w:rPr>
                <w:rFonts w:cs="Arial"/>
                <w:szCs w:val="24"/>
              </w:rPr>
              <w:t>Western Road Surgery</w:t>
            </w:r>
          </w:p>
          <w:p w14:paraId="3EFCC92F" w14:textId="77777777" w:rsidR="00BD23F5" w:rsidRPr="00BD23F5" w:rsidRDefault="00BD23F5" w:rsidP="00825B47">
            <w:pPr>
              <w:spacing w:before="0" w:after="0"/>
              <w:rPr>
                <w:rFonts w:cs="Arial"/>
                <w:szCs w:val="24"/>
              </w:rPr>
            </w:pPr>
            <w:r w:rsidRPr="00BD23F5">
              <w:rPr>
                <w:rFonts w:cs="Arial"/>
                <w:szCs w:val="24"/>
              </w:rPr>
              <w:t>The Billericay Medical Practice</w:t>
            </w:r>
          </w:p>
          <w:p w14:paraId="02BEF2C7" w14:textId="77777777" w:rsidR="00BD23F5" w:rsidRPr="00BD23F5" w:rsidRDefault="00BD23F5" w:rsidP="00825B47">
            <w:pPr>
              <w:spacing w:before="0" w:after="0"/>
              <w:rPr>
                <w:rFonts w:cs="Arial"/>
                <w:szCs w:val="24"/>
              </w:rPr>
            </w:pPr>
            <w:r w:rsidRPr="00BD23F5">
              <w:rPr>
                <w:rFonts w:cs="Arial"/>
                <w:szCs w:val="24"/>
              </w:rPr>
              <w:t xml:space="preserve">Dr Sims and Partners </w:t>
            </w:r>
          </w:p>
          <w:p w14:paraId="7274705E" w14:textId="77777777" w:rsidR="00BD23F5" w:rsidRPr="00BD23F5" w:rsidRDefault="00BD23F5" w:rsidP="00825B47">
            <w:pPr>
              <w:spacing w:before="0" w:after="0"/>
              <w:rPr>
                <w:rFonts w:cs="Arial"/>
                <w:szCs w:val="24"/>
              </w:rPr>
            </w:pPr>
            <w:r w:rsidRPr="00BD23F5">
              <w:rPr>
                <w:rFonts w:cs="Arial"/>
                <w:szCs w:val="24"/>
              </w:rPr>
              <w:t>Queens Park Surgery</w:t>
            </w:r>
          </w:p>
          <w:p w14:paraId="7807A934" w14:textId="77777777" w:rsidR="00BD23F5" w:rsidRPr="00BD23F5" w:rsidRDefault="00BD23F5" w:rsidP="00825B47">
            <w:pPr>
              <w:spacing w:before="0" w:after="0"/>
              <w:rPr>
                <w:rFonts w:cs="Arial"/>
                <w:szCs w:val="24"/>
              </w:rPr>
            </w:pPr>
            <w:r w:rsidRPr="00BD23F5">
              <w:rPr>
                <w:rFonts w:cs="Arial"/>
                <w:szCs w:val="24"/>
              </w:rPr>
              <w:t>The New Surgery (Billericay)</w:t>
            </w:r>
          </w:p>
          <w:p w14:paraId="58F325C0" w14:textId="77777777" w:rsidR="00BD23F5" w:rsidRPr="00BD23F5" w:rsidRDefault="00BD23F5" w:rsidP="00825B47">
            <w:pPr>
              <w:spacing w:before="0" w:after="0"/>
              <w:rPr>
                <w:rFonts w:cs="Arial"/>
                <w:szCs w:val="24"/>
              </w:rPr>
            </w:pPr>
            <w:r w:rsidRPr="00BD23F5">
              <w:rPr>
                <w:rFonts w:cs="Arial"/>
                <w:szCs w:val="24"/>
              </w:rPr>
              <w:t>Chapel Street Surgery</w:t>
            </w:r>
          </w:p>
          <w:p w14:paraId="02FC2C51" w14:textId="77777777" w:rsidR="00BD23F5" w:rsidRPr="00BD23F5" w:rsidRDefault="00BD23F5" w:rsidP="00825B47">
            <w:pPr>
              <w:spacing w:before="0" w:after="0"/>
              <w:rPr>
                <w:rFonts w:cs="Arial"/>
                <w:szCs w:val="24"/>
              </w:rPr>
            </w:pPr>
            <w:r w:rsidRPr="00BD23F5">
              <w:rPr>
                <w:rFonts w:cs="Arial"/>
                <w:szCs w:val="24"/>
              </w:rPr>
              <w:t>South Green Surgery</w:t>
            </w:r>
          </w:p>
          <w:p w14:paraId="1F3CD2AE" w14:textId="77777777" w:rsidR="00BD23F5" w:rsidRPr="00BD23F5" w:rsidRDefault="00BD23F5" w:rsidP="00825B47">
            <w:pPr>
              <w:spacing w:before="0" w:after="0"/>
              <w:rPr>
                <w:rFonts w:cs="Arial"/>
                <w:szCs w:val="24"/>
              </w:rPr>
            </w:pPr>
            <w:r w:rsidRPr="00BD23F5">
              <w:rPr>
                <w:rFonts w:cs="Arial"/>
                <w:szCs w:val="24"/>
              </w:rPr>
              <w:t xml:space="preserve">Knights Surgery </w:t>
            </w:r>
          </w:p>
          <w:p w14:paraId="7B6B19FA" w14:textId="6EFCFC8C" w:rsidR="00BD23F5" w:rsidRPr="00BD23F5" w:rsidRDefault="00BD23F5" w:rsidP="00BD23F5">
            <w:pPr>
              <w:spacing w:before="0" w:after="120"/>
              <w:rPr>
                <w:rFonts w:cs="Arial"/>
                <w:szCs w:val="24"/>
              </w:rPr>
            </w:pPr>
            <w:r w:rsidRPr="00BD23F5">
              <w:rPr>
                <w:rFonts w:cs="Arial"/>
                <w:szCs w:val="24"/>
              </w:rPr>
              <w:t>Dipple Medical Centre, South Wing (Dr Nasah)</w:t>
            </w:r>
          </w:p>
        </w:tc>
        <w:tc>
          <w:tcPr>
            <w:tcW w:w="4201" w:type="dxa"/>
          </w:tcPr>
          <w:p w14:paraId="56D08893" w14:textId="77777777" w:rsidR="00BD23F5" w:rsidRPr="00BD23F5" w:rsidRDefault="00BD23F5" w:rsidP="00825B47">
            <w:pPr>
              <w:pStyle w:val="Heading5"/>
              <w:spacing w:before="120"/>
              <w:jc w:val="both"/>
              <w:outlineLvl w:val="4"/>
              <w:rPr>
                <w:rFonts w:ascii="Arial" w:hAnsi="Arial" w:cs="Arial"/>
                <w:b/>
                <w:bCs/>
                <w:color w:val="auto"/>
                <w:szCs w:val="24"/>
              </w:rPr>
            </w:pPr>
            <w:r w:rsidRPr="00BD23F5">
              <w:rPr>
                <w:rFonts w:ascii="Arial" w:hAnsi="Arial" w:cs="Arial"/>
                <w:b/>
                <w:bCs/>
                <w:color w:val="auto"/>
                <w:szCs w:val="24"/>
              </w:rPr>
              <w:t xml:space="preserve">Partnership BIC Locality </w:t>
            </w:r>
          </w:p>
          <w:p w14:paraId="191459E1" w14:textId="77777777" w:rsidR="00BD23F5" w:rsidRPr="00BD23F5" w:rsidRDefault="00BD23F5" w:rsidP="00825B47">
            <w:pPr>
              <w:spacing w:before="0" w:after="0"/>
              <w:jc w:val="both"/>
              <w:rPr>
                <w:rFonts w:cs="Arial"/>
                <w:szCs w:val="24"/>
              </w:rPr>
            </w:pPr>
            <w:r w:rsidRPr="00BD23F5">
              <w:rPr>
                <w:rFonts w:cs="Arial"/>
                <w:szCs w:val="24"/>
              </w:rPr>
              <w:t>Felmores Medical Centre</w:t>
            </w:r>
          </w:p>
          <w:p w14:paraId="3CC8C47C" w14:textId="77777777" w:rsidR="00BD23F5" w:rsidRPr="00BD23F5" w:rsidRDefault="00BD23F5" w:rsidP="00825B47">
            <w:pPr>
              <w:spacing w:before="0" w:after="0"/>
              <w:jc w:val="both"/>
              <w:rPr>
                <w:rFonts w:cs="Arial"/>
                <w:szCs w:val="24"/>
              </w:rPr>
            </w:pPr>
            <w:r w:rsidRPr="00BD23F5">
              <w:rPr>
                <w:rFonts w:cs="Arial"/>
                <w:szCs w:val="24"/>
              </w:rPr>
              <w:t xml:space="preserve">Fryerns Medical Centre </w:t>
            </w:r>
          </w:p>
          <w:p w14:paraId="7D26A847" w14:textId="77777777" w:rsidR="00BD23F5" w:rsidRPr="00BD23F5" w:rsidRDefault="00BD23F5" w:rsidP="00825B47">
            <w:pPr>
              <w:spacing w:before="0" w:after="0"/>
              <w:jc w:val="both"/>
              <w:rPr>
                <w:rFonts w:cs="Arial"/>
                <w:szCs w:val="24"/>
              </w:rPr>
            </w:pPr>
            <w:r w:rsidRPr="00BD23F5">
              <w:rPr>
                <w:rFonts w:cs="Arial"/>
                <w:szCs w:val="24"/>
              </w:rPr>
              <w:t>Noak Bridge Medical Centre</w:t>
            </w:r>
          </w:p>
          <w:p w14:paraId="4F12A6D3" w14:textId="77777777" w:rsidR="00BD23F5" w:rsidRPr="00BD23F5" w:rsidRDefault="00BD23F5" w:rsidP="00825B47">
            <w:pPr>
              <w:spacing w:before="0" w:after="0"/>
              <w:jc w:val="both"/>
              <w:rPr>
                <w:rFonts w:cs="Arial"/>
                <w:szCs w:val="24"/>
              </w:rPr>
            </w:pPr>
            <w:r w:rsidRPr="00BD23F5">
              <w:rPr>
                <w:rFonts w:cs="Arial"/>
                <w:szCs w:val="24"/>
              </w:rPr>
              <w:t xml:space="preserve">Aryan Medical Centre </w:t>
            </w:r>
          </w:p>
          <w:p w14:paraId="1996D062" w14:textId="77777777" w:rsidR="00BD23F5" w:rsidRPr="00BD23F5" w:rsidRDefault="00BD23F5" w:rsidP="00825B47">
            <w:pPr>
              <w:spacing w:before="0" w:after="0"/>
              <w:jc w:val="both"/>
              <w:rPr>
                <w:rFonts w:cs="Arial"/>
                <w:szCs w:val="24"/>
              </w:rPr>
            </w:pPr>
            <w:r w:rsidRPr="00BD23F5">
              <w:rPr>
                <w:rFonts w:cs="Arial"/>
                <w:szCs w:val="24"/>
              </w:rPr>
              <w:t>Rosevilla Surgery</w:t>
            </w:r>
          </w:p>
          <w:p w14:paraId="49C51060" w14:textId="77777777" w:rsidR="00BD23F5" w:rsidRPr="00BD23F5" w:rsidRDefault="00BD23F5" w:rsidP="00825B47">
            <w:pPr>
              <w:spacing w:before="0" w:after="0"/>
              <w:jc w:val="both"/>
              <w:rPr>
                <w:rFonts w:cs="Arial"/>
                <w:szCs w:val="24"/>
              </w:rPr>
            </w:pPr>
            <w:r w:rsidRPr="00BD23F5">
              <w:rPr>
                <w:rFonts w:cs="Arial"/>
                <w:szCs w:val="24"/>
              </w:rPr>
              <w:t>Matching Green Surgery</w:t>
            </w:r>
          </w:p>
          <w:p w14:paraId="2812055F" w14:textId="77777777" w:rsidR="00BD23F5" w:rsidRPr="00BD23F5" w:rsidRDefault="00BD23F5" w:rsidP="00825B47">
            <w:pPr>
              <w:spacing w:before="0" w:after="0"/>
              <w:jc w:val="both"/>
              <w:rPr>
                <w:rFonts w:cs="Arial"/>
                <w:szCs w:val="24"/>
              </w:rPr>
            </w:pPr>
            <w:r w:rsidRPr="00BD23F5">
              <w:rPr>
                <w:rFonts w:cs="Arial"/>
                <w:szCs w:val="24"/>
              </w:rPr>
              <w:t>The Knares Medical Practice</w:t>
            </w:r>
          </w:p>
          <w:p w14:paraId="5664E6D3" w14:textId="77777777" w:rsidR="00BD23F5" w:rsidRPr="00BD23F5" w:rsidRDefault="00BD23F5" w:rsidP="00825B47">
            <w:pPr>
              <w:spacing w:before="0" w:after="0"/>
              <w:jc w:val="both"/>
              <w:rPr>
                <w:rFonts w:cs="Arial"/>
                <w:szCs w:val="24"/>
              </w:rPr>
            </w:pPr>
            <w:r w:rsidRPr="00BD23F5">
              <w:rPr>
                <w:rFonts w:cs="Arial"/>
                <w:szCs w:val="24"/>
              </w:rPr>
              <w:t>The Murree Medical Centre</w:t>
            </w:r>
          </w:p>
          <w:p w14:paraId="77F81A45" w14:textId="77777777" w:rsidR="00BD23F5" w:rsidRPr="00BD23F5" w:rsidRDefault="00BD23F5" w:rsidP="00825B47">
            <w:pPr>
              <w:spacing w:before="0" w:after="0"/>
              <w:jc w:val="both"/>
              <w:rPr>
                <w:rFonts w:cs="Arial"/>
                <w:szCs w:val="24"/>
              </w:rPr>
            </w:pPr>
            <w:r w:rsidRPr="00BD23F5">
              <w:rPr>
                <w:rFonts w:cs="Arial"/>
                <w:szCs w:val="24"/>
              </w:rPr>
              <w:t xml:space="preserve">Kingswood Medical Centre </w:t>
            </w:r>
          </w:p>
          <w:p w14:paraId="0414BF4F" w14:textId="77777777" w:rsidR="00BD23F5" w:rsidRPr="00BD23F5" w:rsidRDefault="00BD23F5" w:rsidP="00825B47">
            <w:pPr>
              <w:spacing w:before="0" w:after="0"/>
              <w:jc w:val="both"/>
              <w:rPr>
                <w:rFonts w:cs="Arial"/>
                <w:szCs w:val="24"/>
              </w:rPr>
            </w:pPr>
            <w:r w:rsidRPr="00BD23F5">
              <w:rPr>
                <w:rFonts w:cs="Arial"/>
                <w:szCs w:val="24"/>
              </w:rPr>
              <w:t>Laindon Medical Group</w:t>
            </w:r>
          </w:p>
          <w:p w14:paraId="2AFBDF17" w14:textId="77777777" w:rsidR="00BD23F5" w:rsidRPr="00BD23F5" w:rsidRDefault="00BD23F5" w:rsidP="00825B47">
            <w:pPr>
              <w:spacing w:before="0" w:after="0"/>
              <w:jc w:val="both"/>
              <w:rPr>
                <w:rFonts w:cs="Arial"/>
                <w:szCs w:val="24"/>
              </w:rPr>
            </w:pPr>
          </w:p>
        </w:tc>
      </w:tr>
      <w:tr w:rsidR="00BD23F5" w:rsidRPr="00BD23F5" w14:paraId="42F00CB2" w14:textId="77777777" w:rsidTr="00825B47">
        <w:tc>
          <w:tcPr>
            <w:tcW w:w="4815" w:type="dxa"/>
          </w:tcPr>
          <w:p w14:paraId="6D993AC2" w14:textId="77777777" w:rsidR="00BD23F5" w:rsidRPr="00BD23F5" w:rsidRDefault="00BD23F5" w:rsidP="00825B47">
            <w:pPr>
              <w:pStyle w:val="Heading5"/>
              <w:spacing w:before="120"/>
              <w:jc w:val="both"/>
              <w:outlineLvl w:val="4"/>
              <w:rPr>
                <w:rFonts w:ascii="Arial" w:hAnsi="Arial" w:cs="Arial"/>
                <w:b/>
                <w:bCs/>
                <w:color w:val="auto"/>
                <w:szCs w:val="24"/>
              </w:rPr>
            </w:pPr>
            <w:r w:rsidRPr="00BD23F5">
              <w:rPr>
                <w:rFonts w:ascii="Arial" w:hAnsi="Arial" w:cs="Arial"/>
                <w:b/>
                <w:bCs/>
                <w:color w:val="auto"/>
                <w:szCs w:val="24"/>
              </w:rPr>
              <w:t xml:space="preserve">Brentwood Locality </w:t>
            </w:r>
          </w:p>
          <w:p w14:paraId="2A701F5C" w14:textId="77777777" w:rsidR="00BD23F5" w:rsidRPr="00BD23F5" w:rsidRDefault="00BD23F5" w:rsidP="00825B47">
            <w:pPr>
              <w:spacing w:before="0" w:after="0"/>
              <w:jc w:val="both"/>
              <w:rPr>
                <w:rFonts w:cs="Arial"/>
                <w:szCs w:val="24"/>
              </w:rPr>
            </w:pPr>
            <w:r w:rsidRPr="00BD23F5">
              <w:rPr>
                <w:rFonts w:cs="Arial"/>
                <w:szCs w:val="24"/>
              </w:rPr>
              <w:t>Rockleigh Court Surgery</w:t>
            </w:r>
          </w:p>
          <w:p w14:paraId="2A6FE211" w14:textId="77777777" w:rsidR="00BD23F5" w:rsidRPr="00BD23F5" w:rsidRDefault="00BD23F5" w:rsidP="00825B47">
            <w:pPr>
              <w:spacing w:before="0" w:after="0"/>
              <w:jc w:val="both"/>
              <w:rPr>
                <w:rFonts w:cs="Arial"/>
                <w:szCs w:val="24"/>
              </w:rPr>
            </w:pPr>
            <w:r w:rsidRPr="00BD23F5">
              <w:rPr>
                <w:rFonts w:cs="Arial"/>
                <w:szCs w:val="24"/>
              </w:rPr>
              <w:t>Deal Tree Health Centre</w:t>
            </w:r>
          </w:p>
          <w:p w14:paraId="21407142" w14:textId="77777777" w:rsidR="00BD23F5" w:rsidRPr="00BD23F5" w:rsidRDefault="00BD23F5" w:rsidP="00825B47">
            <w:pPr>
              <w:spacing w:before="0" w:after="0"/>
              <w:jc w:val="both"/>
              <w:rPr>
                <w:rFonts w:cs="Arial"/>
                <w:szCs w:val="24"/>
              </w:rPr>
            </w:pPr>
            <w:r w:rsidRPr="00BD23F5">
              <w:rPr>
                <w:rFonts w:cs="Arial"/>
                <w:szCs w:val="24"/>
              </w:rPr>
              <w:t>New Folly Surgery</w:t>
            </w:r>
          </w:p>
          <w:p w14:paraId="4045A49A" w14:textId="77777777" w:rsidR="00BD23F5" w:rsidRPr="00BD23F5" w:rsidRDefault="00BD23F5" w:rsidP="00825B47">
            <w:pPr>
              <w:spacing w:before="0" w:after="0"/>
              <w:jc w:val="both"/>
              <w:rPr>
                <w:rFonts w:cs="Arial"/>
                <w:szCs w:val="24"/>
              </w:rPr>
            </w:pPr>
            <w:r w:rsidRPr="00BD23F5">
              <w:rPr>
                <w:rFonts w:cs="Arial"/>
                <w:szCs w:val="24"/>
              </w:rPr>
              <w:t>Tile House Surgery</w:t>
            </w:r>
          </w:p>
          <w:p w14:paraId="4AC8878E" w14:textId="77777777" w:rsidR="00BD23F5" w:rsidRPr="00BD23F5" w:rsidRDefault="00BD23F5" w:rsidP="00825B47">
            <w:pPr>
              <w:spacing w:before="0" w:after="0"/>
              <w:jc w:val="both"/>
              <w:rPr>
                <w:rFonts w:cs="Arial"/>
                <w:szCs w:val="24"/>
              </w:rPr>
            </w:pPr>
            <w:r w:rsidRPr="00BD23F5">
              <w:rPr>
                <w:rFonts w:cs="Arial"/>
                <w:szCs w:val="24"/>
              </w:rPr>
              <w:t>The Highwood Surgery</w:t>
            </w:r>
          </w:p>
          <w:p w14:paraId="0A0523BD" w14:textId="77777777" w:rsidR="00BD23F5" w:rsidRPr="00BD23F5" w:rsidRDefault="00BD23F5" w:rsidP="00825B47">
            <w:pPr>
              <w:spacing w:before="0" w:after="0"/>
              <w:jc w:val="both"/>
              <w:rPr>
                <w:rFonts w:cs="Arial"/>
                <w:szCs w:val="24"/>
              </w:rPr>
            </w:pPr>
            <w:r w:rsidRPr="00BD23F5">
              <w:rPr>
                <w:rFonts w:cs="Arial"/>
                <w:szCs w:val="24"/>
              </w:rPr>
              <w:t>Beechwood Surgery</w:t>
            </w:r>
          </w:p>
          <w:p w14:paraId="0238B247" w14:textId="77777777" w:rsidR="00BD23F5" w:rsidRPr="00BD23F5" w:rsidRDefault="00BD23F5" w:rsidP="00825B47">
            <w:pPr>
              <w:spacing w:before="0" w:after="0"/>
              <w:jc w:val="both"/>
              <w:rPr>
                <w:rFonts w:cs="Arial"/>
                <w:szCs w:val="24"/>
              </w:rPr>
            </w:pPr>
            <w:r w:rsidRPr="00BD23F5">
              <w:rPr>
                <w:rFonts w:cs="Arial"/>
                <w:szCs w:val="24"/>
              </w:rPr>
              <w:t>The New Surgery (Brentwood)</w:t>
            </w:r>
          </w:p>
          <w:p w14:paraId="541BEC23" w14:textId="77777777" w:rsidR="00BD23F5" w:rsidRPr="00BD23F5" w:rsidRDefault="00BD23F5" w:rsidP="00BD23F5">
            <w:pPr>
              <w:spacing w:before="0" w:after="120"/>
              <w:jc w:val="both"/>
              <w:rPr>
                <w:rFonts w:cs="Arial"/>
                <w:szCs w:val="24"/>
              </w:rPr>
            </w:pPr>
            <w:r w:rsidRPr="00BD23F5">
              <w:rPr>
                <w:rFonts w:cs="Arial"/>
                <w:szCs w:val="24"/>
              </w:rPr>
              <w:t>Mount Avenue Surgery</w:t>
            </w:r>
          </w:p>
        </w:tc>
        <w:tc>
          <w:tcPr>
            <w:tcW w:w="4201" w:type="dxa"/>
          </w:tcPr>
          <w:p w14:paraId="4E3EEA36" w14:textId="77777777" w:rsidR="00BD23F5" w:rsidRPr="00BD23F5" w:rsidRDefault="00BD23F5" w:rsidP="00825B47">
            <w:pPr>
              <w:pStyle w:val="Heading5"/>
              <w:spacing w:before="120"/>
              <w:jc w:val="both"/>
              <w:outlineLvl w:val="4"/>
              <w:rPr>
                <w:rFonts w:ascii="Arial" w:hAnsi="Arial" w:cs="Arial"/>
                <w:b/>
                <w:bCs/>
                <w:color w:val="auto"/>
                <w:szCs w:val="24"/>
              </w:rPr>
            </w:pPr>
            <w:r w:rsidRPr="00BD23F5">
              <w:rPr>
                <w:rFonts w:ascii="Arial" w:hAnsi="Arial" w:cs="Arial"/>
                <w:b/>
                <w:bCs/>
                <w:color w:val="auto"/>
                <w:szCs w:val="24"/>
              </w:rPr>
              <w:t xml:space="preserve">SEMC Locality </w:t>
            </w:r>
          </w:p>
          <w:p w14:paraId="5EABEEE2" w14:textId="77777777" w:rsidR="00BD23F5" w:rsidRPr="00BD23F5" w:rsidRDefault="00BD23F5" w:rsidP="00825B47">
            <w:pPr>
              <w:spacing w:before="0" w:after="0"/>
              <w:jc w:val="both"/>
              <w:rPr>
                <w:rFonts w:cs="Arial"/>
                <w:szCs w:val="24"/>
              </w:rPr>
            </w:pPr>
            <w:r w:rsidRPr="00BD23F5">
              <w:rPr>
                <w:rFonts w:cs="Arial"/>
                <w:szCs w:val="24"/>
              </w:rPr>
              <w:t xml:space="preserve">Langdon Hills Medical Practice </w:t>
            </w:r>
          </w:p>
          <w:p w14:paraId="04F84912" w14:textId="77777777" w:rsidR="00BD23F5" w:rsidRPr="00BD23F5" w:rsidRDefault="00BD23F5" w:rsidP="00825B47">
            <w:pPr>
              <w:spacing w:before="0" w:after="0"/>
              <w:jc w:val="both"/>
              <w:rPr>
                <w:rFonts w:cs="Arial"/>
                <w:szCs w:val="24"/>
              </w:rPr>
            </w:pPr>
            <w:r w:rsidRPr="00BD23F5">
              <w:rPr>
                <w:rFonts w:cs="Arial"/>
                <w:szCs w:val="24"/>
              </w:rPr>
              <w:t xml:space="preserve">Clayhill Medical Practice </w:t>
            </w:r>
          </w:p>
          <w:p w14:paraId="4417D968" w14:textId="77777777" w:rsidR="00BD23F5" w:rsidRPr="00BD23F5" w:rsidRDefault="00BD23F5" w:rsidP="00825B47">
            <w:pPr>
              <w:spacing w:before="0" w:after="0"/>
              <w:jc w:val="both"/>
              <w:rPr>
                <w:rFonts w:cs="Arial"/>
                <w:szCs w:val="24"/>
              </w:rPr>
            </w:pPr>
            <w:r w:rsidRPr="00BD23F5">
              <w:rPr>
                <w:rFonts w:cs="Arial"/>
                <w:szCs w:val="24"/>
              </w:rPr>
              <w:t>The Robert Frew Medical Centre</w:t>
            </w:r>
          </w:p>
          <w:p w14:paraId="61FC4884" w14:textId="77777777" w:rsidR="00BD23F5" w:rsidRPr="00BD23F5" w:rsidRDefault="00BD23F5" w:rsidP="00825B47">
            <w:pPr>
              <w:spacing w:before="0" w:after="0"/>
              <w:jc w:val="both"/>
              <w:rPr>
                <w:rFonts w:cs="Arial"/>
                <w:szCs w:val="24"/>
              </w:rPr>
            </w:pPr>
            <w:r w:rsidRPr="00BD23F5">
              <w:rPr>
                <w:rFonts w:cs="Arial"/>
                <w:szCs w:val="24"/>
              </w:rPr>
              <w:t>Swanwood Partnership</w:t>
            </w:r>
          </w:p>
          <w:p w14:paraId="2676D2B6" w14:textId="77777777" w:rsidR="00BD23F5" w:rsidRPr="00BD23F5" w:rsidRDefault="00BD23F5" w:rsidP="00825B47">
            <w:pPr>
              <w:spacing w:before="0" w:after="0"/>
              <w:jc w:val="both"/>
              <w:rPr>
                <w:rFonts w:cs="Arial"/>
                <w:szCs w:val="24"/>
              </w:rPr>
            </w:pPr>
            <w:r w:rsidRPr="00BD23F5">
              <w:rPr>
                <w:rFonts w:cs="Arial"/>
                <w:szCs w:val="24"/>
              </w:rPr>
              <w:t>The London Road Surgery</w:t>
            </w:r>
          </w:p>
          <w:p w14:paraId="377E5307" w14:textId="77777777" w:rsidR="00BD23F5" w:rsidRPr="00BD23F5" w:rsidRDefault="00BD23F5" w:rsidP="00825B47">
            <w:pPr>
              <w:spacing w:before="0" w:after="0"/>
              <w:jc w:val="both"/>
              <w:rPr>
                <w:rFonts w:cs="Arial"/>
                <w:szCs w:val="24"/>
              </w:rPr>
            </w:pPr>
            <w:r w:rsidRPr="00BD23F5">
              <w:rPr>
                <w:rFonts w:cs="Arial"/>
                <w:szCs w:val="24"/>
              </w:rPr>
              <w:t>Aegis Medical Centre</w:t>
            </w:r>
          </w:p>
          <w:p w14:paraId="04441541" w14:textId="77777777" w:rsidR="00BD23F5" w:rsidRPr="00BD23F5" w:rsidRDefault="00BD23F5" w:rsidP="00825B47">
            <w:pPr>
              <w:spacing w:before="0" w:after="0"/>
              <w:jc w:val="both"/>
              <w:rPr>
                <w:rFonts w:cs="Arial"/>
                <w:szCs w:val="24"/>
              </w:rPr>
            </w:pPr>
          </w:p>
        </w:tc>
      </w:tr>
    </w:tbl>
    <w:p w14:paraId="453889CF" w14:textId="44995E77" w:rsidR="00BD23F5" w:rsidRDefault="00BD23F5" w:rsidP="00BD23F5">
      <w:pPr>
        <w:pStyle w:val="BodyText"/>
      </w:pPr>
    </w:p>
    <w:p w14:paraId="5F9BB9B4" w14:textId="0105591E" w:rsidR="00BD23F5" w:rsidRPr="00F90D7E" w:rsidRDefault="00BD23F5" w:rsidP="00BD23F5">
      <w:pPr>
        <w:pStyle w:val="Heading3"/>
      </w:pPr>
      <w:bookmarkStart w:id="98" w:name="_Toc107389456"/>
      <w:r w:rsidRPr="00F90D7E">
        <w:t>Composition of Governing Body</w:t>
      </w:r>
      <w:bookmarkEnd w:id="98"/>
    </w:p>
    <w:p w14:paraId="7430266C" w14:textId="1A347C22" w:rsidR="00BD23F5" w:rsidRPr="00BD23F5" w:rsidRDefault="00BD23F5" w:rsidP="00BD23F5">
      <w:pPr>
        <w:rPr>
          <w:rFonts w:cs="Arial"/>
          <w:szCs w:val="24"/>
        </w:rPr>
      </w:pPr>
      <w:r w:rsidRPr="00BD23F5">
        <w:rPr>
          <w:rFonts w:cs="Arial"/>
          <w:szCs w:val="24"/>
        </w:rPr>
        <w:t>The composition of the board’s voting and non-voting members who had authority or responsibility for directing or controlling the major activities of the CCG during the year are listed below</w:t>
      </w:r>
      <w:r>
        <w:rPr>
          <w:rFonts w:cs="Arial"/>
          <w:szCs w:val="24"/>
        </w:rPr>
        <w:t>:</w:t>
      </w:r>
    </w:p>
    <w:p w14:paraId="4BB93432" w14:textId="77777777" w:rsidR="00BD23F5" w:rsidRDefault="00BD23F5" w:rsidP="00BD23F5">
      <w:pPr>
        <w:pStyle w:val="BodyText"/>
        <w:rPr>
          <w:b/>
          <w:bCs/>
          <w:sz w:val="28"/>
          <w:szCs w:val="28"/>
        </w:rPr>
      </w:pPr>
    </w:p>
    <w:p w14:paraId="763EFCFC" w14:textId="1B144B37" w:rsidR="00BD23F5" w:rsidRPr="007B2EDF" w:rsidRDefault="00BD23F5" w:rsidP="00BD23F5">
      <w:pPr>
        <w:pStyle w:val="BodyText"/>
        <w:rPr>
          <w:b/>
          <w:bCs/>
          <w:sz w:val="28"/>
          <w:szCs w:val="28"/>
        </w:rPr>
      </w:pPr>
      <w:r w:rsidRPr="007B2EDF">
        <w:rPr>
          <w:b/>
          <w:bCs/>
          <w:sz w:val="28"/>
          <w:szCs w:val="28"/>
        </w:rPr>
        <w:lastRenderedPageBreak/>
        <w:t xml:space="preserve">Voting members </w:t>
      </w:r>
    </w:p>
    <w:tbl>
      <w:tblPr>
        <w:tblStyle w:val="TableGrid"/>
        <w:tblW w:w="8505" w:type="dxa"/>
        <w:tblInd w:w="607"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087"/>
        <w:gridCol w:w="5418"/>
      </w:tblGrid>
      <w:tr w:rsidR="00BD23F5" w:rsidRPr="00BD23F5" w14:paraId="59371755" w14:textId="77777777" w:rsidTr="00825B47">
        <w:trPr>
          <w:trHeight w:val="733"/>
          <w:tblHeader/>
        </w:trPr>
        <w:tc>
          <w:tcPr>
            <w:tcW w:w="3087" w:type="dxa"/>
            <w:shd w:val="clear" w:color="auto" w:fill="DBE5F1" w:themeFill="accent1" w:themeFillTint="33"/>
          </w:tcPr>
          <w:p w14:paraId="697C4435" w14:textId="77777777" w:rsidR="00BD23F5" w:rsidRPr="00BD23F5" w:rsidRDefault="00BD23F5" w:rsidP="00825B47">
            <w:pPr>
              <w:pStyle w:val="TAbleheader"/>
              <w:spacing w:before="0" w:after="0" w:line="276" w:lineRule="auto"/>
              <w:jc w:val="both"/>
              <w:rPr>
                <w:sz w:val="24"/>
                <w:szCs w:val="24"/>
              </w:rPr>
            </w:pPr>
            <w:r w:rsidRPr="00BD23F5">
              <w:rPr>
                <w:sz w:val="24"/>
                <w:szCs w:val="24"/>
              </w:rPr>
              <w:t>Name</w:t>
            </w:r>
          </w:p>
        </w:tc>
        <w:tc>
          <w:tcPr>
            <w:tcW w:w="5418" w:type="dxa"/>
            <w:shd w:val="clear" w:color="auto" w:fill="DBE5F1" w:themeFill="accent1" w:themeFillTint="33"/>
          </w:tcPr>
          <w:p w14:paraId="5F519E69" w14:textId="77777777" w:rsidR="00BD23F5" w:rsidRPr="00BD23F5" w:rsidRDefault="00BD23F5" w:rsidP="00825B47">
            <w:pPr>
              <w:pStyle w:val="TAbleheader"/>
              <w:spacing w:before="0" w:after="0" w:line="276" w:lineRule="auto"/>
              <w:jc w:val="both"/>
              <w:rPr>
                <w:sz w:val="24"/>
                <w:szCs w:val="24"/>
              </w:rPr>
            </w:pPr>
            <w:r w:rsidRPr="00BD23F5">
              <w:rPr>
                <w:sz w:val="24"/>
                <w:szCs w:val="24"/>
              </w:rPr>
              <w:t>Role, locality (where applicable) and tenure (where the full financial year was not covered)</w:t>
            </w:r>
          </w:p>
        </w:tc>
      </w:tr>
      <w:tr w:rsidR="00BD23F5" w:rsidRPr="00BD23F5" w14:paraId="3D9F6188" w14:textId="77777777" w:rsidTr="00825B47">
        <w:trPr>
          <w:trHeight w:val="413"/>
        </w:trPr>
        <w:tc>
          <w:tcPr>
            <w:tcW w:w="3087" w:type="dxa"/>
          </w:tcPr>
          <w:p w14:paraId="3186F504" w14:textId="77777777" w:rsidR="00BD23F5" w:rsidRPr="00BD23F5" w:rsidRDefault="00BD23F5" w:rsidP="00825B47">
            <w:pPr>
              <w:spacing w:before="0" w:after="0"/>
              <w:rPr>
                <w:szCs w:val="24"/>
                <w:lang w:val="en"/>
              </w:rPr>
            </w:pPr>
            <w:r w:rsidRPr="00BD23F5">
              <w:rPr>
                <w:szCs w:val="24"/>
                <w:lang w:val="en"/>
              </w:rPr>
              <w:t>Dr Adegboyega</w:t>
            </w:r>
            <w:r w:rsidRPr="00BD23F5">
              <w:rPr>
                <w:szCs w:val="24"/>
                <w:lang w:eastAsia="en-GB"/>
              </w:rPr>
              <w:t xml:space="preserve"> (Boye) Tayo</w:t>
            </w:r>
          </w:p>
        </w:tc>
        <w:tc>
          <w:tcPr>
            <w:tcW w:w="5418" w:type="dxa"/>
          </w:tcPr>
          <w:p w14:paraId="21726BD4" w14:textId="77777777" w:rsidR="00BD23F5" w:rsidRPr="00BD23F5" w:rsidRDefault="00BD23F5" w:rsidP="00825B47">
            <w:pPr>
              <w:spacing w:before="0" w:after="0"/>
              <w:rPr>
                <w:szCs w:val="24"/>
                <w:lang w:val="en"/>
              </w:rPr>
            </w:pPr>
            <w:r w:rsidRPr="00BD23F5">
              <w:rPr>
                <w:szCs w:val="24"/>
                <w:lang w:val="en"/>
              </w:rPr>
              <w:t>Chair, GP member, SEMC Locality</w:t>
            </w:r>
          </w:p>
        </w:tc>
      </w:tr>
      <w:tr w:rsidR="00BD23F5" w:rsidRPr="00BD23F5" w14:paraId="028F2A04" w14:textId="77777777" w:rsidTr="00825B47">
        <w:tc>
          <w:tcPr>
            <w:tcW w:w="3087" w:type="dxa"/>
          </w:tcPr>
          <w:p w14:paraId="266D7D1E" w14:textId="77777777" w:rsidR="00BD23F5" w:rsidRPr="00BD23F5" w:rsidRDefault="00BD23F5" w:rsidP="00825B47">
            <w:pPr>
              <w:spacing w:before="0" w:after="0"/>
              <w:jc w:val="both"/>
              <w:rPr>
                <w:szCs w:val="24"/>
                <w:lang w:val="en"/>
              </w:rPr>
            </w:pPr>
            <w:r w:rsidRPr="00BD23F5">
              <w:rPr>
                <w:szCs w:val="24"/>
                <w:lang w:val="en"/>
              </w:rPr>
              <w:t>Dr Kenneth Wrixon</w:t>
            </w:r>
          </w:p>
        </w:tc>
        <w:tc>
          <w:tcPr>
            <w:tcW w:w="5418" w:type="dxa"/>
          </w:tcPr>
          <w:p w14:paraId="5165B227" w14:textId="77777777" w:rsidR="00BD23F5" w:rsidRPr="00BD23F5" w:rsidRDefault="00BD23F5" w:rsidP="00825B47">
            <w:pPr>
              <w:spacing w:before="0" w:after="0"/>
              <w:rPr>
                <w:szCs w:val="24"/>
                <w:lang w:val="en"/>
              </w:rPr>
            </w:pPr>
            <w:r w:rsidRPr="00BD23F5">
              <w:rPr>
                <w:szCs w:val="24"/>
                <w:lang w:val="en"/>
              </w:rPr>
              <w:t>GP member, Brentwood Locality</w:t>
            </w:r>
          </w:p>
          <w:p w14:paraId="45705C3B" w14:textId="77777777" w:rsidR="00BD23F5" w:rsidRPr="00BD23F5" w:rsidRDefault="00BD23F5" w:rsidP="00825B47">
            <w:pPr>
              <w:spacing w:before="0" w:after="0"/>
              <w:rPr>
                <w:szCs w:val="24"/>
                <w:lang w:val="en"/>
              </w:rPr>
            </w:pPr>
          </w:p>
        </w:tc>
      </w:tr>
      <w:tr w:rsidR="00BD23F5" w:rsidRPr="00BD23F5" w14:paraId="4B36D771" w14:textId="77777777" w:rsidTr="00825B47">
        <w:trPr>
          <w:trHeight w:val="70"/>
        </w:trPr>
        <w:tc>
          <w:tcPr>
            <w:tcW w:w="3087" w:type="dxa"/>
          </w:tcPr>
          <w:p w14:paraId="494B821E" w14:textId="77777777" w:rsidR="00BD23F5" w:rsidRPr="00BD23F5" w:rsidRDefault="00BD23F5" w:rsidP="00825B47">
            <w:pPr>
              <w:spacing w:before="0" w:after="0"/>
              <w:rPr>
                <w:szCs w:val="24"/>
                <w:lang w:val="en"/>
              </w:rPr>
            </w:pPr>
            <w:r w:rsidRPr="00BD23F5">
              <w:rPr>
                <w:szCs w:val="24"/>
                <w:lang w:val="en"/>
              </w:rPr>
              <w:t>Dr Sri-Aravinder Guniyangodage</w:t>
            </w:r>
          </w:p>
        </w:tc>
        <w:tc>
          <w:tcPr>
            <w:tcW w:w="5418" w:type="dxa"/>
          </w:tcPr>
          <w:p w14:paraId="70CB883F" w14:textId="77777777" w:rsidR="00BD23F5" w:rsidRPr="00BD23F5" w:rsidRDefault="00BD23F5" w:rsidP="00825B47">
            <w:pPr>
              <w:spacing w:before="0" w:after="0"/>
              <w:rPr>
                <w:szCs w:val="24"/>
                <w:lang w:val="en"/>
              </w:rPr>
            </w:pPr>
            <w:r w:rsidRPr="00BD23F5">
              <w:rPr>
                <w:szCs w:val="24"/>
                <w:lang w:val="en"/>
              </w:rPr>
              <w:t>GP member, Brentwood Locality</w:t>
            </w:r>
          </w:p>
        </w:tc>
      </w:tr>
      <w:tr w:rsidR="00BD23F5" w:rsidRPr="00BD23F5" w14:paraId="614D998F" w14:textId="77777777" w:rsidTr="00825B47">
        <w:trPr>
          <w:trHeight w:val="70"/>
        </w:trPr>
        <w:tc>
          <w:tcPr>
            <w:tcW w:w="3087" w:type="dxa"/>
          </w:tcPr>
          <w:p w14:paraId="11F3DBF3" w14:textId="77777777" w:rsidR="00BD23F5" w:rsidRPr="00BD23F5" w:rsidRDefault="00BD23F5" w:rsidP="00825B47">
            <w:pPr>
              <w:spacing w:before="0" w:after="0"/>
              <w:jc w:val="both"/>
              <w:rPr>
                <w:szCs w:val="24"/>
                <w:lang w:val="en"/>
              </w:rPr>
            </w:pPr>
            <w:r w:rsidRPr="00BD23F5">
              <w:rPr>
                <w:szCs w:val="24"/>
                <w:lang w:val="en"/>
              </w:rPr>
              <w:t>Dr Sooraj Natarajan</w:t>
            </w:r>
          </w:p>
        </w:tc>
        <w:tc>
          <w:tcPr>
            <w:tcW w:w="5418" w:type="dxa"/>
          </w:tcPr>
          <w:p w14:paraId="5349C135" w14:textId="77777777" w:rsidR="00BD23F5" w:rsidRPr="00BD23F5" w:rsidRDefault="00BD23F5" w:rsidP="00825B47">
            <w:pPr>
              <w:spacing w:before="0" w:after="0"/>
              <w:rPr>
                <w:szCs w:val="24"/>
                <w:lang w:val="en"/>
              </w:rPr>
            </w:pPr>
            <w:r w:rsidRPr="00BD23F5">
              <w:rPr>
                <w:szCs w:val="24"/>
                <w:lang w:val="en"/>
              </w:rPr>
              <w:t>GP member, Brentwood Locality</w:t>
            </w:r>
          </w:p>
          <w:p w14:paraId="4F85F67B" w14:textId="77777777" w:rsidR="00BD23F5" w:rsidRPr="00BD23F5" w:rsidRDefault="00BD23F5" w:rsidP="00825B47">
            <w:pPr>
              <w:spacing w:before="0" w:after="0"/>
              <w:rPr>
                <w:szCs w:val="24"/>
                <w:lang w:val="en"/>
              </w:rPr>
            </w:pPr>
          </w:p>
        </w:tc>
      </w:tr>
      <w:tr w:rsidR="00BD23F5" w:rsidRPr="00BD23F5" w14:paraId="77C7A142" w14:textId="77777777" w:rsidTr="00825B47">
        <w:tc>
          <w:tcPr>
            <w:tcW w:w="3087" w:type="dxa"/>
          </w:tcPr>
          <w:p w14:paraId="7908EAB9" w14:textId="77777777" w:rsidR="00BD23F5" w:rsidRPr="00BD23F5" w:rsidRDefault="00BD23F5" w:rsidP="00825B47">
            <w:pPr>
              <w:spacing w:before="0" w:after="0"/>
              <w:jc w:val="both"/>
              <w:rPr>
                <w:szCs w:val="24"/>
                <w:lang w:val="en"/>
              </w:rPr>
            </w:pPr>
            <w:r w:rsidRPr="00BD23F5">
              <w:rPr>
                <w:szCs w:val="24"/>
                <w:lang w:val="en"/>
              </w:rPr>
              <w:t>Dr Babafemi Salako</w:t>
            </w:r>
          </w:p>
        </w:tc>
        <w:tc>
          <w:tcPr>
            <w:tcW w:w="5418" w:type="dxa"/>
          </w:tcPr>
          <w:p w14:paraId="6621AAFF" w14:textId="77777777" w:rsidR="00BD23F5" w:rsidRPr="00BD23F5" w:rsidRDefault="00BD23F5" w:rsidP="00825B47">
            <w:pPr>
              <w:spacing w:before="0" w:after="0"/>
              <w:rPr>
                <w:szCs w:val="24"/>
                <w:lang w:val="en"/>
              </w:rPr>
            </w:pPr>
            <w:r w:rsidRPr="00BD23F5">
              <w:rPr>
                <w:szCs w:val="24"/>
                <w:lang w:val="en"/>
              </w:rPr>
              <w:t>GP member, SEMC Locality</w:t>
            </w:r>
          </w:p>
          <w:p w14:paraId="34A9F924" w14:textId="77777777" w:rsidR="00BD23F5" w:rsidRPr="00BD23F5" w:rsidRDefault="00BD23F5" w:rsidP="00825B47">
            <w:pPr>
              <w:spacing w:before="0" w:after="0"/>
              <w:rPr>
                <w:szCs w:val="24"/>
                <w:lang w:val="en"/>
              </w:rPr>
            </w:pPr>
          </w:p>
        </w:tc>
      </w:tr>
      <w:tr w:rsidR="00BD23F5" w:rsidRPr="00BD23F5" w14:paraId="3A76AD91" w14:textId="77777777" w:rsidTr="00825B47">
        <w:tc>
          <w:tcPr>
            <w:tcW w:w="3087" w:type="dxa"/>
          </w:tcPr>
          <w:p w14:paraId="4082503F" w14:textId="77777777" w:rsidR="00BD23F5" w:rsidRPr="00BD23F5" w:rsidRDefault="00BD23F5" w:rsidP="00825B47">
            <w:pPr>
              <w:spacing w:before="0" w:after="0"/>
              <w:jc w:val="both"/>
              <w:rPr>
                <w:szCs w:val="24"/>
                <w:lang w:val="en"/>
              </w:rPr>
            </w:pPr>
            <w:r w:rsidRPr="00BD23F5">
              <w:rPr>
                <w:szCs w:val="24"/>
                <w:lang w:val="en"/>
              </w:rPr>
              <w:t>Dr Nimit Dabas</w:t>
            </w:r>
          </w:p>
        </w:tc>
        <w:tc>
          <w:tcPr>
            <w:tcW w:w="5418" w:type="dxa"/>
          </w:tcPr>
          <w:p w14:paraId="624D50AF" w14:textId="77777777" w:rsidR="00BD23F5" w:rsidRPr="00BD23F5" w:rsidRDefault="00BD23F5" w:rsidP="00825B47">
            <w:pPr>
              <w:spacing w:before="0" w:after="0"/>
              <w:rPr>
                <w:szCs w:val="24"/>
                <w:lang w:val="en"/>
              </w:rPr>
            </w:pPr>
            <w:r w:rsidRPr="00BD23F5">
              <w:rPr>
                <w:szCs w:val="24"/>
                <w:lang w:val="en"/>
              </w:rPr>
              <w:t xml:space="preserve">GP member, Arterial Locality </w:t>
            </w:r>
          </w:p>
          <w:p w14:paraId="4B1D3492" w14:textId="77777777" w:rsidR="00BD23F5" w:rsidRPr="00BD23F5" w:rsidRDefault="00BD23F5" w:rsidP="00825B47">
            <w:pPr>
              <w:spacing w:before="0" w:after="0"/>
              <w:rPr>
                <w:szCs w:val="24"/>
                <w:lang w:val="en"/>
              </w:rPr>
            </w:pPr>
          </w:p>
        </w:tc>
      </w:tr>
      <w:tr w:rsidR="00BD23F5" w:rsidRPr="00BD23F5" w14:paraId="0CE04F96" w14:textId="77777777" w:rsidTr="00825B47">
        <w:tc>
          <w:tcPr>
            <w:tcW w:w="3087" w:type="dxa"/>
          </w:tcPr>
          <w:p w14:paraId="75ED560F" w14:textId="77777777" w:rsidR="00BD23F5" w:rsidRPr="00BD23F5" w:rsidRDefault="00BD23F5" w:rsidP="00825B47">
            <w:pPr>
              <w:spacing w:before="0" w:after="0"/>
              <w:jc w:val="both"/>
              <w:rPr>
                <w:szCs w:val="24"/>
              </w:rPr>
            </w:pPr>
            <w:r w:rsidRPr="00BD23F5">
              <w:rPr>
                <w:szCs w:val="24"/>
                <w:lang w:val="en"/>
              </w:rPr>
              <w:t xml:space="preserve">Dr </w:t>
            </w:r>
            <w:r w:rsidRPr="00BD23F5">
              <w:rPr>
                <w:szCs w:val="24"/>
              </w:rPr>
              <w:t>Olugbenga Odutola</w:t>
            </w:r>
          </w:p>
        </w:tc>
        <w:tc>
          <w:tcPr>
            <w:tcW w:w="5418" w:type="dxa"/>
          </w:tcPr>
          <w:p w14:paraId="2D0B7B1B" w14:textId="77777777" w:rsidR="00BD23F5" w:rsidRPr="00BD23F5" w:rsidRDefault="00BD23F5" w:rsidP="00825B47">
            <w:pPr>
              <w:spacing w:before="0" w:after="0"/>
              <w:rPr>
                <w:szCs w:val="24"/>
                <w:lang w:val="en"/>
              </w:rPr>
            </w:pPr>
            <w:r w:rsidRPr="00BD23F5">
              <w:rPr>
                <w:szCs w:val="24"/>
                <w:lang w:val="en"/>
              </w:rPr>
              <w:t xml:space="preserve">GP member, Arterial Locality </w:t>
            </w:r>
          </w:p>
          <w:p w14:paraId="2C7E85D0" w14:textId="77777777" w:rsidR="00BD23F5" w:rsidRPr="00BD23F5" w:rsidRDefault="00BD23F5" w:rsidP="00825B47">
            <w:pPr>
              <w:spacing w:before="0" w:after="0"/>
              <w:rPr>
                <w:strike/>
                <w:szCs w:val="24"/>
                <w:lang w:val="en"/>
              </w:rPr>
            </w:pPr>
          </w:p>
        </w:tc>
      </w:tr>
      <w:tr w:rsidR="00BD23F5" w:rsidRPr="00BD23F5" w14:paraId="3371BB36" w14:textId="77777777" w:rsidTr="00825B47">
        <w:tc>
          <w:tcPr>
            <w:tcW w:w="3087" w:type="dxa"/>
          </w:tcPr>
          <w:p w14:paraId="1459EADD" w14:textId="77777777" w:rsidR="00BD23F5" w:rsidRPr="00BD23F5" w:rsidRDefault="00BD23F5" w:rsidP="00825B47">
            <w:pPr>
              <w:spacing w:before="0" w:after="0"/>
              <w:jc w:val="both"/>
              <w:rPr>
                <w:szCs w:val="24"/>
                <w:lang w:val="en"/>
              </w:rPr>
            </w:pPr>
            <w:r w:rsidRPr="00BD23F5">
              <w:rPr>
                <w:szCs w:val="24"/>
                <w:lang w:val="en"/>
              </w:rPr>
              <w:t>Dr Anita Pereira</w:t>
            </w:r>
          </w:p>
        </w:tc>
        <w:tc>
          <w:tcPr>
            <w:tcW w:w="5418" w:type="dxa"/>
          </w:tcPr>
          <w:p w14:paraId="5893CAB2" w14:textId="77777777" w:rsidR="00BD23F5" w:rsidRPr="00BD23F5" w:rsidRDefault="00BD23F5" w:rsidP="00825B47">
            <w:pPr>
              <w:spacing w:before="0" w:after="0"/>
              <w:rPr>
                <w:szCs w:val="24"/>
                <w:lang w:val="en"/>
              </w:rPr>
            </w:pPr>
            <w:r w:rsidRPr="00BD23F5">
              <w:rPr>
                <w:szCs w:val="24"/>
                <w:lang w:val="en"/>
              </w:rPr>
              <w:t>GP member, Partnership BIC</w:t>
            </w:r>
          </w:p>
          <w:p w14:paraId="38D3E129" w14:textId="77777777" w:rsidR="00BD23F5" w:rsidRPr="00BD23F5" w:rsidRDefault="00BD23F5" w:rsidP="00825B47">
            <w:pPr>
              <w:spacing w:before="0" w:after="0"/>
              <w:rPr>
                <w:szCs w:val="24"/>
                <w:lang w:val="en"/>
              </w:rPr>
            </w:pPr>
          </w:p>
        </w:tc>
      </w:tr>
      <w:tr w:rsidR="00BD23F5" w:rsidRPr="00BD23F5" w14:paraId="29D153AD" w14:textId="77777777" w:rsidTr="00825B47">
        <w:tc>
          <w:tcPr>
            <w:tcW w:w="3087" w:type="dxa"/>
          </w:tcPr>
          <w:p w14:paraId="2D27CDE0" w14:textId="77777777" w:rsidR="00BD23F5" w:rsidRPr="00BD23F5" w:rsidRDefault="00BD23F5" w:rsidP="00825B47">
            <w:pPr>
              <w:spacing w:before="0" w:after="0"/>
              <w:jc w:val="both"/>
              <w:rPr>
                <w:szCs w:val="24"/>
                <w:lang w:val="en"/>
              </w:rPr>
            </w:pPr>
            <w:r w:rsidRPr="00BD23F5">
              <w:rPr>
                <w:szCs w:val="24"/>
                <w:lang w:val="en"/>
              </w:rPr>
              <w:t>Dr Vishal Sharma</w:t>
            </w:r>
          </w:p>
        </w:tc>
        <w:tc>
          <w:tcPr>
            <w:tcW w:w="5418" w:type="dxa"/>
          </w:tcPr>
          <w:p w14:paraId="6B11DA3F" w14:textId="77777777" w:rsidR="00BD23F5" w:rsidRPr="00BD23F5" w:rsidRDefault="00BD23F5" w:rsidP="00825B47">
            <w:pPr>
              <w:spacing w:before="0" w:after="0"/>
              <w:rPr>
                <w:szCs w:val="24"/>
                <w:lang w:val="en"/>
              </w:rPr>
            </w:pPr>
            <w:r w:rsidRPr="00BD23F5">
              <w:rPr>
                <w:szCs w:val="24"/>
                <w:lang w:val="en"/>
              </w:rPr>
              <w:t xml:space="preserve">GP member, Partnership BIC </w:t>
            </w:r>
          </w:p>
          <w:p w14:paraId="26EE94DB" w14:textId="77777777" w:rsidR="00BD23F5" w:rsidRPr="00BD23F5" w:rsidRDefault="00BD23F5" w:rsidP="00825B47">
            <w:pPr>
              <w:spacing w:before="0" w:after="0"/>
              <w:rPr>
                <w:szCs w:val="24"/>
                <w:lang w:val="en"/>
              </w:rPr>
            </w:pPr>
          </w:p>
        </w:tc>
      </w:tr>
      <w:tr w:rsidR="00BD23F5" w:rsidRPr="00BD23F5" w14:paraId="236B0472" w14:textId="77777777" w:rsidTr="00825B47">
        <w:tc>
          <w:tcPr>
            <w:tcW w:w="3087" w:type="dxa"/>
          </w:tcPr>
          <w:p w14:paraId="5E83DD93" w14:textId="77777777" w:rsidR="00BD23F5" w:rsidRPr="00BD23F5" w:rsidRDefault="00BD23F5" w:rsidP="00825B47">
            <w:pPr>
              <w:spacing w:before="0" w:after="0"/>
              <w:jc w:val="both"/>
              <w:rPr>
                <w:szCs w:val="24"/>
                <w:lang w:val="en"/>
              </w:rPr>
            </w:pPr>
            <w:r w:rsidRPr="00BD23F5">
              <w:rPr>
                <w:szCs w:val="24"/>
                <w:lang w:val="en"/>
              </w:rPr>
              <w:t>Anthony McKeever</w:t>
            </w:r>
          </w:p>
        </w:tc>
        <w:tc>
          <w:tcPr>
            <w:tcW w:w="5418" w:type="dxa"/>
          </w:tcPr>
          <w:p w14:paraId="03D8466B" w14:textId="77777777" w:rsidR="00BD23F5" w:rsidRPr="00BD23F5" w:rsidRDefault="00BD23F5" w:rsidP="00825B47">
            <w:pPr>
              <w:spacing w:before="0" w:after="0"/>
              <w:rPr>
                <w:szCs w:val="24"/>
                <w:lang w:val="en"/>
              </w:rPr>
            </w:pPr>
            <w:r w:rsidRPr="00BD23F5">
              <w:rPr>
                <w:szCs w:val="24"/>
                <w:lang w:val="en"/>
              </w:rPr>
              <w:t>Joint Accountable Officer</w:t>
            </w:r>
          </w:p>
          <w:p w14:paraId="1B122D92" w14:textId="77777777" w:rsidR="00BD23F5" w:rsidRPr="00BD23F5" w:rsidRDefault="00BD23F5" w:rsidP="00825B47">
            <w:pPr>
              <w:spacing w:before="0" w:after="0"/>
              <w:rPr>
                <w:i/>
                <w:szCs w:val="24"/>
                <w:lang w:val="en"/>
              </w:rPr>
            </w:pPr>
          </w:p>
        </w:tc>
      </w:tr>
      <w:tr w:rsidR="00BD23F5" w:rsidRPr="00BD23F5" w14:paraId="4EF1C260" w14:textId="77777777" w:rsidTr="00825B47">
        <w:tc>
          <w:tcPr>
            <w:tcW w:w="3087" w:type="dxa"/>
          </w:tcPr>
          <w:p w14:paraId="5B964B0D" w14:textId="77777777" w:rsidR="00BD23F5" w:rsidRPr="00BD23F5" w:rsidRDefault="00BD23F5" w:rsidP="00825B47">
            <w:pPr>
              <w:spacing w:before="0" w:after="0"/>
              <w:jc w:val="both"/>
              <w:rPr>
                <w:szCs w:val="24"/>
                <w:lang w:val="en"/>
              </w:rPr>
            </w:pPr>
            <w:r w:rsidRPr="00BD23F5">
              <w:rPr>
                <w:szCs w:val="24"/>
                <w:lang w:val="en"/>
              </w:rPr>
              <w:t>Mark Barker</w:t>
            </w:r>
          </w:p>
        </w:tc>
        <w:tc>
          <w:tcPr>
            <w:tcW w:w="5418" w:type="dxa"/>
          </w:tcPr>
          <w:p w14:paraId="2FCA100F" w14:textId="77777777" w:rsidR="00BD23F5" w:rsidRPr="00BD23F5" w:rsidRDefault="00BD23F5" w:rsidP="00825B47">
            <w:pPr>
              <w:spacing w:before="0" w:after="0"/>
              <w:rPr>
                <w:szCs w:val="24"/>
                <w:lang w:val="en"/>
              </w:rPr>
            </w:pPr>
            <w:r w:rsidRPr="00BD23F5">
              <w:rPr>
                <w:szCs w:val="24"/>
                <w:lang w:val="en"/>
              </w:rPr>
              <w:t xml:space="preserve">Chief Finance Officer </w:t>
            </w:r>
          </w:p>
          <w:p w14:paraId="75D6DD39" w14:textId="77777777" w:rsidR="00BD23F5" w:rsidRPr="00BD23F5" w:rsidRDefault="00BD23F5" w:rsidP="00825B47">
            <w:pPr>
              <w:spacing w:before="0" w:after="0"/>
              <w:rPr>
                <w:szCs w:val="24"/>
                <w:lang w:val="en"/>
              </w:rPr>
            </w:pPr>
          </w:p>
        </w:tc>
      </w:tr>
      <w:tr w:rsidR="00BD23F5" w:rsidRPr="00BD23F5" w14:paraId="1DEC82C8" w14:textId="77777777" w:rsidTr="00825B47">
        <w:tc>
          <w:tcPr>
            <w:tcW w:w="3087" w:type="dxa"/>
          </w:tcPr>
          <w:p w14:paraId="2BBAC1A8" w14:textId="77777777" w:rsidR="00BD23F5" w:rsidRPr="00BD23F5" w:rsidRDefault="00BD23F5" w:rsidP="00825B47">
            <w:pPr>
              <w:spacing w:before="0" w:after="0"/>
              <w:jc w:val="both"/>
              <w:rPr>
                <w:szCs w:val="24"/>
                <w:lang w:val="en"/>
              </w:rPr>
            </w:pPr>
            <w:r w:rsidRPr="00BD23F5">
              <w:rPr>
                <w:szCs w:val="24"/>
                <w:lang w:val="en"/>
              </w:rPr>
              <w:t>William Guy</w:t>
            </w:r>
          </w:p>
        </w:tc>
        <w:tc>
          <w:tcPr>
            <w:tcW w:w="5418" w:type="dxa"/>
          </w:tcPr>
          <w:p w14:paraId="36A40946" w14:textId="77777777" w:rsidR="00BD23F5" w:rsidRPr="00BD23F5" w:rsidRDefault="00BD23F5" w:rsidP="00825B47">
            <w:pPr>
              <w:spacing w:before="0" w:after="0"/>
              <w:rPr>
                <w:szCs w:val="24"/>
                <w:lang w:val="en"/>
              </w:rPr>
            </w:pPr>
            <w:r w:rsidRPr="00BD23F5">
              <w:rPr>
                <w:szCs w:val="24"/>
                <w:lang w:val="en"/>
              </w:rPr>
              <w:t>Alliance Director</w:t>
            </w:r>
          </w:p>
          <w:p w14:paraId="4E048198" w14:textId="77777777" w:rsidR="00BD23F5" w:rsidRPr="00BD23F5" w:rsidDel="00B03043" w:rsidRDefault="00BD23F5" w:rsidP="00825B47">
            <w:pPr>
              <w:spacing w:before="0" w:after="0"/>
              <w:rPr>
                <w:i/>
                <w:szCs w:val="24"/>
                <w:lang w:val="en"/>
              </w:rPr>
            </w:pPr>
          </w:p>
        </w:tc>
      </w:tr>
      <w:tr w:rsidR="00BD23F5" w:rsidRPr="00BD23F5" w14:paraId="08144232" w14:textId="77777777" w:rsidTr="00825B47">
        <w:trPr>
          <w:trHeight w:val="70"/>
        </w:trPr>
        <w:tc>
          <w:tcPr>
            <w:tcW w:w="3087" w:type="dxa"/>
          </w:tcPr>
          <w:p w14:paraId="1561EEFA" w14:textId="77777777" w:rsidR="00BD23F5" w:rsidRPr="00BD23F5" w:rsidRDefault="00BD23F5" w:rsidP="00825B47">
            <w:pPr>
              <w:spacing w:before="0" w:after="0"/>
              <w:jc w:val="both"/>
              <w:rPr>
                <w:szCs w:val="24"/>
                <w:lang w:val="en"/>
              </w:rPr>
            </w:pPr>
            <w:r w:rsidRPr="00BD23F5">
              <w:rPr>
                <w:szCs w:val="24"/>
                <w:lang w:val="en"/>
              </w:rPr>
              <w:t>Dr Julia Hale</w:t>
            </w:r>
          </w:p>
        </w:tc>
        <w:tc>
          <w:tcPr>
            <w:tcW w:w="5418" w:type="dxa"/>
          </w:tcPr>
          <w:p w14:paraId="6919A8C3" w14:textId="77777777" w:rsidR="00BD23F5" w:rsidRPr="00BD23F5" w:rsidRDefault="00BD23F5" w:rsidP="00825B47">
            <w:pPr>
              <w:spacing w:before="0" w:after="0"/>
              <w:rPr>
                <w:szCs w:val="24"/>
                <w:lang w:val="en"/>
              </w:rPr>
            </w:pPr>
            <w:r w:rsidRPr="00BD23F5">
              <w:rPr>
                <w:szCs w:val="24"/>
                <w:lang w:val="en"/>
              </w:rPr>
              <w:t>Secondary Care Consultant</w:t>
            </w:r>
          </w:p>
          <w:p w14:paraId="186C26AC" w14:textId="77777777" w:rsidR="00BD23F5" w:rsidRPr="00BD23F5" w:rsidRDefault="00BD23F5" w:rsidP="00825B47">
            <w:pPr>
              <w:spacing w:before="0" w:after="0"/>
              <w:rPr>
                <w:szCs w:val="24"/>
                <w:lang w:val="en"/>
              </w:rPr>
            </w:pPr>
          </w:p>
        </w:tc>
      </w:tr>
      <w:tr w:rsidR="00BD23F5" w:rsidRPr="00BD23F5" w14:paraId="6D364132" w14:textId="77777777" w:rsidTr="00825B47">
        <w:tc>
          <w:tcPr>
            <w:tcW w:w="3087" w:type="dxa"/>
          </w:tcPr>
          <w:p w14:paraId="0C3C2400" w14:textId="77777777" w:rsidR="00BD23F5" w:rsidRPr="00BD23F5" w:rsidRDefault="00BD23F5" w:rsidP="00825B47">
            <w:pPr>
              <w:spacing w:before="0" w:after="0"/>
              <w:jc w:val="both"/>
              <w:rPr>
                <w:szCs w:val="24"/>
                <w:lang w:val="en"/>
              </w:rPr>
            </w:pPr>
            <w:r w:rsidRPr="00BD23F5">
              <w:rPr>
                <w:szCs w:val="24"/>
                <w:lang w:val="en"/>
              </w:rPr>
              <w:t>Gillian Meriel Jones</w:t>
            </w:r>
          </w:p>
        </w:tc>
        <w:tc>
          <w:tcPr>
            <w:tcW w:w="5418" w:type="dxa"/>
          </w:tcPr>
          <w:p w14:paraId="7A3DD170" w14:textId="77777777" w:rsidR="00BD23F5" w:rsidRPr="00BD23F5" w:rsidRDefault="00BD23F5" w:rsidP="00825B47">
            <w:pPr>
              <w:spacing w:before="0" w:after="0"/>
              <w:rPr>
                <w:szCs w:val="24"/>
                <w:lang w:val="en"/>
              </w:rPr>
            </w:pPr>
            <w:r w:rsidRPr="00BD23F5">
              <w:rPr>
                <w:szCs w:val="24"/>
                <w:lang w:val="en"/>
              </w:rPr>
              <w:t>Lay member, Patient &amp; Public Involvement</w:t>
            </w:r>
          </w:p>
          <w:p w14:paraId="3098B3CB" w14:textId="77777777" w:rsidR="00BD23F5" w:rsidRPr="00BD23F5" w:rsidRDefault="00BD23F5" w:rsidP="00825B47">
            <w:pPr>
              <w:spacing w:before="0" w:after="0"/>
              <w:rPr>
                <w:szCs w:val="24"/>
                <w:lang w:val="en"/>
              </w:rPr>
            </w:pPr>
          </w:p>
        </w:tc>
      </w:tr>
      <w:tr w:rsidR="00BD23F5" w:rsidRPr="00BD23F5" w14:paraId="7D4622D9" w14:textId="77777777" w:rsidTr="00825B47">
        <w:tc>
          <w:tcPr>
            <w:tcW w:w="3087" w:type="dxa"/>
          </w:tcPr>
          <w:p w14:paraId="556FFBD2" w14:textId="77777777" w:rsidR="00BD23F5" w:rsidRPr="00BD23F5" w:rsidRDefault="00BD23F5" w:rsidP="00825B47">
            <w:pPr>
              <w:spacing w:before="0" w:after="0"/>
              <w:jc w:val="both"/>
              <w:rPr>
                <w:szCs w:val="24"/>
                <w:lang w:val="en"/>
              </w:rPr>
            </w:pPr>
            <w:r w:rsidRPr="00BD23F5">
              <w:rPr>
                <w:szCs w:val="24"/>
                <w:lang w:val="en"/>
              </w:rPr>
              <w:t>Rachel Hearn</w:t>
            </w:r>
          </w:p>
        </w:tc>
        <w:tc>
          <w:tcPr>
            <w:tcW w:w="5418" w:type="dxa"/>
          </w:tcPr>
          <w:p w14:paraId="441C8D6B" w14:textId="77777777" w:rsidR="00BD23F5" w:rsidRPr="00BD23F5" w:rsidRDefault="00BD23F5" w:rsidP="00825B47">
            <w:pPr>
              <w:spacing w:before="0" w:after="0"/>
              <w:rPr>
                <w:szCs w:val="24"/>
                <w:lang w:val="en"/>
              </w:rPr>
            </w:pPr>
            <w:r w:rsidRPr="00BD23F5">
              <w:rPr>
                <w:szCs w:val="24"/>
                <w:lang w:val="en"/>
              </w:rPr>
              <w:t>Executive Director of Quality and Nursing</w:t>
            </w:r>
          </w:p>
          <w:p w14:paraId="166A0B74" w14:textId="77777777" w:rsidR="00BD23F5" w:rsidRPr="00BD23F5" w:rsidRDefault="00BD23F5" w:rsidP="00825B47">
            <w:pPr>
              <w:spacing w:before="0" w:after="0"/>
              <w:rPr>
                <w:szCs w:val="24"/>
                <w:lang w:val="en"/>
              </w:rPr>
            </w:pPr>
          </w:p>
        </w:tc>
      </w:tr>
      <w:tr w:rsidR="00BD23F5" w:rsidRPr="00BD23F5" w14:paraId="36F68DCD" w14:textId="77777777" w:rsidTr="00825B47">
        <w:tc>
          <w:tcPr>
            <w:tcW w:w="3087" w:type="dxa"/>
          </w:tcPr>
          <w:p w14:paraId="06B3EA81" w14:textId="77777777" w:rsidR="00BD23F5" w:rsidRPr="00BD23F5" w:rsidRDefault="00BD23F5" w:rsidP="00825B47">
            <w:pPr>
              <w:spacing w:before="0" w:after="0"/>
              <w:jc w:val="both"/>
              <w:rPr>
                <w:szCs w:val="24"/>
                <w:lang w:val="en"/>
              </w:rPr>
            </w:pPr>
            <w:r w:rsidRPr="00BD23F5">
              <w:rPr>
                <w:szCs w:val="24"/>
                <w:lang w:val="en"/>
              </w:rPr>
              <w:t>Katherine Kirk MBE</w:t>
            </w:r>
          </w:p>
        </w:tc>
        <w:tc>
          <w:tcPr>
            <w:tcW w:w="5418" w:type="dxa"/>
          </w:tcPr>
          <w:p w14:paraId="3F37FA28" w14:textId="77777777" w:rsidR="00BD23F5" w:rsidRPr="00BD23F5" w:rsidRDefault="00BD23F5" w:rsidP="00825B47">
            <w:pPr>
              <w:spacing w:before="0" w:after="0"/>
              <w:rPr>
                <w:szCs w:val="24"/>
                <w:lang w:val="en"/>
              </w:rPr>
            </w:pPr>
            <w:r w:rsidRPr="00BD23F5">
              <w:rPr>
                <w:szCs w:val="24"/>
                <w:lang w:val="en"/>
              </w:rPr>
              <w:t>Lay Member, Governance and Deputy Chair</w:t>
            </w:r>
          </w:p>
          <w:p w14:paraId="61849936" w14:textId="77777777" w:rsidR="00BD23F5" w:rsidRPr="00BD23F5" w:rsidRDefault="00BD23F5" w:rsidP="00825B47">
            <w:pPr>
              <w:spacing w:before="0" w:after="0"/>
              <w:rPr>
                <w:szCs w:val="24"/>
                <w:lang w:val="en"/>
              </w:rPr>
            </w:pPr>
          </w:p>
        </w:tc>
      </w:tr>
      <w:tr w:rsidR="00BD23F5" w:rsidRPr="00BD23F5" w14:paraId="3A639961" w14:textId="77777777" w:rsidTr="00825B47">
        <w:tc>
          <w:tcPr>
            <w:tcW w:w="3087" w:type="dxa"/>
          </w:tcPr>
          <w:p w14:paraId="2BAABB81" w14:textId="77777777" w:rsidR="00BD23F5" w:rsidRPr="00BD23F5" w:rsidRDefault="00BD23F5" w:rsidP="00825B47">
            <w:pPr>
              <w:spacing w:before="0" w:after="0"/>
              <w:jc w:val="both"/>
              <w:rPr>
                <w:szCs w:val="24"/>
                <w:lang w:val="en"/>
              </w:rPr>
            </w:pPr>
            <w:r w:rsidRPr="00BD23F5">
              <w:rPr>
                <w:szCs w:val="24"/>
                <w:lang w:val="en"/>
              </w:rPr>
              <w:t>Nicolas Spenceley</w:t>
            </w:r>
          </w:p>
        </w:tc>
        <w:tc>
          <w:tcPr>
            <w:tcW w:w="5418" w:type="dxa"/>
          </w:tcPr>
          <w:p w14:paraId="4FE80905" w14:textId="77777777" w:rsidR="00BD23F5" w:rsidRPr="00BD23F5" w:rsidRDefault="00BD23F5" w:rsidP="00825B47">
            <w:pPr>
              <w:spacing w:before="0" w:after="0"/>
              <w:rPr>
                <w:szCs w:val="24"/>
                <w:lang w:val="en"/>
              </w:rPr>
            </w:pPr>
            <w:r w:rsidRPr="00BD23F5">
              <w:rPr>
                <w:szCs w:val="24"/>
                <w:lang w:val="en"/>
              </w:rPr>
              <w:t>Lay Member and Audit Chair</w:t>
            </w:r>
          </w:p>
          <w:p w14:paraId="13AEF7C2" w14:textId="77777777" w:rsidR="00BD23F5" w:rsidRPr="00BD23F5" w:rsidRDefault="00BD23F5" w:rsidP="00825B47">
            <w:pPr>
              <w:spacing w:before="0" w:after="0"/>
              <w:rPr>
                <w:szCs w:val="24"/>
                <w:lang w:val="en"/>
              </w:rPr>
            </w:pPr>
          </w:p>
        </w:tc>
      </w:tr>
    </w:tbl>
    <w:p w14:paraId="19FFF828" w14:textId="77777777" w:rsidR="00BD23F5" w:rsidRPr="007830C3" w:rsidRDefault="00BD23F5" w:rsidP="00BD23F5">
      <w:pPr>
        <w:pStyle w:val="Heading5"/>
        <w:spacing w:before="0"/>
        <w:jc w:val="both"/>
        <w:rPr>
          <w:rFonts w:ascii="Arial" w:hAnsi="Arial" w:cs="Arial"/>
          <w:b/>
          <w:bCs/>
          <w:color w:val="auto"/>
        </w:rPr>
      </w:pPr>
    </w:p>
    <w:p w14:paraId="0BDFC8D0" w14:textId="77777777" w:rsidR="00BD23F5" w:rsidRPr="007830C3" w:rsidRDefault="00BD23F5" w:rsidP="00BD23F5">
      <w:pPr>
        <w:pStyle w:val="Heading5"/>
        <w:spacing w:before="0"/>
        <w:jc w:val="both"/>
        <w:rPr>
          <w:rFonts w:ascii="Arial" w:hAnsi="Arial" w:cs="Arial"/>
          <w:b/>
          <w:bCs/>
          <w:color w:val="auto"/>
        </w:rPr>
      </w:pPr>
      <w:r w:rsidRPr="007830C3">
        <w:rPr>
          <w:rFonts w:ascii="Arial" w:hAnsi="Arial" w:cs="Arial"/>
          <w:b/>
          <w:bCs/>
          <w:color w:val="auto"/>
        </w:rPr>
        <w:t>Non-voting members with speaking rights</w:t>
      </w:r>
    </w:p>
    <w:p w14:paraId="23278278" w14:textId="77777777" w:rsidR="00BD23F5" w:rsidRPr="007830C3" w:rsidRDefault="00BD23F5" w:rsidP="00BD23F5">
      <w:pPr>
        <w:spacing w:before="0" w:after="0"/>
      </w:pPr>
    </w:p>
    <w:tbl>
      <w:tblPr>
        <w:tblStyle w:val="TableGrid"/>
        <w:tblW w:w="8505" w:type="dxa"/>
        <w:tblInd w:w="607"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087"/>
        <w:gridCol w:w="5418"/>
      </w:tblGrid>
      <w:tr w:rsidR="00BD23F5" w:rsidRPr="007830C3" w14:paraId="6381926D" w14:textId="77777777" w:rsidTr="00825B47">
        <w:trPr>
          <w:tblHeader/>
        </w:trPr>
        <w:tc>
          <w:tcPr>
            <w:tcW w:w="3087" w:type="dxa"/>
            <w:shd w:val="clear" w:color="auto" w:fill="DBE5F1" w:themeFill="accent1" w:themeFillTint="33"/>
          </w:tcPr>
          <w:p w14:paraId="3DC50432" w14:textId="77777777" w:rsidR="00BD23F5" w:rsidRPr="007830C3" w:rsidRDefault="00BD23F5" w:rsidP="00825B47">
            <w:pPr>
              <w:pStyle w:val="TAbleheader"/>
              <w:spacing w:before="0" w:after="0" w:line="276" w:lineRule="auto"/>
              <w:jc w:val="both"/>
            </w:pPr>
            <w:r w:rsidRPr="007830C3">
              <w:t>Name</w:t>
            </w:r>
          </w:p>
        </w:tc>
        <w:tc>
          <w:tcPr>
            <w:tcW w:w="5418" w:type="dxa"/>
            <w:shd w:val="clear" w:color="auto" w:fill="DBE5F1" w:themeFill="accent1" w:themeFillTint="33"/>
          </w:tcPr>
          <w:p w14:paraId="4A3EBA65" w14:textId="77777777" w:rsidR="00BD23F5" w:rsidRPr="007830C3" w:rsidRDefault="00BD23F5" w:rsidP="00825B47">
            <w:pPr>
              <w:pStyle w:val="TAbleheader"/>
              <w:spacing w:before="0" w:after="0" w:line="276" w:lineRule="auto"/>
              <w:jc w:val="both"/>
            </w:pPr>
            <w:r w:rsidRPr="007830C3">
              <w:t>Role, locality and tenure (where the full financial year was not covered)</w:t>
            </w:r>
          </w:p>
        </w:tc>
      </w:tr>
      <w:tr w:rsidR="00BD23F5" w:rsidRPr="00BD23F5" w14:paraId="04A78EE1" w14:textId="77777777" w:rsidTr="00825B47">
        <w:tc>
          <w:tcPr>
            <w:tcW w:w="3087" w:type="dxa"/>
          </w:tcPr>
          <w:p w14:paraId="7CDB425A" w14:textId="77777777" w:rsidR="00BD23F5" w:rsidRPr="00BD23F5" w:rsidRDefault="00BD23F5" w:rsidP="00825B47">
            <w:pPr>
              <w:spacing w:before="0" w:after="0"/>
              <w:rPr>
                <w:szCs w:val="24"/>
                <w:lang w:val="en"/>
              </w:rPr>
            </w:pPr>
            <w:r w:rsidRPr="00BD23F5">
              <w:rPr>
                <w:szCs w:val="24"/>
                <w:lang w:val="en"/>
              </w:rPr>
              <w:t>Maggie Pacini</w:t>
            </w:r>
          </w:p>
        </w:tc>
        <w:tc>
          <w:tcPr>
            <w:tcW w:w="5418" w:type="dxa"/>
          </w:tcPr>
          <w:p w14:paraId="028D5FF9" w14:textId="77777777" w:rsidR="00BD23F5" w:rsidRPr="00BD23F5" w:rsidRDefault="00BD23F5" w:rsidP="00825B47">
            <w:pPr>
              <w:spacing w:before="0" w:after="0"/>
              <w:rPr>
                <w:szCs w:val="24"/>
                <w:lang w:val="en"/>
              </w:rPr>
            </w:pPr>
            <w:r w:rsidRPr="00BD23F5">
              <w:rPr>
                <w:szCs w:val="24"/>
              </w:rPr>
              <w:t xml:space="preserve">Public Health Representative, Essex County Council </w:t>
            </w:r>
          </w:p>
        </w:tc>
      </w:tr>
      <w:tr w:rsidR="00BD23F5" w:rsidRPr="00BD23F5" w14:paraId="1AE5E816" w14:textId="77777777" w:rsidTr="00825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7" w:type="dxa"/>
          </w:tcPr>
          <w:p w14:paraId="2B2102CB" w14:textId="77777777" w:rsidR="00BD23F5" w:rsidRPr="00BD23F5" w:rsidRDefault="00BD23F5" w:rsidP="00825B47">
            <w:pPr>
              <w:spacing w:before="0" w:after="0"/>
              <w:rPr>
                <w:szCs w:val="24"/>
                <w:lang w:val="en"/>
              </w:rPr>
            </w:pPr>
            <w:r w:rsidRPr="00BD23F5">
              <w:rPr>
                <w:szCs w:val="24"/>
                <w:lang w:val="en"/>
              </w:rPr>
              <w:t>Cllr Luke Mackenzie</w:t>
            </w:r>
          </w:p>
        </w:tc>
        <w:tc>
          <w:tcPr>
            <w:tcW w:w="5418" w:type="dxa"/>
          </w:tcPr>
          <w:p w14:paraId="2C74E0EE" w14:textId="77777777" w:rsidR="00BD23F5" w:rsidRPr="00BD23F5" w:rsidRDefault="00BD23F5" w:rsidP="00825B47">
            <w:pPr>
              <w:spacing w:before="0" w:after="0"/>
              <w:rPr>
                <w:szCs w:val="24"/>
                <w:lang w:val="en"/>
              </w:rPr>
            </w:pPr>
            <w:r w:rsidRPr="00BD23F5">
              <w:rPr>
                <w:szCs w:val="24"/>
                <w:lang w:val="en"/>
              </w:rPr>
              <w:t>Elected member of Essex County Council</w:t>
            </w:r>
          </w:p>
        </w:tc>
      </w:tr>
    </w:tbl>
    <w:p w14:paraId="1386B4A4" w14:textId="7AB6EE0E" w:rsidR="00970B67" w:rsidRDefault="00970B67" w:rsidP="00970B67"/>
    <w:p w14:paraId="56D78EC3" w14:textId="333FB8B2" w:rsidR="00BD23F5" w:rsidRPr="00970B67" w:rsidRDefault="00BD23F5" w:rsidP="00BD23F5">
      <w:pPr>
        <w:spacing w:after="480"/>
      </w:pPr>
      <w:r>
        <w:t>The following people have been CCG Board Members during 2021/22:</w:t>
      </w:r>
    </w:p>
    <w:p w14:paraId="55AA8FFE" w14:textId="1A682461" w:rsidR="003569D2" w:rsidRDefault="003569D2" w:rsidP="000D3041">
      <w:pPr>
        <w:pStyle w:val="ListParagraph"/>
        <w:numPr>
          <w:ilvl w:val="0"/>
          <w:numId w:val="24"/>
        </w:numPr>
        <w:spacing w:before="0" w:after="0"/>
        <w:rPr>
          <w:b/>
          <w:bCs/>
          <w:szCs w:val="24"/>
        </w:rPr>
      </w:pPr>
      <w:r>
        <w:rPr>
          <w:b/>
          <w:bCs/>
          <w:szCs w:val="24"/>
          <w:lang w:val="en"/>
        </w:rPr>
        <w:t>Dr Adegboyega Tayo</w:t>
      </w:r>
      <w:r>
        <w:rPr>
          <w:b/>
          <w:bCs/>
          <w:szCs w:val="24"/>
        </w:rPr>
        <w:t>, Chair and SEMC Elected Member</w:t>
      </w:r>
    </w:p>
    <w:p w14:paraId="28486A0B" w14:textId="77777777" w:rsidR="003569D2" w:rsidRDefault="003569D2" w:rsidP="003569D2">
      <w:pPr>
        <w:pStyle w:val="ListParagraph"/>
        <w:spacing w:before="0" w:after="0"/>
        <w:rPr>
          <w:b/>
          <w:bCs/>
          <w:szCs w:val="24"/>
        </w:rPr>
      </w:pPr>
    </w:p>
    <w:p w14:paraId="0B62E25C" w14:textId="77777777" w:rsidR="003569D2" w:rsidRDefault="003569D2" w:rsidP="003569D2">
      <w:pPr>
        <w:spacing w:before="0" w:after="0"/>
        <w:ind w:left="709"/>
        <w:rPr>
          <w:rFonts w:cs="Arial"/>
          <w:szCs w:val="24"/>
        </w:rPr>
      </w:pPr>
      <w:bookmarkStart w:id="99" w:name="_Hlk62638050"/>
      <w:r>
        <w:rPr>
          <w:rFonts w:cs="Arial"/>
          <w:b/>
          <w:bCs/>
          <w:szCs w:val="24"/>
        </w:rPr>
        <w:t xml:space="preserve">Appointment:  </w:t>
      </w:r>
      <w:r>
        <w:rPr>
          <w:rFonts w:cs="Arial"/>
          <w:szCs w:val="24"/>
        </w:rPr>
        <w:t>Chair from 1 April 2019</w:t>
      </w:r>
    </w:p>
    <w:p w14:paraId="6B92AA27" w14:textId="77777777" w:rsidR="003569D2" w:rsidRDefault="003569D2" w:rsidP="003569D2">
      <w:pPr>
        <w:spacing w:before="0" w:after="0"/>
        <w:ind w:left="709"/>
        <w:rPr>
          <w:rFonts w:cs="Arial"/>
          <w:b/>
          <w:bCs/>
          <w:szCs w:val="24"/>
        </w:rPr>
      </w:pPr>
      <w:r>
        <w:rPr>
          <w:rFonts w:cs="Arial"/>
          <w:b/>
          <w:bCs/>
          <w:szCs w:val="24"/>
        </w:rPr>
        <w:t>Committee Memberships:</w:t>
      </w:r>
      <w:r>
        <w:rPr>
          <w:rFonts w:cs="Arial"/>
          <w:szCs w:val="24"/>
        </w:rPr>
        <w:t xml:space="preserve"> </w:t>
      </w:r>
    </w:p>
    <w:p w14:paraId="749685FD" w14:textId="77777777" w:rsidR="003569D2" w:rsidRDefault="003569D2" w:rsidP="003569D2">
      <w:pPr>
        <w:spacing w:before="0" w:after="0"/>
        <w:ind w:left="709"/>
        <w:rPr>
          <w:rFonts w:cs="Arial"/>
          <w:szCs w:val="24"/>
        </w:rPr>
      </w:pPr>
      <w:r>
        <w:rPr>
          <w:rFonts w:cs="Arial"/>
          <w:szCs w:val="24"/>
          <w:lang w:val="en"/>
        </w:rPr>
        <w:t>The Chair has a standard invitation to attend all Board</w:t>
      </w:r>
      <w:r>
        <w:rPr>
          <w:rFonts w:cs="Arial"/>
          <w:szCs w:val="24"/>
        </w:rPr>
        <w:t xml:space="preserve"> Committees (with the exception of Audit Committee)</w:t>
      </w:r>
    </w:p>
    <w:p w14:paraId="4D9F236F" w14:textId="77777777" w:rsidR="003569D2" w:rsidRDefault="003569D2" w:rsidP="003569D2">
      <w:pPr>
        <w:spacing w:before="0" w:after="0"/>
        <w:ind w:left="709"/>
        <w:rPr>
          <w:rFonts w:cs="Arial"/>
          <w:szCs w:val="24"/>
        </w:rPr>
      </w:pPr>
      <w:r>
        <w:rPr>
          <w:rFonts w:cs="Arial"/>
          <w:b/>
          <w:bCs/>
          <w:szCs w:val="24"/>
        </w:rPr>
        <w:t xml:space="preserve">Profile: </w:t>
      </w:r>
      <w:r>
        <w:rPr>
          <w:rFonts w:cs="Arial"/>
          <w:szCs w:val="24"/>
        </w:rPr>
        <w:t>Dr Tayo has been a GP in Wickford for 19 years.</w:t>
      </w:r>
    </w:p>
    <w:p w14:paraId="6D1F4225" w14:textId="77777777" w:rsidR="003569D2" w:rsidRDefault="003569D2" w:rsidP="003569D2">
      <w:pPr>
        <w:spacing w:before="0" w:after="0"/>
        <w:ind w:left="709"/>
        <w:rPr>
          <w:rFonts w:cs="Arial"/>
          <w:szCs w:val="24"/>
        </w:rPr>
      </w:pPr>
      <w:r>
        <w:rPr>
          <w:rFonts w:cs="Arial"/>
          <w:szCs w:val="24"/>
        </w:rPr>
        <w:t>He graduated from The University of Ibadan, Nigeria in 1985 and completed postgraduate training in the UK. As well as training in General Practice, he is a qualified Ophthalmologist and worked as a Trust Specialist in Ophthalmology at Southend Hospital before becoming a GP. For the CCG Dr Tayo leads on Integrated Care (Aligned Teams) and Chairs the local Alliance Forum.</w:t>
      </w:r>
    </w:p>
    <w:p w14:paraId="63398A10" w14:textId="77777777" w:rsidR="003569D2" w:rsidRDefault="003569D2" w:rsidP="003569D2">
      <w:pPr>
        <w:spacing w:before="0" w:after="0"/>
        <w:ind w:left="709"/>
        <w:rPr>
          <w:rFonts w:cs="Arial"/>
          <w:b/>
          <w:bCs/>
          <w:szCs w:val="24"/>
        </w:rPr>
      </w:pPr>
      <w:r>
        <w:rPr>
          <w:rFonts w:cs="Arial"/>
          <w:b/>
          <w:bCs/>
          <w:szCs w:val="24"/>
        </w:rPr>
        <w:t xml:space="preserve">Declared interests and conflicts: </w:t>
      </w:r>
    </w:p>
    <w:p w14:paraId="31727522" w14:textId="77777777" w:rsidR="003569D2" w:rsidRDefault="003569D2" w:rsidP="003569D2">
      <w:pPr>
        <w:spacing w:before="0" w:after="0"/>
        <w:ind w:left="709"/>
        <w:rPr>
          <w:rFonts w:cs="Arial"/>
          <w:szCs w:val="24"/>
        </w:rPr>
      </w:pPr>
      <w:r>
        <w:rPr>
          <w:rFonts w:cs="Arial"/>
          <w:szCs w:val="24"/>
        </w:rPr>
        <w:t>GP Robert Frew Medical Centre</w:t>
      </w:r>
    </w:p>
    <w:p w14:paraId="0F0473B8" w14:textId="77777777" w:rsidR="003569D2" w:rsidRDefault="003569D2" w:rsidP="003569D2">
      <w:pPr>
        <w:spacing w:before="0" w:after="0"/>
        <w:ind w:left="709"/>
        <w:rPr>
          <w:rFonts w:cs="Arial"/>
          <w:szCs w:val="24"/>
        </w:rPr>
      </w:pPr>
      <w:r>
        <w:rPr>
          <w:rFonts w:cs="Arial"/>
          <w:szCs w:val="24"/>
        </w:rPr>
        <w:t>GP with special interest in Ophthalmology</w:t>
      </w:r>
    </w:p>
    <w:p w14:paraId="38D80F91" w14:textId="77777777" w:rsidR="003569D2" w:rsidRDefault="003569D2" w:rsidP="003569D2">
      <w:pPr>
        <w:spacing w:before="0" w:after="0"/>
        <w:ind w:left="709"/>
        <w:rPr>
          <w:rFonts w:cs="Arial"/>
          <w:szCs w:val="24"/>
        </w:rPr>
      </w:pPr>
      <w:r>
        <w:rPr>
          <w:rFonts w:cs="Arial"/>
          <w:szCs w:val="24"/>
        </w:rPr>
        <w:t>Chair of SEMC Ltd – APMS Provider</w:t>
      </w:r>
    </w:p>
    <w:p w14:paraId="53DA1095" w14:textId="77777777" w:rsidR="003569D2" w:rsidRDefault="003569D2" w:rsidP="003569D2">
      <w:pPr>
        <w:spacing w:before="0" w:after="0"/>
        <w:ind w:left="709"/>
        <w:rPr>
          <w:rFonts w:cs="Arial"/>
          <w:szCs w:val="24"/>
        </w:rPr>
      </w:pPr>
      <w:r>
        <w:rPr>
          <w:rFonts w:cs="Arial"/>
          <w:szCs w:val="24"/>
        </w:rPr>
        <w:t>Director of Mavens Medical Ltd – Healthcare Consultancy</w:t>
      </w:r>
    </w:p>
    <w:p w14:paraId="6FBAF4F9" w14:textId="77777777" w:rsidR="003569D2" w:rsidRDefault="003569D2" w:rsidP="003569D2">
      <w:pPr>
        <w:spacing w:before="0" w:after="0"/>
        <w:ind w:left="709"/>
        <w:rPr>
          <w:rFonts w:cs="Arial"/>
          <w:szCs w:val="24"/>
        </w:rPr>
      </w:pPr>
      <w:r>
        <w:rPr>
          <w:rFonts w:cs="Arial"/>
          <w:szCs w:val="24"/>
        </w:rPr>
        <w:t>Member of BB Healthcare Solutions</w:t>
      </w:r>
    </w:p>
    <w:p w14:paraId="7254F448" w14:textId="77777777" w:rsidR="003569D2" w:rsidRDefault="003569D2" w:rsidP="003569D2">
      <w:pPr>
        <w:spacing w:before="0" w:after="0"/>
        <w:ind w:left="709"/>
        <w:rPr>
          <w:rFonts w:cs="Arial"/>
          <w:b/>
          <w:bCs/>
          <w:szCs w:val="24"/>
          <w:lang w:val="en"/>
        </w:rPr>
      </w:pPr>
      <w:r>
        <w:rPr>
          <w:rFonts w:cs="Arial"/>
          <w:szCs w:val="24"/>
        </w:rPr>
        <w:t>Member of Wickford Primary Care Network</w:t>
      </w:r>
      <w:bookmarkEnd w:id="99"/>
      <w:r>
        <w:rPr>
          <w:rFonts w:cs="Arial"/>
          <w:b/>
          <w:bCs/>
          <w:szCs w:val="24"/>
        </w:rPr>
        <w:t xml:space="preserve"> </w:t>
      </w:r>
    </w:p>
    <w:p w14:paraId="402C69DD" w14:textId="2E9D5D15" w:rsidR="003569D2" w:rsidRDefault="003569D2" w:rsidP="003569D2">
      <w:pPr>
        <w:spacing w:before="0" w:after="0"/>
        <w:rPr>
          <w:rFonts w:cs="Arial"/>
          <w:b/>
          <w:bCs/>
          <w:szCs w:val="24"/>
          <w:lang w:val="en"/>
        </w:rPr>
      </w:pPr>
    </w:p>
    <w:p w14:paraId="6608AEFE" w14:textId="77777777" w:rsidR="00BD23F5" w:rsidRDefault="00BD23F5" w:rsidP="003569D2">
      <w:pPr>
        <w:spacing w:before="0" w:after="0"/>
        <w:rPr>
          <w:rFonts w:cs="Arial"/>
          <w:b/>
          <w:bCs/>
          <w:szCs w:val="24"/>
          <w:lang w:val="en"/>
        </w:rPr>
      </w:pPr>
    </w:p>
    <w:p w14:paraId="02E618EF" w14:textId="77777777" w:rsidR="003569D2" w:rsidRDefault="003569D2" w:rsidP="000D3041">
      <w:pPr>
        <w:pStyle w:val="ListParagraph"/>
        <w:numPr>
          <w:ilvl w:val="0"/>
          <w:numId w:val="24"/>
        </w:numPr>
        <w:spacing w:before="0" w:after="0"/>
        <w:rPr>
          <w:rFonts w:cs="Arial"/>
          <w:b/>
          <w:bCs/>
          <w:szCs w:val="24"/>
          <w:lang w:val="en"/>
        </w:rPr>
      </w:pPr>
      <w:r>
        <w:rPr>
          <w:b/>
          <w:bCs/>
          <w:szCs w:val="24"/>
          <w:lang w:val="en"/>
        </w:rPr>
        <w:t>Anthony McKeever (Mac), Joint Accountable Officer</w:t>
      </w:r>
    </w:p>
    <w:p w14:paraId="50572D8A" w14:textId="77777777" w:rsidR="003569D2" w:rsidRDefault="003569D2" w:rsidP="003569D2">
      <w:pPr>
        <w:spacing w:before="0" w:after="0"/>
        <w:rPr>
          <w:rFonts w:cs="Arial"/>
          <w:b/>
          <w:bCs/>
          <w:szCs w:val="24"/>
        </w:rPr>
      </w:pPr>
    </w:p>
    <w:p w14:paraId="3B7AE120" w14:textId="5EEFED4C" w:rsidR="003569D2" w:rsidRDefault="003569D2" w:rsidP="003569D2">
      <w:pPr>
        <w:spacing w:before="0" w:after="0"/>
        <w:ind w:left="709"/>
        <w:rPr>
          <w:rFonts w:cs="Arial"/>
          <w:szCs w:val="24"/>
        </w:rPr>
      </w:pPr>
      <w:r>
        <w:rPr>
          <w:rFonts w:cs="Arial"/>
          <w:b/>
          <w:bCs/>
          <w:szCs w:val="24"/>
        </w:rPr>
        <w:t xml:space="preserve">Appointment: </w:t>
      </w:r>
      <w:r>
        <w:rPr>
          <w:rFonts w:cs="Arial"/>
          <w:szCs w:val="24"/>
        </w:rPr>
        <w:t> Joint Accountable Officer, mid and south Essex CCGs since</w:t>
      </w:r>
      <w:r w:rsidR="00E0210E">
        <w:rPr>
          <w:rFonts w:cs="Arial"/>
          <w:szCs w:val="24"/>
        </w:rPr>
        <w:t xml:space="preserve">        1</w:t>
      </w:r>
      <w:r>
        <w:rPr>
          <w:rFonts w:cs="Arial"/>
          <w:szCs w:val="24"/>
        </w:rPr>
        <w:t xml:space="preserve"> March 2020 and also Executive Lead, Mid and South Essex Health and Care Partnership from the same date.</w:t>
      </w:r>
    </w:p>
    <w:p w14:paraId="741B58DF" w14:textId="77777777" w:rsidR="003569D2" w:rsidRDefault="003569D2" w:rsidP="003569D2">
      <w:pPr>
        <w:spacing w:before="0" w:after="0"/>
        <w:ind w:left="709"/>
        <w:rPr>
          <w:rFonts w:cs="Arial"/>
          <w:szCs w:val="24"/>
        </w:rPr>
      </w:pPr>
      <w:r>
        <w:rPr>
          <w:rFonts w:cs="Arial"/>
          <w:b/>
          <w:bCs/>
          <w:szCs w:val="24"/>
        </w:rPr>
        <w:t>Committee Memberships:</w:t>
      </w:r>
    </w:p>
    <w:p w14:paraId="582D5174" w14:textId="77777777" w:rsidR="003569D2" w:rsidRDefault="003569D2" w:rsidP="003569D2">
      <w:pPr>
        <w:spacing w:before="0" w:after="0"/>
        <w:ind w:left="709"/>
        <w:rPr>
          <w:rFonts w:cs="Arial"/>
          <w:szCs w:val="24"/>
        </w:rPr>
      </w:pPr>
      <w:r>
        <w:rPr>
          <w:rFonts w:cs="Arial"/>
          <w:szCs w:val="24"/>
        </w:rPr>
        <w:t>The JAO has a standard invitation to attend all Board Committees (with the exception of Audit Committee).</w:t>
      </w:r>
    </w:p>
    <w:p w14:paraId="1595C5B7" w14:textId="5684EDB4" w:rsidR="003569D2" w:rsidRDefault="003569D2" w:rsidP="005101D4">
      <w:pPr>
        <w:spacing w:before="0" w:after="0"/>
        <w:ind w:left="709"/>
        <w:rPr>
          <w:rFonts w:cs="Arial"/>
          <w:szCs w:val="24"/>
        </w:rPr>
      </w:pPr>
      <w:r>
        <w:rPr>
          <w:rFonts w:cs="Arial"/>
          <w:b/>
          <w:bCs/>
          <w:szCs w:val="24"/>
        </w:rPr>
        <w:t xml:space="preserve">Profile: </w:t>
      </w:r>
      <w:r>
        <w:rPr>
          <w:rFonts w:cs="Arial"/>
          <w:szCs w:val="24"/>
        </w:rPr>
        <w:t>Anthony, known to all as Mac, has more than 40 years’ experience in the NHS and other healthcare organisations.  Before joining the mid and south Essex CCGs he served as Director General for Health and Community Services for the States of Jersey. Originally a “fast stream” civil servant, Mac joined the NHS in 1987, operating for 25 years as a CEO, helping to turn around performance at several hospitals and commissioning organisations. Having established his own business, he served on the Future Forum in 2010, and returned to work in the NHS in 2015.</w:t>
      </w:r>
    </w:p>
    <w:p w14:paraId="2DCEB767" w14:textId="77777777" w:rsidR="003569D2" w:rsidRDefault="003569D2" w:rsidP="003569D2">
      <w:pPr>
        <w:spacing w:before="0" w:after="0"/>
        <w:ind w:left="709"/>
        <w:rPr>
          <w:rFonts w:cs="Arial"/>
          <w:b/>
          <w:bCs/>
          <w:szCs w:val="24"/>
        </w:rPr>
      </w:pPr>
      <w:r>
        <w:rPr>
          <w:rFonts w:cs="Arial"/>
          <w:b/>
          <w:bCs/>
          <w:szCs w:val="24"/>
        </w:rPr>
        <w:t xml:space="preserve">Declared interests and conflicts: </w:t>
      </w:r>
    </w:p>
    <w:p w14:paraId="6E5EAD8D" w14:textId="77777777" w:rsidR="003569D2" w:rsidRDefault="003569D2" w:rsidP="003569D2">
      <w:pPr>
        <w:spacing w:before="0" w:after="0"/>
        <w:ind w:left="709"/>
        <w:rPr>
          <w:rFonts w:cs="Arial"/>
          <w:szCs w:val="24"/>
        </w:rPr>
      </w:pPr>
      <w:r>
        <w:rPr>
          <w:rFonts w:cs="Arial"/>
          <w:szCs w:val="24"/>
        </w:rPr>
        <w:t>Director of Macs Et al Ltd – wholly owned company through which he contracts with the NHS for Interim and other services.</w:t>
      </w:r>
    </w:p>
    <w:p w14:paraId="4134F0D6" w14:textId="77777777" w:rsidR="003569D2" w:rsidRDefault="003569D2" w:rsidP="003569D2">
      <w:pPr>
        <w:spacing w:before="0" w:after="0"/>
        <w:ind w:left="709"/>
        <w:rPr>
          <w:rFonts w:cs="Arial"/>
          <w:szCs w:val="24"/>
        </w:rPr>
      </w:pPr>
      <w:r>
        <w:rPr>
          <w:rFonts w:cs="Arial"/>
          <w:szCs w:val="24"/>
        </w:rPr>
        <w:t>Accountable Officer for Mid Essex, Thurrock, Castle Point &amp; Rochford (CP&amp;R) and Southend CCGs.</w:t>
      </w:r>
    </w:p>
    <w:p w14:paraId="270809E6" w14:textId="77777777" w:rsidR="003569D2" w:rsidRDefault="003569D2" w:rsidP="003569D2">
      <w:pPr>
        <w:spacing w:before="0" w:after="0"/>
        <w:rPr>
          <w:rFonts w:asciiTheme="minorHAnsi" w:hAnsiTheme="minorHAnsi"/>
          <w:sz w:val="22"/>
        </w:rPr>
      </w:pPr>
    </w:p>
    <w:p w14:paraId="62BDE844" w14:textId="77777777" w:rsidR="00BD23F5" w:rsidRDefault="00BD23F5">
      <w:pPr>
        <w:spacing w:before="0" w:after="200" w:line="276" w:lineRule="auto"/>
        <w:rPr>
          <w:b/>
          <w:bCs/>
          <w:szCs w:val="24"/>
        </w:rPr>
      </w:pPr>
      <w:r>
        <w:rPr>
          <w:b/>
          <w:bCs/>
          <w:szCs w:val="24"/>
        </w:rPr>
        <w:br w:type="page"/>
      </w:r>
    </w:p>
    <w:p w14:paraId="7A709352" w14:textId="762E213C" w:rsidR="003569D2" w:rsidRDefault="003569D2" w:rsidP="000D3041">
      <w:pPr>
        <w:pStyle w:val="ListParagraph"/>
        <w:numPr>
          <w:ilvl w:val="0"/>
          <w:numId w:val="24"/>
        </w:numPr>
        <w:spacing w:before="0" w:after="0"/>
        <w:rPr>
          <w:rFonts w:cs="Arial"/>
          <w:b/>
          <w:bCs/>
          <w:szCs w:val="24"/>
        </w:rPr>
      </w:pPr>
      <w:r>
        <w:rPr>
          <w:b/>
          <w:bCs/>
          <w:szCs w:val="24"/>
        </w:rPr>
        <w:lastRenderedPageBreak/>
        <w:t>William Guy, Alliance Director</w:t>
      </w:r>
    </w:p>
    <w:p w14:paraId="4BD097AA" w14:textId="77777777" w:rsidR="003569D2" w:rsidRDefault="003569D2" w:rsidP="003569D2">
      <w:pPr>
        <w:spacing w:before="0" w:after="0"/>
        <w:rPr>
          <w:rFonts w:cs="Arial"/>
          <w:szCs w:val="24"/>
        </w:rPr>
      </w:pPr>
    </w:p>
    <w:p w14:paraId="1C573DBC" w14:textId="77777777" w:rsidR="003569D2" w:rsidRDefault="003569D2" w:rsidP="003569D2">
      <w:pPr>
        <w:spacing w:before="0" w:after="0"/>
        <w:ind w:left="709"/>
        <w:rPr>
          <w:rFonts w:cs="Arial"/>
          <w:szCs w:val="24"/>
        </w:rPr>
      </w:pPr>
      <w:r>
        <w:rPr>
          <w:rFonts w:cs="Arial"/>
          <w:b/>
          <w:bCs/>
          <w:szCs w:val="24"/>
        </w:rPr>
        <w:t xml:space="preserve">Appointment:  </w:t>
      </w:r>
      <w:r>
        <w:rPr>
          <w:rFonts w:cs="Arial"/>
          <w:szCs w:val="24"/>
        </w:rPr>
        <w:t xml:space="preserve">Alliance Director from October 2020 </w:t>
      </w:r>
    </w:p>
    <w:p w14:paraId="59E81B21" w14:textId="77777777" w:rsidR="003569D2" w:rsidRDefault="003569D2" w:rsidP="003569D2">
      <w:pPr>
        <w:spacing w:before="0" w:after="0"/>
        <w:ind w:left="709"/>
        <w:rPr>
          <w:rFonts w:cs="Arial"/>
          <w:b/>
          <w:bCs/>
          <w:szCs w:val="24"/>
        </w:rPr>
      </w:pPr>
      <w:r>
        <w:rPr>
          <w:rFonts w:cs="Arial"/>
          <w:b/>
          <w:bCs/>
          <w:szCs w:val="24"/>
        </w:rPr>
        <w:t>Committee Memberships:</w:t>
      </w:r>
    </w:p>
    <w:p w14:paraId="3865A5EB" w14:textId="77777777" w:rsidR="003569D2" w:rsidRDefault="003569D2" w:rsidP="003569D2">
      <w:pPr>
        <w:spacing w:before="0" w:after="0"/>
        <w:ind w:left="709"/>
        <w:rPr>
          <w:rFonts w:cs="Arial"/>
          <w:szCs w:val="24"/>
        </w:rPr>
      </w:pPr>
      <w:r>
        <w:rPr>
          <w:rFonts w:cs="Arial"/>
          <w:szCs w:val="24"/>
        </w:rPr>
        <w:t>Finance and Performance Committee</w:t>
      </w:r>
    </w:p>
    <w:p w14:paraId="2E9AF58C" w14:textId="77777777" w:rsidR="003569D2" w:rsidRDefault="003569D2" w:rsidP="003569D2">
      <w:pPr>
        <w:spacing w:before="0" w:after="0"/>
        <w:ind w:left="709"/>
        <w:rPr>
          <w:rFonts w:cs="Arial"/>
          <w:szCs w:val="24"/>
        </w:rPr>
      </w:pPr>
      <w:r>
        <w:rPr>
          <w:rFonts w:cs="Arial"/>
          <w:szCs w:val="24"/>
        </w:rPr>
        <w:t>Clinical Executive Group</w:t>
      </w:r>
    </w:p>
    <w:p w14:paraId="09CAD926" w14:textId="77777777" w:rsidR="003569D2" w:rsidRDefault="003569D2" w:rsidP="003569D2">
      <w:pPr>
        <w:spacing w:before="0" w:after="0"/>
        <w:ind w:left="709"/>
        <w:rPr>
          <w:rFonts w:cs="Arial"/>
          <w:szCs w:val="24"/>
        </w:rPr>
      </w:pPr>
      <w:r>
        <w:rPr>
          <w:rFonts w:cs="Arial"/>
          <w:szCs w:val="24"/>
        </w:rPr>
        <w:t>Primary Care Commissioning Committee (PCCC)</w:t>
      </w:r>
    </w:p>
    <w:p w14:paraId="45F93FC0" w14:textId="77777777" w:rsidR="003569D2" w:rsidRDefault="003569D2" w:rsidP="003569D2">
      <w:pPr>
        <w:spacing w:before="0" w:after="0"/>
        <w:ind w:left="709"/>
        <w:rPr>
          <w:rFonts w:cs="Arial"/>
          <w:szCs w:val="24"/>
          <w:lang w:val="en"/>
        </w:rPr>
      </w:pPr>
      <w:r>
        <w:rPr>
          <w:rFonts w:cs="Arial"/>
          <w:b/>
          <w:bCs/>
          <w:szCs w:val="24"/>
        </w:rPr>
        <w:t xml:space="preserve">Profile: </w:t>
      </w:r>
      <w:r>
        <w:rPr>
          <w:rFonts w:cs="Arial"/>
          <w:szCs w:val="24"/>
          <w:lang w:val="en"/>
        </w:rPr>
        <w:t>William has worked as a health service commissioner within South West Essex for 18 years with experience across primary, community and acute sectors.</w:t>
      </w:r>
    </w:p>
    <w:p w14:paraId="060F8464" w14:textId="77777777" w:rsidR="003569D2" w:rsidRDefault="003569D2" w:rsidP="003569D2">
      <w:pPr>
        <w:spacing w:before="0" w:after="0"/>
        <w:ind w:left="709"/>
        <w:rPr>
          <w:rFonts w:cs="Arial"/>
          <w:szCs w:val="24"/>
        </w:rPr>
      </w:pPr>
      <w:r>
        <w:rPr>
          <w:rFonts w:cs="Arial"/>
          <w:b/>
          <w:bCs/>
          <w:szCs w:val="24"/>
        </w:rPr>
        <w:t xml:space="preserve">Declared interests and conflicts: </w:t>
      </w:r>
      <w:r>
        <w:rPr>
          <w:rFonts w:cs="Arial"/>
          <w:szCs w:val="24"/>
        </w:rPr>
        <w:t>None</w:t>
      </w:r>
    </w:p>
    <w:p w14:paraId="1C56A96D" w14:textId="77777777" w:rsidR="003569D2" w:rsidRDefault="003569D2" w:rsidP="003569D2">
      <w:pPr>
        <w:spacing w:before="0" w:after="0"/>
        <w:rPr>
          <w:rFonts w:cs="Arial"/>
          <w:szCs w:val="24"/>
        </w:rPr>
      </w:pPr>
    </w:p>
    <w:p w14:paraId="43AE7DCF" w14:textId="77777777" w:rsidR="003569D2" w:rsidRDefault="003569D2" w:rsidP="000D3041">
      <w:pPr>
        <w:pStyle w:val="ListParagraph"/>
        <w:numPr>
          <w:ilvl w:val="0"/>
          <w:numId w:val="24"/>
        </w:numPr>
        <w:spacing w:before="0" w:after="0"/>
        <w:rPr>
          <w:rFonts w:cs="Arial"/>
          <w:szCs w:val="24"/>
        </w:rPr>
      </w:pPr>
      <w:r>
        <w:rPr>
          <w:b/>
          <w:bCs/>
          <w:szCs w:val="24"/>
        </w:rPr>
        <w:t>Rachel Hearn, Executive Director of Nursing &amp; Quality</w:t>
      </w:r>
    </w:p>
    <w:p w14:paraId="181D456B" w14:textId="77777777" w:rsidR="003569D2" w:rsidRDefault="003569D2" w:rsidP="003569D2">
      <w:pPr>
        <w:spacing w:before="0" w:after="0"/>
        <w:rPr>
          <w:rFonts w:cs="Arial"/>
          <w:szCs w:val="24"/>
        </w:rPr>
      </w:pPr>
    </w:p>
    <w:p w14:paraId="35FCDDD5" w14:textId="77777777" w:rsidR="003569D2" w:rsidRDefault="003569D2" w:rsidP="003569D2">
      <w:pPr>
        <w:pStyle w:val="Heading4"/>
        <w:spacing w:before="0"/>
        <w:ind w:left="709"/>
        <w:rPr>
          <w:rFonts w:eastAsia="Times New Roman"/>
          <w:b w:val="0"/>
          <w:bCs w:val="0"/>
          <w:color w:val="auto"/>
          <w:szCs w:val="24"/>
        </w:rPr>
      </w:pPr>
      <w:r>
        <w:rPr>
          <w:rFonts w:eastAsia="Times New Roman"/>
          <w:color w:val="auto"/>
        </w:rPr>
        <w:t>Appointment:</w:t>
      </w:r>
      <w:r>
        <w:rPr>
          <w:rFonts w:eastAsia="Times New Roman"/>
          <w:b w:val="0"/>
          <w:bCs w:val="0"/>
          <w:color w:val="auto"/>
        </w:rPr>
        <w:t>  Executive Director of Nursing and Quality from November 2020.</w:t>
      </w:r>
    </w:p>
    <w:p w14:paraId="40D7048D" w14:textId="77777777" w:rsidR="003569D2" w:rsidRDefault="003569D2" w:rsidP="003569D2">
      <w:pPr>
        <w:spacing w:before="0" w:after="0"/>
        <w:ind w:left="709"/>
        <w:rPr>
          <w:rFonts w:cs="Arial"/>
          <w:b/>
          <w:bCs/>
          <w:szCs w:val="24"/>
        </w:rPr>
      </w:pPr>
      <w:r>
        <w:rPr>
          <w:rFonts w:cs="Arial"/>
          <w:b/>
          <w:bCs/>
          <w:szCs w:val="24"/>
        </w:rPr>
        <w:t>Committee Memberships:</w:t>
      </w:r>
    </w:p>
    <w:p w14:paraId="13D67CB4" w14:textId="77777777" w:rsidR="003569D2" w:rsidRDefault="003569D2" w:rsidP="003569D2">
      <w:pPr>
        <w:spacing w:before="0" w:after="0"/>
        <w:ind w:left="709"/>
        <w:rPr>
          <w:rFonts w:cs="Arial"/>
          <w:szCs w:val="24"/>
        </w:rPr>
      </w:pPr>
      <w:r>
        <w:rPr>
          <w:rFonts w:cs="Arial"/>
          <w:szCs w:val="24"/>
        </w:rPr>
        <w:t>Patient Safety and Quality Committee</w:t>
      </w:r>
    </w:p>
    <w:p w14:paraId="267AB2F3" w14:textId="77777777" w:rsidR="003569D2" w:rsidRDefault="003569D2" w:rsidP="003569D2">
      <w:pPr>
        <w:spacing w:before="0" w:after="0"/>
        <w:ind w:left="709"/>
        <w:rPr>
          <w:rFonts w:cs="Arial"/>
          <w:szCs w:val="24"/>
        </w:rPr>
      </w:pPr>
      <w:r>
        <w:rPr>
          <w:rFonts w:cs="Arial"/>
          <w:szCs w:val="24"/>
        </w:rPr>
        <w:t>Finance and Performance Committee</w:t>
      </w:r>
    </w:p>
    <w:p w14:paraId="4C2FD889" w14:textId="77777777" w:rsidR="003569D2" w:rsidRDefault="003569D2" w:rsidP="003569D2">
      <w:pPr>
        <w:spacing w:before="0" w:after="0"/>
        <w:ind w:left="709"/>
        <w:rPr>
          <w:rFonts w:cs="Arial"/>
          <w:szCs w:val="24"/>
        </w:rPr>
      </w:pPr>
      <w:r>
        <w:rPr>
          <w:rFonts w:cs="Arial"/>
          <w:szCs w:val="24"/>
        </w:rPr>
        <w:t>PCCC</w:t>
      </w:r>
    </w:p>
    <w:p w14:paraId="6292EBD0" w14:textId="77777777" w:rsidR="003569D2" w:rsidRDefault="003569D2" w:rsidP="003569D2">
      <w:pPr>
        <w:spacing w:before="0" w:after="0"/>
        <w:ind w:left="709"/>
        <w:rPr>
          <w:rFonts w:cs="Arial"/>
          <w:szCs w:val="24"/>
        </w:rPr>
      </w:pPr>
      <w:r>
        <w:rPr>
          <w:rFonts w:cs="Arial"/>
          <w:b/>
          <w:bCs/>
          <w:szCs w:val="24"/>
        </w:rPr>
        <w:t xml:space="preserve">Profile: </w:t>
      </w:r>
      <w:r>
        <w:rPr>
          <w:rFonts w:cs="Arial"/>
          <w:szCs w:val="24"/>
        </w:rPr>
        <w:t>Rachel is a Registered Nurse and Executive Director of Nursing and Quality across the five Mid and South Essex CCGs. Rachel has over 20 years’ clinical experience as a nurse within the NHS. Having worked predominantly in emergency and general medicine, Rachel has clinically led work on the changing face of emergency care. Rachel’s role in commissioning focuses on quality improvement, safeguarding adults and children and Continuing Health Care provision.</w:t>
      </w:r>
    </w:p>
    <w:p w14:paraId="396D87EB" w14:textId="77777777" w:rsidR="003569D2" w:rsidRDefault="003569D2" w:rsidP="003569D2">
      <w:pPr>
        <w:spacing w:before="0" w:after="0"/>
        <w:ind w:left="709"/>
        <w:rPr>
          <w:rFonts w:cs="Arial"/>
          <w:b/>
          <w:bCs/>
          <w:szCs w:val="24"/>
        </w:rPr>
      </w:pPr>
      <w:r>
        <w:rPr>
          <w:rFonts w:cs="Arial"/>
          <w:b/>
          <w:bCs/>
          <w:szCs w:val="24"/>
        </w:rPr>
        <w:t>Declared interests and conflicts:</w:t>
      </w:r>
    </w:p>
    <w:p w14:paraId="3A0417CA" w14:textId="77777777" w:rsidR="003569D2" w:rsidRDefault="003569D2" w:rsidP="003569D2">
      <w:pPr>
        <w:spacing w:before="0" w:after="0"/>
        <w:ind w:left="709"/>
        <w:rPr>
          <w:rFonts w:cs="Arial"/>
          <w:szCs w:val="24"/>
        </w:rPr>
      </w:pPr>
      <w:r>
        <w:rPr>
          <w:rFonts w:cs="Arial"/>
          <w:szCs w:val="24"/>
        </w:rPr>
        <w:t>Executive Director of Nursing &amp; Quality for Mid Essex, Thurrock, CP&amp;R and Southend CCGs.</w:t>
      </w:r>
    </w:p>
    <w:p w14:paraId="4A117CEB" w14:textId="77777777" w:rsidR="003569D2" w:rsidRDefault="003569D2" w:rsidP="003569D2">
      <w:pPr>
        <w:spacing w:before="0" w:after="0"/>
        <w:rPr>
          <w:rFonts w:cs="Arial"/>
          <w:szCs w:val="24"/>
        </w:rPr>
      </w:pPr>
    </w:p>
    <w:p w14:paraId="1BF229BA" w14:textId="77777777" w:rsidR="003569D2" w:rsidRDefault="003569D2" w:rsidP="000D3041">
      <w:pPr>
        <w:pStyle w:val="ListParagraph"/>
        <w:numPr>
          <w:ilvl w:val="0"/>
          <w:numId w:val="24"/>
        </w:numPr>
        <w:spacing w:before="0" w:after="0"/>
        <w:rPr>
          <w:rFonts w:cs="Arial"/>
          <w:szCs w:val="24"/>
        </w:rPr>
      </w:pPr>
      <w:r>
        <w:rPr>
          <w:b/>
          <w:bCs/>
          <w:szCs w:val="24"/>
        </w:rPr>
        <w:t>Mark Barker, Chief Finance Officer</w:t>
      </w:r>
    </w:p>
    <w:p w14:paraId="34377CB1" w14:textId="77777777" w:rsidR="003569D2" w:rsidRDefault="003569D2" w:rsidP="003569D2">
      <w:pPr>
        <w:pStyle w:val="Heading4"/>
        <w:spacing w:before="0"/>
        <w:rPr>
          <w:rFonts w:eastAsia="Times New Roman"/>
          <w:color w:val="auto"/>
          <w:szCs w:val="24"/>
        </w:rPr>
      </w:pPr>
    </w:p>
    <w:p w14:paraId="4FB76E03" w14:textId="77777777" w:rsidR="003569D2" w:rsidRDefault="003569D2" w:rsidP="003569D2">
      <w:pPr>
        <w:pStyle w:val="Heading4"/>
        <w:spacing w:before="0"/>
        <w:ind w:left="709"/>
        <w:rPr>
          <w:rFonts w:eastAsia="Times New Roman"/>
          <w:b w:val="0"/>
          <w:bCs w:val="0"/>
          <w:color w:val="auto"/>
        </w:rPr>
      </w:pPr>
      <w:r>
        <w:rPr>
          <w:rFonts w:eastAsia="Times New Roman"/>
          <w:color w:val="auto"/>
        </w:rPr>
        <w:t>Appointment:</w:t>
      </w:r>
      <w:r>
        <w:rPr>
          <w:rFonts w:eastAsia="Times New Roman"/>
          <w:b w:val="0"/>
          <w:bCs w:val="0"/>
          <w:color w:val="auto"/>
        </w:rPr>
        <w:t>  Joint Chief Finance Officer from 1 January 2021.</w:t>
      </w:r>
    </w:p>
    <w:p w14:paraId="4B044F84" w14:textId="77777777" w:rsidR="003569D2" w:rsidRDefault="003569D2" w:rsidP="003569D2">
      <w:pPr>
        <w:spacing w:before="0" w:after="0"/>
        <w:ind w:left="709"/>
        <w:rPr>
          <w:rFonts w:cs="Arial"/>
          <w:b/>
          <w:bCs/>
          <w:szCs w:val="24"/>
        </w:rPr>
      </w:pPr>
      <w:r>
        <w:rPr>
          <w:rFonts w:cs="Arial"/>
          <w:b/>
          <w:bCs/>
          <w:szCs w:val="24"/>
        </w:rPr>
        <w:t>Committee Memberships:</w:t>
      </w:r>
    </w:p>
    <w:p w14:paraId="7F6B6067" w14:textId="77777777" w:rsidR="003569D2" w:rsidRDefault="003569D2" w:rsidP="003569D2">
      <w:pPr>
        <w:spacing w:before="0" w:after="0"/>
        <w:ind w:left="709"/>
        <w:rPr>
          <w:rFonts w:cs="Arial"/>
          <w:szCs w:val="24"/>
        </w:rPr>
      </w:pPr>
      <w:r>
        <w:rPr>
          <w:rFonts w:cs="Arial"/>
          <w:szCs w:val="24"/>
        </w:rPr>
        <w:t>Finance and Performance Committee</w:t>
      </w:r>
    </w:p>
    <w:p w14:paraId="555E4D5F" w14:textId="77777777" w:rsidR="003569D2" w:rsidRDefault="003569D2" w:rsidP="003569D2">
      <w:pPr>
        <w:spacing w:before="0" w:after="0"/>
        <w:ind w:left="709"/>
        <w:rPr>
          <w:rFonts w:cs="Arial"/>
          <w:b/>
          <w:bCs/>
          <w:szCs w:val="24"/>
        </w:rPr>
      </w:pPr>
      <w:r>
        <w:rPr>
          <w:rFonts w:cs="Arial"/>
          <w:szCs w:val="24"/>
        </w:rPr>
        <w:t>Clinical Executive Group</w:t>
      </w:r>
      <w:r>
        <w:rPr>
          <w:rFonts w:cs="Arial"/>
          <w:b/>
          <w:bCs/>
          <w:szCs w:val="24"/>
        </w:rPr>
        <w:t xml:space="preserve"> </w:t>
      </w:r>
    </w:p>
    <w:p w14:paraId="1DCB1C64" w14:textId="77777777" w:rsidR="003569D2" w:rsidRDefault="003569D2" w:rsidP="003569D2">
      <w:pPr>
        <w:spacing w:before="0" w:after="0"/>
        <w:ind w:left="709"/>
        <w:rPr>
          <w:rFonts w:cs="Arial"/>
          <w:szCs w:val="24"/>
        </w:rPr>
      </w:pPr>
      <w:r>
        <w:rPr>
          <w:rFonts w:cs="Arial"/>
          <w:szCs w:val="24"/>
        </w:rPr>
        <w:t>PCCC</w:t>
      </w:r>
    </w:p>
    <w:p w14:paraId="140CEADE" w14:textId="77777777" w:rsidR="003569D2" w:rsidRDefault="003569D2" w:rsidP="003569D2">
      <w:pPr>
        <w:pStyle w:val="NormalWeb"/>
        <w:shd w:val="clear" w:color="auto" w:fill="FFFFFF"/>
        <w:spacing w:before="0"/>
        <w:ind w:left="709"/>
        <w:rPr>
          <w:rFonts w:ascii="Arial" w:hAnsi="Arial" w:cs="Arial"/>
        </w:rPr>
      </w:pPr>
      <w:r>
        <w:rPr>
          <w:rFonts w:ascii="Arial" w:hAnsi="Arial" w:cs="Arial"/>
          <w:b/>
          <w:bCs/>
          <w:color w:val="000000"/>
        </w:rPr>
        <w:t xml:space="preserve">Profile:  </w:t>
      </w:r>
      <w:r>
        <w:rPr>
          <w:rFonts w:ascii="Arial" w:hAnsi="Arial" w:cs="Arial"/>
          <w:color w:val="000000"/>
        </w:rPr>
        <w:t>Mark was appointed Chief Finance Officer for Mid and South Essex Clinical Commissioning Groups (CCGs) from 1 January 2021.</w:t>
      </w:r>
    </w:p>
    <w:p w14:paraId="4E9B0583" w14:textId="77777777" w:rsidR="003569D2" w:rsidRDefault="003569D2" w:rsidP="003569D2">
      <w:pPr>
        <w:pStyle w:val="NormalWeb"/>
        <w:shd w:val="clear" w:color="auto" w:fill="FFFFFF"/>
        <w:spacing w:before="0"/>
        <w:ind w:left="709"/>
        <w:rPr>
          <w:rFonts w:ascii="Arial" w:hAnsi="Arial" w:cs="Arial"/>
        </w:rPr>
      </w:pPr>
      <w:r>
        <w:rPr>
          <w:rFonts w:ascii="Arial" w:hAnsi="Arial" w:cs="Arial"/>
          <w:color w:val="000000"/>
        </w:rPr>
        <w:t>Mark is a Chartered Accountant with over 30 years Public sector experience within the NHS in commissioning and provider settings, Housing and Transport for London (TfL). He was previously the Chief Finance Officer for Southend and Castle Point and Rochford CCGs.</w:t>
      </w:r>
    </w:p>
    <w:p w14:paraId="2C2F5BA4" w14:textId="77777777" w:rsidR="003569D2" w:rsidRDefault="003569D2" w:rsidP="003569D2">
      <w:pPr>
        <w:spacing w:before="0" w:after="0"/>
        <w:ind w:left="709"/>
        <w:rPr>
          <w:rFonts w:cs="Arial"/>
          <w:b/>
          <w:bCs/>
          <w:szCs w:val="24"/>
        </w:rPr>
      </w:pPr>
      <w:r>
        <w:rPr>
          <w:rFonts w:cs="Arial"/>
          <w:b/>
          <w:bCs/>
          <w:szCs w:val="24"/>
        </w:rPr>
        <w:t>Declared interests and conflicts:</w:t>
      </w:r>
    </w:p>
    <w:p w14:paraId="2FDB6F62" w14:textId="77777777" w:rsidR="003569D2" w:rsidRDefault="003569D2" w:rsidP="003569D2">
      <w:pPr>
        <w:spacing w:before="0" w:after="0"/>
        <w:ind w:left="709"/>
        <w:rPr>
          <w:rFonts w:cs="Arial"/>
          <w:szCs w:val="24"/>
        </w:rPr>
      </w:pPr>
      <w:r>
        <w:rPr>
          <w:rFonts w:cs="Arial"/>
          <w:szCs w:val="24"/>
        </w:rPr>
        <w:t>Chief Finance Officer for Mid Essex, Thurrock, CP&amp;R and Southend CCGs.</w:t>
      </w:r>
      <w:r>
        <w:rPr>
          <w:rFonts w:cs="Arial"/>
          <w:szCs w:val="24"/>
        </w:rPr>
        <w:br w:type="page"/>
      </w:r>
    </w:p>
    <w:p w14:paraId="6AFD42E8" w14:textId="40DD23A4" w:rsidR="003569D2" w:rsidRDefault="003569D2" w:rsidP="000D3041">
      <w:pPr>
        <w:pStyle w:val="ListParagraph"/>
        <w:numPr>
          <w:ilvl w:val="0"/>
          <w:numId w:val="24"/>
        </w:numPr>
        <w:spacing w:before="0" w:after="0"/>
        <w:rPr>
          <w:rFonts w:cs="Arial"/>
          <w:szCs w:val="24"/>
        </w:rPr>
      </w:pPr>
      <w:r>
        <w:rPr>
          <w:b/>
          <w:bCs/>
          <w:szCs w:val="24"/>
          <w:lang w:val="en"/>
        </w:rPr>
        <w:lastRenderedPageBreak/>
        <w:t xml:space="preserve">Dr </w:t>
      </w:r>
      <w:r w:rsidR="00F45EBE">
        <w:rPr>
          <w:b/>
          <w:bCs/>
          <w:szCs w:val="24"/>
          <w:lang w:val="en"/>
        </w:rPr>
        <w:t xml:space="preserve">Sridhara </w:t>
      </w:r>
      <w:r>
        <w:rPr>
          <w:b/>
          <w:bCs/>
          <w:szCs w:val="24"/>
          <w:lang w:val="en"/>
        </w:rPr>
        <w:t>Ar</w:t>
      </w:r>
      <w:r w:rsidR="00F45EBE">
        <w:rPr>
          <w:b/>
          <w:bCs/>
          <w:szCs w:val="24"/>
          <w:lang w:val="en"/>
        </w:rPr>
        <w:t>avinda</w:t>
      </w:r>
      <w:r>
        <w:rPr>
          <w:b/>
          <w:bCs/>
          <w:szCs w:val="24"/>
          <w:lang w:val="en"/>
        </w:rPr>
        <w:t xml:space="preserve"> Guniyangodage, </w:t>
      </w:r>
      <w:r>
        <w:rPr>
          <w:b/>
          <w:bCs/>
          <w:szCs w:val="24"/>
        </w:rPr>
        <w:t>Brentwood Elected Member</w:t>
      </w:r>
    </w:p>
    <w:p w14:paraId="4B218CFF" w14:textId="77777777" w:rsidR="003569D2" w:rsidRDefault="003569D2" w:rsidP="00BD23F5">
      <w:pPr>
        <w:spacing w:before="120" w:after="0"/>
        <w:ind w:left="709"/>
        <w:rPr>
          <w:rFonts w:cs="Arial"/>
          <w:b/>
          <w:bCs/>
          <w:szCs w:val="24"/>
        </w:rPr>
      </w:pPr>
      <w:r>
        <w:rPr>
          <w:rFonts w:cs="Arial"/>
          <w:b/>
          <w:bCs/>
          <w:szCs w:val="24"/>
        </w:rPr>
        <w:t xml:space="preserve">Appointment: </w:t>
      </w:r>
      <w:r>
        <w:rPr>
          <w:rFonts w:cs="Arial"/>
          <w:szCs w:val="24"/>
        </w:rPr>
        <w:t>From 1 April 2013</w:t>
      </w:r>
    </w:p>
    <w:p w14:paraId="612AFE15" w14:textId="77777777" w:rsidR="003569D2" w:rsidRDefault="003569D2" w:rsidP="003569D2">
      <w:pPr>
        <w:spacing w:before="0" w:after="0"/>
        <w:ind w:left="709"/>
        <w:rPr>
          <w:rFonts w:cs="Arial"/>
          <w:b/>
          <w:bCs/>
          <w:szCs w:val="24"/>
        </w:rPr>
      </w:pPr>
      <w:r>
        <w:rPr>
          <w:rFonts w:cs="Arial"/>
          <w:b/>
          <w:bCs/>
          <w:szCs w:val="24"/>
        </w:rPr>
        <w:t>Committee Memberships:</w:t>
      </w:r>
    </w:p>
    <w:p w14:paraId="4962579A" w14:textId="77777777" w:rsidR="003569D2" w:rsidRDefault="003569D2" w:rsidP="003569D2">
      <w:pPr>
        <w:spacing w:before="0" w:after="0"/>
        <w:ind w:left="709"/>
        <w:rPr>
          <w:rFonts w:cs="Arial"/>
          <w:szCs w:val="24"/>
          <w:lang w:val="en"/>
        </w:rPr>
      </w:pPr>
      <w:r>
        <w:rPr>
          <w:rFonts w:cs="Arial"/>
          <w:szCs w:val="24"/>
          <w:lang w:val="en"/>
        </w:rPr>
        <w:t>Clinical Executive Group</w:t>
      </w:r>
    </w:p>
    <w:p w14:paraId="5CC77EF8" w14:textId="77777777" w:rsidR="003569D2" w:rsidRDefault="003569D2" w:rsidP="003569D2">
      <w:pPr>
        <w:spacing w:before="0" w:after="0"/>
        <w:ind w:left="709"/>
        <w:rPr>
          <w:rFonts w:cs="Arial"/>
          <w:szCs w:val="24"/>
        </w:rPr>
      </w:pPr>
      <w:r>
        <w:rPr>
          <w:rFonts w:cs="Arial"/>
          <w:b/>
          <w:bCs/>
          <w:szCs w:val="24"/>
        </w:rPr>
        <w:t xml:space="preserve">Profile: </w:t>
      </w:r>
      <w:r>
        <w:rPr>
          <w:rFonts w:cs="Arial"/>
          <w:szCs w:val="24"/>
        </w:rPr>
        <w:t xml:space="preserve">Dr Guniyangodage is a GP in Brentwood, having worked there since 2007. He was Chair of the CCG for the three years to March 2019. </w:t>
      </w:r>
    </w:p>
    <w:p w14:paraId="6C5EC9A1" w14:textId="77777777" w:rsidR="003569D2" w:rsidRDefault="003569D2" w:rsidP="003569D2">
      <w:pPr>
        <w:spacing w:before="0" w:after="0"/>
        <w:ind w:left="709"/>
        <w:rPr>
          <w:rFonts w:cs="Arial"/>
          <w:b/>
          <w:bCs/>
          <w:szCs w:val="24"/>
        </w:rPr>
      </w:pPr>
      <w:r>
        <w:rPr>
          <w:rFonts w:cs="Arial"/>
          <w:b/>
          <w:bCs/>
          <w:szCs w:val="24"/>
        </w:rPr>
        <w:t xml:space="preserve">Declared interests and conflicts: </w:t>
      </w:r>
    </w:p>
    <w:p w14:paraId="0B6A2804" w14:textId="77777777" w:rsidR="003569D2" w:rsidRDefault="003569D2" w:rsidP="003569D2">
      <w:pPr>
        <w:spacing w:before="0" w:after="0"/>
        <w:ind w:left="709"/>
        <w:rPr>
          <w:rFonts w:cs="Arial"/>
          <w:szCs w:val="24"/>
        </w:rPr>
      </w:pPr>
      <w:r>
        <w:rPr>
          <w:rFonts w:cs="Arial"/>
          <w:szCs w:val="24"/>
        </w:rPr>
        <w:t>GP at The New Surgery Brentwood</w:t>
      </w:r>
    </w:p>
    <w:p w14:paraId="028DE51E" w14:textId="77777777" w:rsidR="003569D2" w:rsidRDefault="003569D2" w:rsidP="003569D2">
      <w:pPr>
        <w:spacing w:before="0" w:after="0"/>
        <w:ind w:left="709"/>
        <w:rPr>
          <w:rFonts w:cs="Arial"/>
          <w:szCs w:val="24"/>
          <w:lang w:val="en"/>
        </w:rPr>
      </w:pPr>
      <w:r>
        <w:rPr>
          <w:rFonts w:cs="Arial"/>
          <w:szCs w:val="24"/>
        </w:rPr>
        <w:t xml:space="preserve">Director &amp; Board Member </w:t>
      </w:r>
      <w:r>
        <w:rPr>
          <w:rFonts w:cs="Arial"/>
          <w:szCs w:val="24"/>
          <w:lang w:val="en"/>
        </w:rPr>
        <w:t>Accountable Care Enterprise Ltd</w:t>
      </w:r>
    </w:p>
    <w:p w14:paraId="189B6433" w14:textId="77777777" w:rsidR="003569D2" w:rsidRDefault="003569D2" w:rsidP="003569D2">
      <w:pPr>
        <w:spacing w:before="0" w:after="0"/>
        <w:ind w:left="709"/>
        <w:rPr>
          <w:rFonts w:cs="Arial"/>
          <w:szCs w:val="24"/>
          <w:lang w:eastAsia="en-GB"/>
        </w:rPr>
      </w:pPr>
      <w:r>
        <w:rPr>
          <w:rFonts w:cs="Arial"/>
          <w:szCs w:val="24"/>
        </w:rPr>
        <w:t xml:space="preserve">Clinical Director of Brentwood </w:t>
      </w:r>
      <w:r>
        <w:rPr>
          <w:rFonts w:cs="Arial"/>
          <w:szCs w:val="24"/>
          <w:lang w:eastAsia="en-GB"/>
        </w:rPr>
        <w:t>Primary Care Network</w:t>
      </w:r>
    </w:p>
    <w:p w14:paraId="1C5FCA21" w14:textId="77777777" w:rsidR="003569D2" w:rsidRDefault="003569D2" w:rsidP="003569D2">
      <w:pPr>
        <w:spacing w:before="0" w:after="0"/>
        <w:ind w:left="709"/>
        <w:rPr>
          <w:rFonts w:cs="Arial"/>
          <w:szCs w:val="24"/>
        </w:rPr>
      </w:pPr>
      <w:r>
        <w:rPr>
          <w:rFonts w:cs="Arial"/>
          <w:szCs w:val="24"/>
          <w:lang w:eastAsia="en-GB"/>
        </w:rPr>
        <w:t>Teaching role for postgraduate education of GP trainees at King Georges – GP vocational training in London for Health Education England (HEE)</w:t>
      </w:r>
    </w:p>
    <w:p w14:paraId="21DA170D" w14:textId="77777777" w:rsidR="003569D2" w:rsidRDefault="003569D2" w:rsidP="003569D2">
      <w:pPr>
        <w:spacing w:before="0" w:after="0"/>
        <w:rPr>
          <w:rFonts w:cs="Arial"/>
          <w:szCs w:val="24"/>
        </w:rPr>
      </w:pPr>
      <w:bookmarkStart w:id="100" w:name="_Hlk62640734"/>
    </w:p>
    <w:p w14:paraId="46B31701" w14:textId="77777777" w:rsidR="003569D2" w:rsidRDefault="003569D2" w:rsidP="000D3041">
      <w:pPr>
        <w:pStyle w:val="ListParagraph"/>
        <w:numPr>
          <w:ilvl w:val="0"/>
          <w:numId w:val="24"/>
        </w:numPr>
        <w:spacing w:before="0" w:after="0"/>
        <w:rPr>
          <w:rFonts w:cs="Arial"/>
          <w:b/>
          <w:bCs/>
          <w:szCs w:val="24"/>
        </w:rPr>
      </w:pPr>
      <w:r>
        <w:rPr>
          <w:b/>
          <w:bCs/>
          <w:szCs w:val="24"/>
        </w:rPr>
        <w:t>Dr Sooraj Natarajan, Brentwood Elected Member</w:t>
      </w:r>
    </w:p>
    <w:p w14:paraId="3E5A831A" w14:textId="77777777" w:rsidR="003569D2" w:rsidRDefault="003569D2" w:rsidP="00BD23F5">
      <w:pPr>
        <w:spacing w:before="120" w:after="0"/>
        <w:ind w:left="709"/>
        <w:rPr>
          <w:rFonts w:cs="Arial"/>
          <w:szCs w:val="24"/>
        </w:rPr>
      </w:pPr>
      <w:r>
        <w:rPr>
          <w:rFonts w:cs="Arial"/>
          <w:b/>
          <w:bCs/>
          <w:szCs w:val="24"/>
        </w:rPr>
        <w:t xml:space="preserve">Appointment:  </w:t>
      </w:r>
      <w:r>
        <w:rPr>
          <w:rFonts w:cs="Arial"/>
          <w:szCs w:val="24"/>
        </w:rPr>
        <w:t>From 1 April 2013</w:t>
      </w:r>
    </w:p>
    <w:p w14:paraId="3164449A" w14:textId="77777777" w:rsidR="003569D2" w:rsidRDefault="003569D2" w:rsidP="003569D2">
      <w:pPr>
        <w:spacing w:before="0" w:after="0"/>
        <w:ind w:left="709"/>
        <w:rPr>
          <w:rFonts w:cs="Arial"/>
          <w:b/>
          <w:bCs/>
          <w:szCs w:val="24"/>
        </w:rPr>
      </w:pPr>
      <w:r>
        <w:rPr>
          <w:rFonts w:cs="Arial"/>
          <w:b/>
          <w:bCs/>
          <w:szCs w:val="24"/>
        </w:rPr>
        <w:t>Committee Memberships:</w:t>
      </w:r>
    </w:p>
    <w:p w14:paraId="6EA89EB6" w14:textId="77777777" w:rsidR="003569D2" w:rsidRDefault="003569D2" w:rsidP="003569D2">
      <w:pPr>
        <w:spacing w:before="0" w:after="0"/>
        <w:ind w:left="709"/>
        <w:rPr>
          <w:rFonts w:cs="Arial"/>
          <w:szCs w:val="24"/>
        </w:rPr>
      </w:pPr>
      <w:r>
        <w:rPr>
          <w:rFonts w:cs="Arial"/>
          <w:szCs w:val="24"/>
        </w:rPr>
        <w:t>Clinical Executive Group</w:t>
      </w:r>
    </w:p>
    <w:p w14:paraId="55DD92FE" w14:textId="77777777" w:rsidR="003569D2" w:rsidRDefault="003569D2" w:rsidP="003569D2">
      <w:pPr>
        <w:spacing w:before="0" w:after="0"/>
        <w:ind w:left="709"/>
        <w:rPr>
          <w:rFonts w:cs="Arial"/>
          <w:szCs w:val="24"/>
        </w:rPr>
      </w:pPr>
      <w:r>
        <w:rPr>
          <w:rFonts w:cs="Arial"/>
          <w:szCs w:val="24"/>
        </w:rPr>
        <w:t>Patient Safety &amp; Quality Committee (PSQC and Acting Chair</w:t>
      </w:r>
    </w:p>
    <w:p w14:paraId="305D0340" w14:textId="77777777" w:rsidR="003569D2" w:rsidRDefault="003569D2" w:rsidP="003569D2">
      <w:pPr>
        <w:spacing w:before="0" w:after="0"/>
        <w:ind w:left="709"/>
        <w:rPr>
          <w:rFonts w:cs="Arial"/>
          <w:szCs w:val="24"/>
        </w:rPr>
      </w:pPr>
      <w:r>
        <w:rPr>
          <w:rFonts w:cs="Arial"/>
          <w:b/>
          <w:bCs/>
          <w:szCs w:val="24"/>
        </w:rPr>
        <w:t xml:space="preserve">Profile: </w:t>
      </w:r>
      <w:r>
        <w:rPr>
          <w:rFonts w:cs="Arial"/>
          <w:szCs w:val="24"/>
        </w:rPr>
        <w:t xml:space="preserve">Dr Natarajan has been a GP at the Tile House Surgery in Brentwood since 2005. Before becoming a GP, he worked in Paediatrics.   He has been involved in commissioning services as a GP member in the local practice-based Commissioning Group and as a Clinical Executive member in South West Essex CCG. </w:t>
      </w:r>
      <w:r>
        <w:rPr>
          <w:rFonts w:cs="Arial"/>
          <w:szCs w:val="24"/>
          <w:lang w:val="en"/>
        </w:rPr>
        <w:t xml:space="preserve">Dr Natarajan leads on Children and Children’s Mental Health at the CCG and is acting Chair of </w:t>
      </w:r>
      <w:r>
        <w:rPr>
          <w:rFonts w:cs="Arial"/>
          <w:szCs w:val="24"/>
        </w:rPr>
        <w:t>PSQC.</w:t>
      </w:r>
    </w:p>
    <w:p w14:paraId="7B527414" w14:textId="77777777" w:rsidR="003569D2" w:rsidRDefault="003569D2" w:rsidP="003569D2">
      <w:pPr>
        <w:spacing w:before="0" w:after="0"/>
        <w:ind w:left="709"/>
        <w:rPr>
          <w:rFonts w:cs="Arial"/>
          <w:b/>
          <w:bCs/>
          <w:szCs w:val="24"/>
        </w:rPr>
      </w:pPr>
      <w:bookmarkStart w:id="101" w:name="_Hlk62640518"/>
      <w:r>
        <w:rPr>
          <w:rFonts w:cs="Arial"/>
          <w:b/>
          <w:bCs/>
          <w:szCs w:val="24"/>
        </w:rPr>
        <w:t xml:space="preserve">Declared interests and conflicts: </w:t>
      </w:r>
    </w:p>
    <w:p w14:paraId="253C2E8F" w14:textId="77777777" w:rsidR="003569D2" w:rsidRDefault="003569D2" w:rsidP="003569D2">
      <w:pPr>
        <w:spacing w:before="0" w:after="0"/>
        <w:ind w:left="709"/>
        <w:rPr>
          <w:rFonts w:cs="Arial"/>
          <w:szCs w:val="24"/>
          <w:lang w:val="en"/>
        </w:rPr>
      </w:pPr>
      <w:r>
        <w:rPr>
          <w:rFonts w:cs="Arial"/>
          <w:szCs w:val="24"/>
          <w:lang w:val="en"/>
        </w:rPr>
        <w:t>GP Partner Tile House Surgery &amp; GP from Brentwood Locality</w:t>
      </w:r>
    </w:p>
    <w:p w14:paraId="10D2F134" w14:textId="77777777" w:rsidR="003569D2" w:rsidRDefault="003569D2" w:rsidP="003569D2">
      <w:pPr>
        <w:spacing w:before="0" w:after="0"/>
        <w:ind w:left="709"/>
        <w:rPr>
          <w:rFonts w:cs="Arial"/>
          <w:szCs w:val="24"/>
          <w:lang w:val="en"/>
        </w:rPr>
      </w:pPr>
      <w:r>
        <w:rPr>
          <w:rFonts w:cs="Arial"/>
          <w:szCs w:val="24"/>
          <w:lang w:val="en"/>
        </w:rPr>
        <w:t xml:space="preserve">Tile House Surgery is engaged in primary care research </w:t>
      </w:r>
    </w:p>
    <w:p w14:paraId="077C15C9" w14:textId="77777777" w:rsidR="003569D2" w:rsidRDefault="003569D2" w:rsidP="003569D2">
      <w:pPr>
        <w:spacing w:before="0" w:after="0"/>
        <w:ind w:left="709"/>
        <w:rPr>
          <w:rFonts w:cs="Arial"/>
          <w:szCs w:val="24"/>
          <w:lang w:val="en"/>
        </w:rPr>
      </w:pPr>
      <w:r>
        <w:rPr>
          <w:rFonts w:cs="Arial"/>
          <w:szCs w:val="24"/>
          <w:lang w:val="en"/>
        </w:rPr>
        <w:t>Tile House Surgery is a member of ACE (Accountable Care Enterprise Limited)</w:t>
      </w:r>
    </w:p>
    <w:p w14:paraId="3E5C74D8" w14:textId="77777777" w:rsidR="003569D2" w:rsidRDefault="003569D2" w:rsidP="003569D2">
      <w:pPr>
        <w:spacing w:before="0" w:after="0"/>
        <w:ind w:left="709"/>
        <w:rPr>
          <w:rFonts w:cs="Arial"/>
          <w:szCs w:val="24"/>
        </w:rPr>
      </w:pPr>
      <w:r>
        <w:rPr>
          <w:rFonts w:cs="Arial"/>
          <w:szCs w:val="24"/>
          <w:lang w:val="en"/>
        </w:rPr>
        <w:t>Member of Brentwood Primary Care Network (PCN)</w:t>
      </w:r>
      <w:bookmarkEnd w:id="101"/>
    </w:p>
    <w:p w14:paraId="7BFB5E7A" w14:textId="77777777" w:rsidR="003569D2" w:rsidRDefault="003569D2" w:rsidP="003569D2">
      <w:pPr>
        <w:spacing w:before="0" w:after="0"/>
        <w:rPr>
          <w:rFonts w:cs="Arial"/>
          <w:szCs w:val="24"/>
        </w:rPr>
      </w:pPr>
    </w:p>
    <w:p w14:paraId="7564709E" w14:textId="77777777" w:rsidR="003569D2" w:rsidRDefault="003569D2" w:rsidP="000D3041">
      <w:pPr>
        <w:pStyle w:val="ListParagraph"/>
        <w:numPr>
          <w:ilvl w:val="0"/>
          <w:numId w:val="24"/>
        </w:numPr>
        <w:spacing w:before="0" w:after="0"/>
        <w:rPr>
          <w:rFonts w:cs="Arial"/>
          <w:szCs w:val="24"/>
        </w:rPr>
      </w:pPr>
      <w:r>
        <w:rPr>
          <w:b/>
          <w:bCs/>
          <w:szCs w:val="24"/>
        </w:rPr>
        <w:t>Dr Ken Wrixon, Brentwood Elected Member</w:t>
      </w:r>
    </w:p>
    <w:p w14:paraId="4AF8B6F8" w14:textId="77777777" w:rsidR="003569D2" w:rsidRDefault="003569D2" w:rsidP="00BD23F5">
      <w:pPr>
        <w:spacing w:before="120" w:after="0"/>
        <w:ind w:left="709"/>
        <w:rPr>
          <w:rFonts w:cs="Arial"/>
          <w:szCs w:val="24"/>
        </w:rPr>
      </w:pPr>
      <w:r>
        <w:rPr>
          <w:rFonts w:cs="Arial"/>
          <w:b/>
          <w:bCs/>
          <w:szCs w:val="24"/>
        </w:rPr>
        <w:t xml:space="preserve">Appointment:  </w:t>
      </w:r>
      <w:r>
        <w:rPr>
          <w:rFonts w:cs="Arial"/>
          <w:szCs w:val="24"/>
        </w:rPr>
        <w:t>From 1 April 2013</w:t>
      </w:r>
    </w:p>
    <w:p w14:paraId="429023A8" w14:textId="77777777" w:rsidR="003569D2" w:rsidRDefault="003569D2" w:rsidP="003569D2">
      <w:pPr>
        <w:spacing w:before="0" w:after="0"/>
        <w:ind w:left="709"/>
        <w:rPr>
          <w:rFonts w:cs="Arial"/>
          <w:b/>
          <w:bCs/>
          <w:szCs w:val="24"/>
        </w:rPr>
      </w:pPr>
      <w:r>
        <w:rPr>
          <w:rFonts w:cs="Arial"/>
          <w:b/>
          <w:bCs/>
          <w:szCs w:val="24"/>
        </w:rPr>
        <w:t>Committee Memberships:</w:t>
      </w:r>
    </w:p>
    <w:p w14:paraId="2EB4BC86" w14:textId="77777777" w:rsidR="003569D2" w:rsidRDefault="003569D2" w:rsidP="003569D2">
      <w:pPr>
        <w:spacing w:before="0" w:after="0"/>
        <w:ind w:left="709"/>
        <w:rPr>
          <w:rFonts w:cs="Arial"/>
          <w:szCs w:val="24"/>
        </w:rPr>
      </w:pPr>
      <w:r>
        <w:rPr>
          <w:rFonts w:cs="Arial"/>
          <w:szCs w:val="24"/>
        </w:rPr>
        <w:t>Finance &amp; Performance Committee (Chair)</w:t>
      </w:r>
    </w:p>
    <w:p w14:paraId="66B12802" w14:textId="77777777" w:rsidR="003569D2" w:rsidRDefault="003569D2" w:rsidP="003569D2">
      <w:pPr>
        <w:spacing w:before="0" w:after="0"/>
        <w:ind w:left="709"/>
        <w:rPr>
          <w:rFonts w:cs="Arial"/>
          <w:szCs w:val="24"/>
        </w:rPr>
      </w:pPr>
      <w:r>
        <w:rPr>
          <w:rFonts w:cs="Arial"/>
          <w:szCs w:val="24"/>
        </w:rPr>
        <w:t>Clinical Executive Group</w:t>
      </w:r>
    </w:p>
    <w:p w14:paraId="3558D1EF" w14:textId="77777777" w:rsidR="003569D2" w:rsidRDefault="003569D2" w:rsidP="003569D2">
      <w:pPr>
        <w:spacing w:before="0" w:after="0"/>
        <w:ind w:left="709"/>
        <w:rPr>
          <w:rFonts w:cs="Arial"/>
          <w:szCs w:val="24"/>
        </w:rPr>
      </w:pPr>
      <w:r>
        <w:rPr>
          <w:rFonts w:cs="Arial"/>
          <w:b/>
          <w:bCs/>
          <w:szCs w:val="24"/>
        </w:rPr>
        <w:t xml:space="preserve">Profile: </w:t>
      </w:r>
      <w:r>
        <w:rPr>
          <w:rFonts w:cs="Arial"/>
          <w:szCs w:val="24"/>
        </w:rPr>
        <w:t>Dr Wrixon has practised in Essex since 2002, initially as junior doctor at Broomfield Hospital, and more recently as a partner at Deal Tree Surgery since 2007. With a Masters in Public Health, he has always had an interest in population health. He leads on mental health and Improving Access to Psychological Therapies (IAPT) and is the sustainability champion for the CCG.  He is currently the Chair of the Brentwood locality. Dr Wrixon leads on the IAPT re-procurement and wider support of the mental health agenda.</w:t>
      </w:r>
    </w:p>
    <w:p w14:paraId="2B7A854F" w14:textId="77777777" w:rsidR="003569D2" w:rsidRDefault="003569D2" w:rsidP="003569D2">
      <w:pPr>
        <w:spacing w:before="0" w:after="0"/>
        <w:ind w:left="709"/>
        <w:rPr>
          <w:rFonts w:cs="Arial"/>
          <w:b/>
          <w:bCs/>
          <w:szCs w:val="24"/>
        </w:rPr>
      </w:pPr>
      <w:r>
        <w:rPr>
          <w:rFonts w:cs="Arial"/>
          <w:b/>
          <w:bCs/>
          <w:szCs w:val="24"/>
        </w:rPr>
        <w:t xml:space="preserve">Declared interests and conflicts: </w:t>
      </w:r>
    </w:p>
    <w:p w14:paraId="1658E61E" w14:textId="77777777" w:rsidR="003569D2" w:rsidRDefault="003569D2" w:rsidP="003569D2">
      <w:pPr>
        <w:spacing w:before="0" w:after="0"/>
        <w:ind w:left="709"/>
        <w:rPr>
          <w:rFonts w:cs="Arial"/>
          <w:szCs w:val="24"/>
        </w:rPr>
      </w:pPr>
      <w:r>
        <w:rPr>
          <w:rFonts w:cs="Arial"/>
          <w:szCs w:val="24"/>
        </w:rPr>
        <w:t>GP Partner Deal Tree Health Centre</w:t>
      </w:r>
    </w:p>
    <w:p w14:paraId="6B80CC23" w14:textId="77777777" w:rsidR="003569D2" w:rsidRDefault="003569D2" w:rsidP="003569D2">
      <w:pPr>
        <w:spacing w:before="0" w:after="0"/>
        <w:ind w:left="709"/>
        <w:rPr>
          <w:rFonts w:cs="Arial"/>
          <w:szCs w:val="24"/>
        </w:rPr>
      </w:pPr>
      <w:r>
        <w:rPr>
          <w:rFonts w:cs="Arial"/>
          <w:szCs w:val="24"/>
        </w:rPr>
        <w:t>ACE (Accountable Care Enterprise Limited) – Shareholder</w:t>
      </w:r>
    </w:p>
    <w:p w14:paraId="4724403E" w14:textId="77777777" w:rsidR="003569D2" w:rsidRDefault="003569D2" w:rsidP="003569D2">
      <w:pPr>
        <w:spacing w:before="0" w:after="0"/>
        <w:ind w:left="709"/>
        <w:rPr>
          <w:rFonts w:cs="Arial"/>
          <w:szCs w:val="24"/>
        </w:rPr>
      </w:pPr>
      <w:r>
        <w:rPr>
          <w:rFonts w:cs="Arial"/>
          <w:szCs w:val="24"/>
        </w:rPr>
        <w:t>Wife is School Health Adviser for Virgin Healthcare.</w:t>
      </w:r>
    </w:p>
    <w:p w14:paraId="54C16928" w14:textId="3854D4C4" w:rsidR="003569D2" w:rsidRDefault="003569D2" w:rsidP="003569D2">
      <w:pPr>
        <w:spacing w:before="0" w:after="0"/>
        <w:ind w:left="709"/>
        <w:rPr>
          <w:rFonts w:cs="Arial"/>
          <w:szCs w:val="24"/>
          <w:lang w:eastAsia="en-GB"/>
        </w:rPr>
      </w:pPr>
      <w:r>
        <w:rPr>
          <w:rFonts w:cs="Arial"/>
          <w:szCs w:val="24"/>
          <w:lang w:val="en"/>
        </w:rPr>
        <w:t xml:space="preserve">Member of Brentwood </w:t>
      </w:r>
      <w:r>
        <w:rPr>
          <w:rFonts w:cs="Arial"/>
          <w:szCs w:val="24"/>
          <w:lang w:eastAsia="en-GB"/>
        </w:rPr>
        <w:t>Primary Care Network</w:t>
      </w:r>
    </w:p>
    <w:p w14:paraId="6CC27BE5" w14:textId="7D18E270" w:rsidR="003569D2" w:rsidRPr="003569D2" w:rsidRDefault="003569D2" w:rsidP="000D3041">
      <w:pPr>
        <w:pStyle w:val="ListParagraph"/>
        <w:numPr>
          <w:ilvl w:val="0"/>
          <w:numId w:val="24"/>
        </w:numPr>
        <w:spacing w:before="0" w:after="120"/>
        <w:rPr>
          <w:rFonts w:cs="Arial"/>
          <w:b/>
          <w:bCs/>
          <w:szCs w:val="24"/>
        </w:rPr>
      </w:pPr>
      <w:r>
        <w:rPr>
          <w:b/>
          <w:bCs/>
          <w:szCs w:val="24"/>
        </w:rPr>
        <w:lastRenderedPageBreak/>
        <w:t>Dr Nimit Dabas, Arterial Elected Member</w:t>
      </w:r>
    </w:p>
    <w:p w14:paraId="7C17E664" w14:textId="77777777" w:rsidR="003569D2" w:rsidRDefault="003569D2" w:rsidP="003569D2">
      <w:pPr>
        <w:spacing w:before="0" w:after="0"/>
        <w:ind w:left="709"/>
        <w:rPr>
          <w:rFonts w:cs="Arial"/>
          <w:szCs w:val="24"/>
        </w:rPr>
      </w:pPr>
      <w:bookmarkStart w:id="102" w:name="_Hlk62641748"/>
      <w:r>
        <w:rPr>
          <w:rFonts w:cs="Arial"/>
          <w:b/>
          <w:bCs/>
          <w:szCs w:val="24"/>
        </w:rPr>
        <w:t xml:space="preserve">Appointment:  </w:t>
      </w:r>
      <w:r>
        <w:rPr>
          <w:rFonts w:cs="Arial"/>
          <w:szCs w:val="24"/>
        </w:rPr>
        <w:t>From 1 December 2015</w:t>
      </w:r>
    </w:p>
    <w:p w14:paraId="3BEE813D" w14:textId="77777777" w:rsidR="003569D2" w:rsidRDefault="003569D2" w:rsidP="003569D2">
      <w:pPr>
        <w:spacing w:before="0" w:after="0"/>
        <w:ind w:left="709"/>
        <w:rPr>
          <w:rFonts w:cs="Arial"/>
          <w:b/>
          <w:bCs/>
          <w:szCs w:val="24"/>
        </w:rPr>
      </w:pPr>
      <w:r>
        <w:rPr>
          <w:rFonts w:cs="Arial"/>
          <w:b/>
          <w:bCs/>
          <w:szCs w:val="24"/>
        </w:rPr>
        <w:t>Committee Memberships:</w:t>
      </w:r>
    </w:p>
    <w:p w14:paraId="47E0E530" w14:textId="77777777" w:rsidR="003569D2" w:rsidRDefault="003569D2" w:rsidP="003569D2">
      <w:pPr>
        <w:spacing w:before="0" w:after="0"/>
        <w:ind w:left="709"/>
        <w:rPr>
          <w:rFonts w:cs="Arial"/>
          <w:szCs w:val="24"/>
        </w:rPr>
      </w:pPr>
      <w:r>
        <w:rPr>
          <w:rFonts w:cs="Arial"/>
          <w:szCs w:val="24"/>
        </w:rPr>
        <w:t>Clinical Executive Group</w:t>
      </w:r>
    </w:p>
    <w:p w14:paraId="19C54F16" w14:textId="77777777" w:rsidR="003569D2" w:rsidRDefault="003569D2" w:rsidP="003569D2">
      <w:pPr>
        <w:spacing w:before="0" w:after="0"/>
        <w:ind w:left="709"/>
        <w:rPr>
          <w:rFonts w:cs="Arial"/>
          <w:szCs w:val="24"/>
        </w:rPr>
      </w:pPr>
      <w:r>
        <w:rPr>
          <w:rFonts w:cs="Arial"/>
          <w:b/>
          <w:bCs/>
          <w:szCs w:val="24"/>
        </w:rPr>
        <w:t xml:space="preserve">Profile: </w:t>
      </w:r>
      <w:r>
        <w:rPr>
          <w:rFonts w:cs="Arial"/>
          <w:szCs w:val="24"/>
        </w:rPr>
        <w:t xml:space="preserve">Dr Dabas is an elected representative of Billericay and Basildon GPs on the Governing Body.  He is a full time GP in Billericay. </w:t>
      </w:r>
      <w:r>
        <w:rPr>
          <w:rFonts w:cs="Arial"/>
          <w:b/>
          <w:bCs/>
          <w:szCs w:val="24"/>
        </w:rPr>
        <w:t> </w:t>
      </w:r>
      <w:r>
        <w:rPr>
          <w:rFonts w:cs="Arial"/>
          <w:szCs w:val="24"/>
        </w:rPr>
        <w:t>For the CCG Dr Dabas leads on the Transfer of Care from Secondary to Out of Hospitals, NELFT contract and Urology.</w:t>
      </w:r>
    </w:p>
    <w:p w14:paraId="4177C101" w14:textId="77777777" w:rsidR="003569D2" w:rsidRDefault="003569D2" w:rsidP="003569D2">
      <w:pPr>
        <w:spacing w:before="0" w:after="0"/>
        <w:ind w:left="709"/>
        <w:rPr>
          <w:rFonts w:cs="Arial"/>
          <w:b/>
          <w:bCs/>
          <w:szCs w:val="24"/>
        </w:rPr>
      </w:pPr>
      <w:r>
        <w:rPr>
          <w:rFonts w:cs="Arial"/>
          <w:b/>
          <w:bCs/>
          <w:szCs w:val="24"/>
        </w:rPr>
        <w:t xml:space="preserve">Declared interests and conflicts: </w:t>
      </w:r>
    </w:p>
    <w:p w14:paraId="2A341E2E" w14:textId="77777777" w:rsidR="003569D2" w:rsidRDefault="003569D2" w:rsidP="003569D2">
      <w:pPr>
        <w:spacing w:before="0" w:after="0"/>
        <w:ind w:left="709"/>
        <w:rPr>
          <w:rFonts w:cs="Arial"/>
          <w:szCs w:val="24"/>
          <w:lang w:val="en-US"/>
        </w:rPr>
      </w:pPr>
      <w:r>
        <w:rPr>
          <w:rFonts w:cs="Arial"/>
          <w:szCs w:val="24"/>
          <w:lang w:val="en-US"/>
        </w:rPr>
        <w:t>GP Principal Queens Park Surgery and The New Surgery Billericay</w:t>
      </w:r>
    </w:p>
    <w:p w14:paraId="2C7683E2" w14:textId="77777777" w:rsidR="003569D2" w:rsidRDefault="003569D2" w:rsidP="003569D2">
      <w:pPr>
        <w:spacing w:before="0" w:after="0"/>
        <w:ind w:left="709"/>
        <w:rPr>
          <w:rFonts w:cs="Arial"/>
          <w:szCs w:val="24"/>
          <w:lang w:val="en-US"/>
        </w:rPr>
      </w:pPr>
      <w:r>
        <w:rPr>
          <w:rFonts w:cs="Arial"/>
          <w:szCs w:val="24"/>
          <w:lang w:val="en-US"/>
        </w:rPr>
        <w:t>Director of BB Healthcare Solutions Limited</w:t>
      </w:r>
    </w:p>
    <w:p w14:paraId="59AE3F48" w14:textId="77777777" w:rsidR="003569D2" w:rsidRDefault="003569D2" w:rsidP="003569D2">
      <w:pPr>
        <w:spacing w:before="0" w:after="0"/>
        <w:ind w:left="709"/>
        <w:rPr>
          <w:rFonts w:cs="Arial"/>
          <w:szCs w:val="24"/>
          <w:lang w:val="en-US"/>
        </w:rPr>
      </w:pPr>
      <w:r>
        <w:rPr>
          <w:rFonts w:cs="Arial"/>
          <w:szCs w:val="24"/>
          <w:lang w:val="en-US"/>
        </w:rPr>
        <w:t>Clinical Director for Billericay PCN</w:t>
      </w:r>
    </w:p>
    <w:p w14:paraId="034B01F4" w14:textId="1353FC6E" w:rsidR="003569D2" w:rsidRDefault="003569D2" w:rsidP="001F31F8">
      <w:pPr>
        <w:spacing w:before="0" w:after="120"/>
        <w:ind w:left="709"/>
        <w:rPr>
          <w:rFonts w:cs="Arial"/>
          <w:szCs w:val="24"/>
          <w:lang w:val="en-US"/>
        </w:rPr>
      </w:pPr>
      <w:r>
        <w:rPr>
          <w:rFonts w:cs="Arial"/>
          <w:szCs w:val="24"/>
          <w:lang w:val="en-US"/>
        </w:rPr>
        <w:t>Wife is a Director and Shareholder of GP Support Limited</w:t>
      </w:r>
      <w:bookmarkEnd w:id="102"/>
    </w:p>
    <w:p w14:paraId="6F9693ED" w14:textId="143CABCA" w:rsidR="003569D2" w:rsidRPr="003569D2" w:rsidRDefault="003569D2" w:rsidP="000D3041">
      <w:pPr>
        <w:pStyle w:val="ListParagraph"/>
        <w:numPr>
          <w:ilvl w:val="0"/>
          <w:numId w:val="24"/>
        </w:numPr>
        <w:spacing w:before="0" w:after="120"/>
        <w:rPr>
          <w:rFonts w:cs="Arial"/>
          <w:b/>
          <w:bCs/>
          <w:szCs w:val="24"/>
        </w:rPr>
      </w:pPr>
      <w:r>
        <w:rPr>
          <w:b/>
          <w:bCs/>
          <w:szCs w:val="24"/>
        </w:rPr>
        <w:t>Dr Olugbenga Odutola, Arterial Elected Member</w:t>
      </w:r>
    </w:p>
    <w:p w14:paraId="7EB5E455" w14:textId="77777777" w:rsidR="003569D2" w:rsidRDefault="003569D2" w:rsidP="003569D2">
      <w:pPr>
        <w:spacing w:before="0" w:after="0"/>
        <w:ind w:left="709"/>
        <w:rPr>
          <w:rFonts w:cs="Arial"/>
          <w:szCs w:val="24"/>
        </w:rPr>
      </w:pPr>
      <w:bookmarkStart w:id="103" w:name="_Hlk62641065"/>
      <w:r>
        <w:rPr>
          <w:rFonts w:cs="Arial"/>
          <w:b/>
          <w:bCs/>
          <w:szCs w:val="24"/>
        </w:rPr>
        <w:t xml:space="preserve">Appointment:    </w:t>
      </w:r>
      <w:r>
        <w:rPr>
          <w:rFonts w:cs="Arial"/>
          <w:szCs w:val="24"/>
        </w:rPr>
        <w:t>From 1 December 2018</w:t>
      </w:r>
    </w:p>
    <w:p w14:paraId="23057DC0" w14:textId="77777777" w:rsidR="003569D2" w:rsidRDefault="003569D2" w:rsidP="003569D2">
      <w:pPr>
        <w:spacing w:before="0" w:after="0"/>
        <w:ind w:left="709"/>
        <w:rPr>
          <w:rFonts w:cs="Arial"/>
          <w:b/>
          <w:bCs/>
          <w:szCs w:val="24"/>
        </w:rPr>
      </w:pPr>
      <w:r>
        <w:rPr>
          <w:rFonts w:cs="Arial"/>
          <w:b/>
          <w:bCs/>
          <w:szCs w:val="24"/>
        </w:rPr>
        <w:t>Committee Memberships:</w:t>
      </w:r>
    </w:p>
    <w:p w14:paraId="24B605BE" w14:textId="77777777" w:rsidR="003569D2" w:rsidRDefault="003569D2" w:rsidP="003569D2">
      <w:pPr>
        <w:spacing w:before="0" w:after="0"/>
        <w:ind w:left="709"/>
        <w:rPr>
          <w:rFonts w:cs="Arial"/>
          <w:szCs w:val="24"/>
        </w:rPr>
      </w:pPr>
      <w:r>
        <w:rPr>
          <w:rFonts w:cs="Arial"/>
          <w:szCs w:val="24"/>
        </w:rPr>
        <w:t>Clinical Executive Group, Patient Safety and Quality Committee</w:t>
      </w:r>
    </w:p>
    <w:p w14:paraId="76071F70" w14:textId="77777777" w:rsidR="003569D2" w:rsidRDefault="003569D2" w:rsidP="003569D2">
      <w:pPr>
        <w:spacing w:before="0" w:after="0"/>
        <w:ind w:left="709"/>
        <w:rPr>
          <w:rFonts w:cs="Arial"/>
          <w:szCs w:val="24"/>
        </w:rPr>
      </w:pPr>
      <w:r>
        <w:rPr>
          <w:rFonts w:cs="Arial"/>
          <w:b/>
          <w:bCs/>
          <w:szCs w:val="24"/>
        </w:rPr>
        <w:t xml:space="preserve">Profile: </w:t>
      </w:r>
      <w:r>
        <w:rPr>
          <w:rFonts w:cs="Arial"/>
          <w:szCs w:val="24"/>
        </w:rPr>
        <w:t>Dr Odutola is an elected representative of Billericay &amp; Basildon GPs on the Governing Body.</w:t>
      </w:r>
      <w:r>
        <w:rPr>
          <w:rFonts w:cs="Arial"/>
          <w:b/>
          <w:bCs/>
          <w:szCs w:val="24"/>
        </w:rPr>
        <w:t xml:space="preserve"> </w:t>
      </w:r>
      <w:r>
        <w:rPr>
          <w:rFonts w:cs="Arial"/>
          <w:szCs w:val="24"/>
        </w:rPr>
        <w:t>He is a full time GP.</w:t>
      </w:r>
    </w:p>
    <w:p w14:paraId="0A4E0E97" w14:textId="77777777" w:rsidR="003569D2" w:rsidRDefault="003569D2" w:rsidP="003569D2">
      <w:pPr>
        <w:spacing w:before="0" w:after="0"/>
        <w:ind w:left="709"/>
        <w:rPr>
          <w:rFonts w:cs="Arial"/>
          <w:b/>
          <w:bCs/>
          <w:szCs w:val="24"/>
        </w:rPr>
      </w:pPr>
      <w:r>
        <w:rPr>
          <w:rFonts w:cs="Arial"/>
          <w:b/>
          <w:bCs/>
          <w:szCs w:val="24"/>
        </w:rPr>
        <w:t xml:space="preserve">Declared interests and conflicts: </w:t>
      </w:r>
    </w:p>
    <w:p w14:paraId="6F9276EB" w14:textId="77777777" w:rsidR="003569D2" w:rsidRDefault="003569D2" w:rsidP="003569D2">
      <w:pPr>
        <w:spacing w:before="0" w:after="0"/>
        <w:ind w:left="709"/>
        <w:rPr>
          <w:rFonts w:cs="Arial"/>
          <w:szCs w:val="24"/>
        </w:rPr>
      </w:pPr>
      <w:r>
        <w:rPr>
          <w:rFonts w:cs="Arial"/>
          <w:szCs w:val="24"/>
        </w:rPr>
        <w:t>Director of BB Healthcare Solutions</w:t>
      </w:r>
    </w:p>
    <w:p w14:paraId="64EB4864" w14:textId="43DADA3F" w:rsidR="003569D2" w:rsidRDefault="003569D2" w:rsidP="003569D2">
      <w:pPr>
        <w:spacing w:before="0" w:after="0"/>
        <w:ind w:left="709"/>
        <w:rPr>
          <w:rFonts w:cs="Arial"/>
          <w:szCs w:val="24"/>
        </w:rPr>
      </w:pPr>
      <w:r>
        <w:rPr>
          <w:rFonts w:cs="Arial"/>
          <w:szCs w:val="24"/>
        </w:rPr>
        <w:t xml:space="preserve">GP Partner at Knights Surgery </w:t>
      </w:r>
      <w:r w:rsidR="00FB1497">
        <w:rPr>
          <w:rFonts w:cs="Arial"/>
          <w:szCs w:val="24"/>
        </w:rPr>
        <w:t xml:space="preserve">and </w:t>
      </w:r>
      <w:r>
        <w:rPr>
          <w:rFonts w:cs="Arial"/>
          <w:szCs w:val="24"/>
        </w:rPr>
        <w:t>GP Partner at Fryerns Medical Centre</w:t>
      </w:r>
    </w:p>
    <w:p w14:paraId="31451911" w14:textId="77777777" w:rsidR="003569D2" w:rsidRDefault="003569D2" w:rsidP="003569D2">
      <w:pPr>
        <w:spacing w:before="0" w:after="0"/>
        <w:ind w:left="709"/>
        <w:rPr>
          <w:rFonts w:cs="Arial"/>
          <w:szCs w:val="24"/>
        </w:rPr>
      </w:pPr>
      <w:r>
        <w:rPr>
          <w:rFonts w:cs="Arial"/>
          <w:szCs w:val="24"/>
        </w:rPr>
        <w:t>Puffie Limited - Director</w:t>
      </w:r>
    </w:p>
    <w:p w14:paraId="42DF7ADD" w14:textId="77777777" w:rsidR="003569D2" w:rsidRDefault="003569D2" w:rsidP="003569D2">
      <w:pPr>
        <w:spacing w:before="0" w:after="0"/>
        <w:ind w:left="709"/>
        <w:rPr>
          <w:rFonts w:cs="Arial"/>
          <w:szCs w:val="24"/>
          <w:lang w:eastAsia="en-GB"/>
        </w:rPr>
      </w:pPr>
      <w:r>
        <w:rPr>
          <w:rFonts w:cs="Arial"/>
          <w:szCs w:val="24"/>
          <w:lang w:eastAsia="en-GB"/>
        </w:rPr>
        <w:t>Member of Central Basildon Primary Care Network</w:t>
      </w:r>
      <w:bookmarkEnd w:id="103"/>
    </w:p>
    <w:p w14:paraId="548D433B" w14:textId="1C0BFF75" w:rsidR="003569D2" w:rsidRDefault="003569D2" w:rsidP="001F31F8">
      <w:pPr>
        <w:spacing w:before="0" w:after="120"/>
        <w:ind w:left="709"/>
        <w:rPr>
          <w:rFonts w:cs="Arial"/>
          <w:b/>
          <w:bCs/>
          <w:szCs w:val="24"/>
        </w:rPr>
      </w:pPr>
      <w:r>
        <w:rPr>
          <w:rFonts w:cs="Arial"/>
          <w:szCs w:val="24"/>
          <w:lang w:eastAsia="en-GB"/>
        </w:rPr>
        <w:t>Member of Clinical &amp; Multi Professional Group</w:t>
      </w:r>
    </w:p>
    <w:p w14:paraId="4A592246" w14:textId="1C41D2B1" w:rsidR="003569D2" w:rsidRPr="003569D2" w:rsidRDefault="003569D2" w:rsidP="000D3041">
      <w:pPr>
        <w:pStyle w:val="ListParagraph"/>
        <w:numPr>
          <w:ilvl w:val="0"/>
          <w:numId w:val="24"/>
        </w:numPr>
        <w:spacing w:before="0" w:after="120"/>
        <w:rPr>
          <w:rFonts w:cs="Arial"/>
          <w:color w:val="000000"/>
          <w:szCs w:val="24"/>
        </w:rPr>
      </w:pPr>
      <w:r>
        <w:rPr>
          <w:b/>
          <w:bCs/>
          <w:szCs w:val="24"/>
        </w:rPr>
        <w:t xml:space="preserve">Dr Babafemi Salako, </w:t>
      </w:r>
      <w:r>
        <w:rPr>
          <w:b/>
          <w:bCs/>
          <w:color w:val="000000"/>
          <w:szCs w:val="24"/>
        </w:rPr>
        <w:t>SEMC Elected Member</w:t>
      </w:r>
    </w:p>
    <w:p w14:paraId="5884AA39" w14:textId="77777777" w:rsidR="003569D2" w:rsidRDefault="003569D2" w:rsidP="003569D2">
      <w:pPr>
        <w:spacing w:before="0" w:after="0"/>
        <w:ind w:left="709"/>
        <w:rPr>
          <w:rFonts w:cs="Arial"/>
          <w:szCs w:val="24"/>
        </w:rPr>
      </w:pPr>
      <w:r>
        <w:rPr>
          <w:rFonts w:cs="Arial"/>
          <w:b/>
          <w:bCs/>
          <w:szCs w:val="24"/>
        </w:rPr>
        <w:t>A</w:t>
      </w:r>
      <w:bookmarkStart w:id="104" w:name="_Hlk62641895"/>
      <w:r>
        <w:rPr>
          <w:rFonts w:cs="Arial"/>
          <w:b/>
          <w:bCs/>
          <w:szCs w:val="24"/>
        </w:rPr>
        <w:t xml:space="preserve">ppointment:  </w:t>
      </w:r>
      <w:r>
        <w:rPr>
          <w:rFonts w:cs="Arial"/>
          <w:szCs w:val="24"/>
        </w:rPr>
        <w:t>From 1 April 2013</w:t>
      </w:r>
    </w:p>
    <w:p w14:paraId="748341E4" w14:textId="77777777" w:rsidR="003569D2" w:rsidRDefault="003569D2" w:rsidP="003569D2">
      <w:pPr>
        <w:spacing w:before="0" w:after="0"/>
        <w:ind w:left="709"/>
        <w:rPr>
          <w:rFonts w:cs="Arial"/>
          <w:b/>
          <w:bCs/>
          <w:szCs w:val="24"/>
        </w:rPr>
      </w:pPr>
      <w:r>
        <w:rPr>
          <w:rFonts w:cs="Arial"/>
          <w:b/>
          <w:bCs/>
          <w:szCs w:val="24"/>
        </w:rPr>
        <w:t>Committee Memberships:</w:t>
      </w:r>
    </w:p>
    <w:p w14:paraId="6A83CB53" w14:textId="77777777" w:rsidR="003569D2" w:rsidRDefault="003569D2" w:rsidP="003569D2">
      <w:pPr>
        <w:spacing w:before="0" w:after="0"/>
        <w:ind w:left="709"/>
        <w:rPr>
          <w:rFonts w:cs="Arial"/>
          <w:szCs w:val="24"/>
        </w:rPr>
      </w:pPr>
      <w:r>
        <w:rPr>
          <w:rFonts w:cs="Arial"/>
          <w:szCs w:val="24"/>
        </w:rPr>
        <w:t>Finance &amp; Performance Committee</w:t>
      </w:r>
    </w:p>
    <w:p w14:paraId="5D1C26F6" w14:textId="77777777" w:rsidR="003569D2" w:rsidRDefault="003569D2" w:rsidP="003569D2">
      <w:pPr>
        <w:spacing w:before="0" w:after="0"/>
        <w:ind w:left="709"/>
        <w:rPr>
          <w:rFonts w:cs="Arial"/>
          <w:szCs w:val="24"/>
        </w:rPr>
      </w:pPr>
      <w:r>
        <w:rPr>
          <w:rFonts w:cs="Arial"/>
          <w:szCs w:val="24"/>
        </w:rPr>
        <w:t xml:space="preserve">Clinical Executive Group (Chair) </w:t>
      </w:r>
    </w:p>
    <w:p w14:paraId="1C0F9638" w14:textId="77777777" w:rsidR="003569D2" w:rsidRDefault="003569D2" w:rsidP="003569D2">
      <w:pPr>
        <w:spacing w:before="0" w:after="0"/>
        <w:ind w:left="709"/>
        <w:rPr>
          <w:rFonts w:cs="Arial"/>
          <w:szCs w:val="24"/>
        </w:rPr>
      </w:pPr>
      <w:r>
        <w:rPr>
          <w:rFonts w:cs="Arial"/>
          <w:b/>
          <w:bCs/>
          <w:szCs w:val="24"/>
        </w:rPr>
        <w:t xml:space="preserve">Profile: </w:t>
      </w:r>
      <w:r>
        <w:rPr>
          <w:rFonts w:cs="Arial"/>
          <w:szCs w:val="24"/>
        </w:rPr>
        <w:t xml:space="preserve">Dr Salako has been a GP in Basildon since 2001 and works at Great Berry Surgery. He is a GP trainer and appraiser. </w:t>
      </w:r>
      <w:r>
        <w:rPr>
          <w:rFonts w:cs="Arial"/>
          <w:szCs w:val="24"/>
          <w:lang w:val="en"/>
        </w:rPr>
        <w:t xml:space="preserve">For the CCG Dr Salako leads on Diabetes and is the CCG Research Champion. </w:t>
      </w:r>
      <w:r>
        <w:rPr>
          <w:rFonts w:cs="Arial"/>
          <w:szCs w:val="24"/>
        </w:rPr>
        <w:t>Former Chairman of Essex Faculty of RCGP</w:t>
      </w:r>
    </w:p>
    <w:p w14:paraId="1D029692" w14:textId="77777777" w:rsidR="003569D2" w:rsidRDefault="003569D2" w:rsidP="003569D2">
      <w:pPr>
        <w:spacing w:before="0" w:after="0"/>
        <w:ind w:left="709"/>
        <w:rPr>
          <w:rFonts w:cs="Arial"/>
          <w:b/>
          <w:bCs/>
          <w:szCs w:val="24"/>
        </w:rPr>
      </w:pPr>
      <w:r>
        <w:rPr>
          <w:rFonts w:cs="Arial"/>
          <w:b/>
          <w:bCs/>
          <w:szCs w:val="24"/>
        </w:rPr>
        <w:t xml:space="preserve">Declared interests and conflicts: </w:t>
      </w:r>
    </w:p>
    <w:p w14:paraId="075729AC" w14:textId="77777777" w:rsidR="003569D2" w:rsidRDefault="003569D2" w:rsidP="003569D2">
      <w:pPr>
        <w:spacing w:before="0" w:after="0"/>
        <w:ind w:left="709"/>
        <w:rPr>
          <w:rFonts w:cs="Arial"/>
          <w:szCs w:val="24"/>
        </w:rPr>
      </w:pPr>
      <w:r>
        <w:rPr>
          <w:rFonts w:cs="Arial"/>
          <w:szCs w:val="24"/>
        </w:rPr>
        <w:t xml:space="preserve">Senior Partner &amp; GP Principal Langdon Hills Medical Centre </w:t>
      </w:r>
    </w:p>
    <w:p w14:paraId="35E65BAA" w14:textId="77777777" w:rsidR="003569D2" w:rsidRDefault="003569D2" w:rsidP="003569D2">
      <w:pPr>
        <w:spacing w:before="0" w:after="0"/>
        <w:ind w:left="709"/>
        <w:rPr>
          <w:rFonts w:cs="Arial"/>
          <w:szCs w:val="24"/>
        </w:rPr>
      </w:pPr>
      <w:r>
        <w:rPr>
          <w:rFonts w:cs="Arial"/>
          <w:szCs w:val="24"/>
        </w:rPr>
        <w:t>GP Southview Park Surgery</w:t>
      </w:r>
    </w:p>
    <w:p w14:paraId="61575ABA" w14:textId="77777777" w:rsidR="003569D2" w:rsidRDefault="003569D2" w:rsidP="003569D2">
      <w:pPr>
        <w:spacing w:before="0" w:after="0"/>
        <w:ind w:left="709"/>
        <w:rPr>
          <w:rFonts w:cs="Arial"/>
          <w:szCs w:val="24"/>
        </w:rPr>
      </w:pPr>
      <w:r>
        <w:rPr>
          <w:rFonts w:cs="Arial"/>
          <w:szCs w:val="24"/>
        </w:rPr>
        <w:t>Director and Governance Lead at Basildon &amp; Billericay Healthcare Solutions Ltd (BBHCS)</w:t>
      </w:r>
    </w:p>
    <w:p w14:paraId="6F4086D5" w14:textId="77777777" w:rsidR="003569D2" w:rsidRDefault="003569D2" w:rsidP="003569D2">
      <w:pPr>
        <w:spacing w:before="0" w:after="0"/>
        <w:ind w:left="709"/>
        <w:rPr>
          <w:rFonts w:cs="Arial"/>
          <w:szCs w:val="24"/>
        </w:rPr>
      </w:pPr>
      <w:r>
        <w:rPr>
          <w:rFonts w:cs="Arial"/>
          <w:szCs w:val="24"/>
        </w:rPr>
        <w:t>Director SEMC Ltd – APMS Provider</w:t>
      </w:r>
    </w:p>
    <w:p w14:paraId="19817D7C" w14:textId="77777777" w:rsidR="003569D2" w:rsidRDefault="003569D2" w:rsidP="003569D2">
      <w:pPr>
        <w:spacing w:before="0" w:after="0"/>
        <w:ind w:left="709"/>
        <w:rPr>
          <w:rFonts w:cs="Arial"/>
          <w:szCs w:val="24"/>
        </w:rPr>
      </w:pPr>
      <w:r>
        <w:rPr>
          <w:rFonts w:cs="Arial"/>
          <w:szCs w:val="24"/>
        </w:rPr>
        <w:t>GP Registrar Tutor East of England Deanery</w:t>
      </w:r>
    </w:p>
    <w:p w14:paraId="17B7CB4D" w14:textId="77777777" w:rsidR="003569D2" w:rsidRDefault="003569D2" w:rsidP="003569D2">
      <w:pPr>
        <w:spacing w:before="0" w:after="0"/>
        <w:ind w:left="709"/>
        <w:rPr>
          <w:rFonts w:cs="Arial"/>
          <w:szCs w:val="24"/>
        </w:rPr>
      </w:pPr>
      <w:r>
        <w:rPr>
          <w:rFonts w:cs="Arial"/>
          <w:szCs w:val="24"/>
        </w:rPr>
        <w:t>Chair of Central Basildon Primary Care Network</w:t>
      </w:r>
      <w:bookmarkEnd w:id="104"/>
    </w:p>
    <w:p w14:paraId="00FF06DE" w14:textId="77777777" w:rsidR="003569D2" w:rsidRDefault="003569D2" w:rsidP="003569D2">
      <w:pPr>
        <w:spacing w:before="0" w:after="0"/>
        <w:ind w:left="709"/>
        <w:rPr>
          <w:rFonts w:cs="Arial"/>
          <w:szCs w:val="24"/>
        </w:rPr>
      </w:pPr>
      <w:r>
        <w:rPr>
          <w:rFonts w:cs="Arial"/>
          <w:szCs w:val="24"/>
        </w:rPr>
        <w:t>Director Andsons Solutions Ltd.</w:t>
      </w:r>
    </w:p>
    <w:p w14:paraId="52B72779" w14:textId="77777777" w:rsidR="003569D2" w:rsidRDefault="003569D2" w:rsidP="003569D2">
      <w:pPr>
        <w:spacing w:before="0" w:after="0"/>
        <w:ind w:left="709"/>
        <w:rPr>
          <w:rFonts w:cs="Arial"/>
          <w:szCs w:val="24"/>
        </w:rPr>
      </w:pPr>
      <w:r>
        <w:rPr>
          <w:rFonts w:cs="Arial"/>
          <w:szCs w:val="24"/>
        </w:rPr>
        <w:t>Member of East of England Cardiac Network</w:t>
      </w:r>
    </w:p>
    <w:p w14:paraId="577228F8" w14:textId="77777777" w:rsidR="003569D2" w:rsidRDefault="003569D2" w:rsidP="003569D2">
      <w:pPr>
        <w:spacing w:before="0" w:after="0"/>
        <w:ind w:left="709"/>
        <w:rPr>
          <w:rFonts w:cs="Arial"/>
          <w:szCs w:val="24"/>
        </w:rPr>
      </w:pPr>
      <w:r>
        <w:rPr>
          <w:rFonts w:cs="Arial"/>
          <w:szCs w:val="24"/>
        </w:rPr>
        <w:t>Director Community Healthcare Partnerships Ltd Community Medical Services provider</w:t>
      </w:r>
    </w:p>
    <w:p w14:paraId="519A997E" w14:textId="77777777" w:rsidR="003569D2" w:rsidRDefault="003569D2" w:rsidP="003569D2">
      <w:pPr>
        <w:spacing w:before="0" w:after="0"/>
        <w:ind w:left="709"/>
        <w:rPr>
          <w:rFonts w:cs="Arial"/>
          <w:szCs w:val="24"/>
        </w:rPr>
      </w:pPr>
      <w:r>
        <w:rPr>
          <w:rFonts w:cs="Arial"/>
          <w:szCs w:val="24"/>
        </w:rPr>
        <w:t>Member of Clinical &amp; Multi Professional Group</w:t>
      </w:r>
    </w:p>
    <w:p w14:paraId="32FF6A17" w14:textId="77777777" w:rsidR="003569D2" w:rsidRDefault="003569D2" w:rsidP="003569D2">
      <w:pPr>
        <w:spacing w:before="0" w:after="0"/>
        <w:rPr>
          <w:rFonts w:cs="Arial"/>
          <w:szCs w:val="24"/>
          <w:lang w:val="en-US"/>
        </w:rPr>
      </w:pPr>
    </w:p>
    <w:p w14:paraId="0B95BCBD" w14:textId="77777777" w:rsidR="003569D2" w:rsidRDefault="003569D2" w:rsidP="003569D2">
      <w:pPr>
        <w:spacing w:before="0" w:after="0"/>
        <w:rPr>
          <w:rFonts w:cs="Arial"/>
          <w:szCs w:val="24"/>
          <w:lang w:val="en-US"/>
        </w:rPr>
      </w:pPr>
    </w:p>
    <w:p w14:paraId="0A7663F9" w14:textId="77777777" w:rsidR="003569D2" w:rsidRDefault="003569D2" w:rsidP="000D3041">
      <w:pPr>
        <w:pStyle w:val="ListParagraph"/>
        <w:numPr>
          <w:ilvl w:val="0"/>
          <w:numId w:val="24"/>
        </w:numPr>
        <w:spacing w:before="0" w:after="0"/>
        <w:rPr>
          <w:rFonts w:cs="Arial"/>
          <w:b/>
          <w:bCs/>
          <w:szCs w:val="24"/>
          <w:lang w:val="en"/>
        </w:rPr>
      </w:pPr>
      <w:r>
        <w:rPr>
          <w:b/>
          <w:bCs/>
          <w:szCs w:val="24"/>
          <w:lang w:val="en"/>
        </w:rPr>
        <w:t>Dr Anita Pereira, Partnership BIC elected member</w:t>
      </w:r>
    </w:p>
    <w:p w14:paraId="7AE5FB9B" w14:textId="77777777" w:rsidR="003569D2" w:rsidRDefault="003569D2" w:rsidP="003569D2">
      <w:pPr>
        <w:spacing w:before="0" w:after="0"/>
        <w:rPr>
          <w:rFonts w:cs="Arial"/>
          <w:b/>
          <w:bCs/>
          <w:szCs w:val="24"/>
        </w:rPr>
      </w:pPr>
      <w:bookmarkStart w:id="105" w:name="_Hlk62642030"/>
    </w:p>
    <w:p w14:paraId="63F25355" w14:textId="77777777" w:rsidR="003569D2" w:rsidRDefault="003569D2" w:rsidP="003569D2">
      <w:pPr>
        <w:spacing w:before="0" w:after="0"/>
        <w:ind w:left="709"/>
        <w:rPr>
          <w:rFonts w:cs="Arial"/>
          <w:szCs w:val="24"/>
        </w:rPr>
      </w:pPr>
      <w:r>
        <w:rPr>
          <w:rFonts w:cs="Arial"/>
          <w:b/>
          <w:bCs/>
          <w:szCs w:val="24"/>
        </w:rPr>
        <w:t xml:space="preserve">Appointment:  </w:t>
      </w:r>
      <w:r>
        <w:rPr>
          <w:rFonts w:cs="Arial"/>
          <w:szCs w:val="24"/>
        </w:rPr>
        <w:t>From 1 January 2017</w:t>
      </w:r>
    </w:p>
    <w:p w14:paraId="6273BE9E" w14:textId="77777777" w:rsidR="003569D2" w:rsidRDefault="003569D2" w:rsidP="003569D2">
      <w:pPr>
        <w:spacing w:before="0" w:after="0"/>
        <w:ind w:left="709"/>
        <w:rPr>
          <w:rFonts w:cs="Arial"/>
          <w:szCs w:val="24"/>
        </w:rPr>
      </w:pPr>
      <w:r>
        <w:rPr>
          <w:rFonts w:cs="Arial"/>
          <w:b/>
          <w:bCs/>
          <w:szCs w:val="24"/>
        </w:rPr>
        <w:t xml:space="preserve">Committee Memberships:  </w:t>
      </w:r>
      <w:r>
        <w:rPr>
          <w:rFonts w:cs="Arial"/>
          <w:szCs w:val="24"/>
        </w:rPr>
        <w:t>Clinical Executive Group, Patient Safety and Quality Committee</w:t>
      </w:r>
    </w:p>
    <w:p w14:paraId="0D648BF8" w14:textId="77777777" w:rsidR="003569D2" w:rsidRDefault="003569D2" w:rsidP="003569D2">
      <w:pPr>
        <w:spacing w:before="0" w:after="0"/>
        <w:ind w:left="709"/>
        <w:rPr>
          <w:rFonts w:cs="Arial"/>
          <w:b/>
          <w:bCs/>
          <w:szCs w:val="24"/>
        </w:rPr>
      </w:pPr>
      <w:r>
        <w:rPr>
          <w:rFonts w:cs="Arial"/>
          <w:b/>
          <w:bCs/>
          <w:szCs w:val="24"/>
        </w:rPr>
        <w:t xml:space="preserve">Profile: </w:t>
      </w:r>
      <w:r>
        <w:rPr>
          <w:rFonts w:cs="Arial"/>
          <w:szCs w:val="24"/>
        </w:rPr>
        <w:t>Dr Pereira is a GP Partner at Laindon Medical Group.</w:t>
      </w:r>
    </w:p>
    <w:p w14:paraId="655A5107" w14:textId="77777777" w:rsidR="003569D2" w:rsidRDefault="003569D2" w:rsidP="003569D2">
      <w:pPr>
        <w:spacing w:before="0" w:after="0"/>
        <w:ind w:left="709"/>
        <w:rPr>
          <w:rFonts w:cs="Arial"/>
          <w:szCs w:val="24"/>
        </w:rPr>
      </w:pPr>
      <w:r>
        <w:rPr>
          <w:rFonts w:cs="Arial"/>
          <w:szCs w:val="24"/>
        </w:rPr>
        <w:t>She is an Educational Supervisor for GP Trainees under Eastern Deanery GP Training Scheme.</w:t>
      </w:r>
    </w:p>
    <w:p w14:paraId="54E372A0" w14:textId="77777777" w:rsidR="003569D2" w:rsidRDefault="003569D2" w:rsidP="003569D2">
      <w:pPr>
        <w:spacing w:before="0" w:after="0"/>
        <w:ind w:left="709"/>
        <w:rPr>
          <w:rFonts w:cs="Arial"/>
          <w:szCs w:val="24"/>
        </w:rPr>
      </w:pPr>
      <w:r>
        <w:rPr>
          <w:rFonts w:cs="Arial"/>
          <w:szCs w:val="24"/>
        </w:rPr>
        <w:t>Having worked in Public Health and in Obstetrics and Gynaecology in the past, she is passionate about tackling health inequalities and improving women’s health. For the CCG she has led on Acute Home Visiting Service, Self-Care and Elective Care Board.</w:t>
      </w:r>
    </w:p>
    <w:p w14:paraId="34B15258" w14:textId="77777777" w:rsidR="003569D2" w:rsidRDefault="003569D2" w:rsidP="003569D2">
      <w:pPr>
        <w:spacing w:before="0" w:after="0"/>
        <w:ind w:left="709"/>
        <w:rPr>
          <w:rFonts w:cs="Arial"/>
          <w:b/>
          <w:bCs/>
          <w:szCs w:val="24"/>
        </w:rPr>
      </w:pPr>
      <w:r>
        <w:rPr>
          <w:rFonts w:cs="Arial"/>
          <w:b/>
          <w:bCs/>
          <w:szCs w:val="24"/>
        </w:rPr>
        <w:t xml:space="preserve">Declared interests and conflicts: </w:t>
      </w:r>
    </w:p>
    <w:p w14:paraId="11B0DB3B" w14:textId="77777777" w:rsidR="003569D2" w:rsidRDefault="003569D2" w:rsidP="003569D2">
      <w:pPr>
        <w:spacing w:before="0" w:after="0"/>
        <w:ind w:left="709"/>
        <w:rPr>
          <w:rFonts w:cs="Arial"/>
          <w:szCs w:val="24"/>
        </w:rPr>
      </w:pPr>
      <w:r>
        <w:rPr>
          <w:rFonts w:cs="Arial"/>
          <w:szCs w:val="24"/>
        </w:rPr>
        <w:t>GP Partner Laindon Medical Group</w:t>
      </w:r>
    </w:p>
    <w:p w14:paraId="48D71111" w14:textId="77777777" w:rsidR="003569D2" w:rsidRDefault="003569D2" w:rsidP="003569D2">
      <w:pPr>
        <w:spacing w:before="0" w:after="0"/>
        <w:ind w:left="709"/>
        <w:rPr>
          <w:rFonts w:cs="Arial"/>
          <w:szCs w:val="24"/>
        </w:rPr>
      </w:pPr>
      <w:r>
        <w:rPr>
          <w:rFonts w:cs="Arial"/>
          <w:szCs w:val="24"/>
        </w:rPr>
        <w:t>Laindon Medical Group is a member of BB Healthcare Solutions</w:t>
      </w:r>
    </w:p>
    <w:p w14:paraId="7DB6A093" w14:textId="77777777" w:rsidR="003569D2" w:rsidRDefault="003569D2" w:rsidP="003569D2">
      <w:pPr>
        <w:spacing w:before="0" w:after="0"/>
        <w:ind w:left="709"/>
        <w:rPr>
          <w:rFonts w:cs="Arial"/>
          <w:szCs w:val="24"/>
        </w:rPr>
      </w:pPr>
      <w:r>
        <w:rPr>
          <w:rFonts w:cs="Arial"/>
          <w:szCs w:val="24"/>
        </w:rPr>
        <w:t>Educational Supervisor with East of England Deanery</w:t>
      </w:r>
    </w:p>
    <w:p w14:paraId="623B1AB7" w14:textId="77777777" w:rsidR="003569D2" w:rsidRDefault="003569D2" w:rsidP="003569D2">
      <w:pPr>
        <w:spacing w:before="0" w:after="0"/>
        <w:ind w:left="709"/>
        <w:rPr>
          <w:rFonts w:cs="Arial"/>
          <w:szCs w:val="24"/>
          <w:lang w:eastAsia="en-GB"/>
        </w:rPr>
      </w:pPr>
      <w:r>
        <w:rPr>
          <w:rFonts w:cs="Arial"/>
          <w:szCs w:val="24"/>
          <w:lang w:eastAsia="en-GB"/>
        </w:rPr>
        <w:t>Member of West Basildon Primary Care Network</w:t>
      </w:r>
    </w:p>
    <w:p w14:paraId="107CCD4D" w14:textId="77777777" w:rsidR="003569D2" w:rsidRDefault="003569D2" w:rsidP="003569D2">
      <w:pPr>
        <w:spacing w:before="0" w:after="0"/>
        <w:ind w:left="709"/>
        <w:rPr>
          <w:rFonts w:cs="Arial"/>
          <w:szCs w:val="24"/>
          <w:lang w:eastAsia="en-GB"/>
        </w:rPr>
      </w:pPr>
      <w:r>
        <w:rPr>
          <w:rFonts w:cs="Arial"/>
          <w:szCs w:val="24"/>
          <w:lang w:eastAsia="en-GB"/>
        </w:rPr>
        <w:t>Care Homes Lead for West Basildon Primary Care Network</w:t>
      </w:r>
      <w:bookmarkEnd w:id="105"/>
    </w:p>
    <w:p w14:paraId="1EDCCF41" w14:textId="77777777" w:rsidR="003569D2" w:rsidRDefault="003569D2" w:rsidP="003569D2">
      <w:pPr>
        <w:spacing w:before="0" w:after="0"/>
        <w:ind w:left="709"/>
        <w:rPr>
          <w:rFonts w:cs="Arial"/>
          <w:color w:val="000000"/>
          <w:szCs w:val="24"/>
        </w:rPr>
      </w:pPr>
      <w:r>
        <w:rPr>
          <w:rFonts w:cs="Arial"/>
          <w:color w:val="000000"/>
          <w:szCs w:val="24"/>
        </w:rPr>
        <w:t>One son works as a junior doctor in London Trusts and is affiliated to supervising medical students at Cambridge University</w:t>
      </w:r>
    </w:p>
    <w:p w14:paraId="1807A0A5" w14:textId="77777777" w:rsidR="003569D2" w:rsidRDefault="003569D2" w:rsidP="003569D2">
      <w:pPr>
        <w:spacing w:before="0" w:after="0"/>
        <w:ind w:left="709"/>
        <w:rPr>
          <w:rFonts w:cs="Arial"/>
          <w:color w:val="000000"/>
          <w:szCs w:val="24"/>
        </w:rPr>
      </w:pPr>
      <w:r>
        <w:rPr>
          <w:rFonts w:cs="Arial"/>
          <w:color w:val="000000"/>
          <w:szCs w:val="24"/>
        </w:rPr>
        <w:t>Another son is a medical student rotating through London Trusts</w:t>
      </w:r>
    </w:p>
    <w:p w14:paraId="77AA9DF9" w14:textId="77777777" w:rsidR="003569D2" w:rsidRDefault="003569D2" w:rsidP="003569D2">
      <w:pPr>
        <w:spacing w:before="0" w:after="0"/>
        <w:ind w:left="709"/>
        <w:rPr>
          <w:rFonts w:cs="Arial"/>
          <w:color w:val="000000"/>
          <w:szCs w:val="24"/>
        </w:rPr>
      </w:pPr>
      <w:r>
        <w:rPr>
          <w:rFonts w:cs="Arial"/>
          <w:color w:val="000000"/>
          <w:szCs w:val="24"/>
        </w:rPr>
        <w:t>Director of Basildon First Ltd, provider for West Basildon PCN</w:t>
      </w:r>
    </w:p>
    <w:p w14:paraId="677B56F6" w14:textId="77777777" w:rsidR="003569D2" w:rsidRDefault="003569D2" w:rsidP="003569D2">
      <w:pPr>
        <w:spacing w:before="0" w:after="0"/>
        <w:ind w:left="709"/>
        <w:rPr>
          <w:rFonts w:cs="Arial"/>
          <w:color w:val="000000"/>
          <w:szCs w:val="24"/>
        </w:rPr>
      </w:pPr>
      <w:r>
        <w:rPr>
          <w:rFonts w:cs="Arial"/>
          <w:color w:val="000000"/>
          <w:szCs w:val="24"/>
        </w:rPr>
        <w:t>RCGP-Essex Faculty-Board member</w:t>
      </w:r>
    </w:p>
    <w:p w14:paraId="01C3FECD" w14:textId="77777777" w:rsidR="003569D2" w:rsidRDefault="003569D2" w:rsidP="003569D2">
      <w:pPr>
        <w:spacing w:before="0" w:after="0"/>
        <w:rPr>
          <w:rFonts w:cs="Arial"/>
          <w:szCs w:val="24"/>
          <w:lang w:eastAsia="en-GB"/>
        </w:rPr>
      </w:pPr>
    </w:p>
    <w:p w14:paraId="5712B35F" w14:textId="77777777" w:rsidR="003569D2" w:rsidRDefault="003569D2" w:rsidP="000D3041">
      <w:pPr>
        <w:pStyle w:val="ListParagraph"/>
        <w:numPr>
          <w:ilvl w:val="0"/>
          <w:numId w:val="24"/>
        </w:numPr>
        <w:spacing w:before="0" w:after="0"/>
        <w:rPr>
          <w:rFonts w:cs="Arial"/>
          <w:b/>
          <w:bCs/>
          <w:szCs w:val="24"/>
          <w:lang w:eastAsia="en-GB"/>
        </w:rPr>
      </w:pPr>
      <w:r>
        <w:rPr>
          <w:b/>
          <w:bCs/>
          <w:szCs w:val="24"/>
        </w:rPr>
        <w:t>Dr Vishal Sharma, Partnership BIC elected member</w:t>
      </w:r>
    </w:p>
    <w:p w14:paraId="03782680" w14:textId="77777777" w:rsidR="003569D2" w:rsidRDefault="003569D2" w:rsidP="003569D2">
      <w:pPr>
        <w:spacing w:before="0" w:after="0"/>
        <w:rPr>
          <w:rFonts w:cs="Arial"/>
          <w:szCs w:val="24"/>
          <w:lang w:eastAsia="en-GB"/>
        </w:rPr>
      </w:pPr>
    </w:p>
    <w:p w14:paraId="33699E98" w14:textId="77777777" w:rsidR="003569D2" w:rsidRDefault="003569D2" w:rsidP="003569D2">
      <w:pPr>
        <w:spacing w:before="0" w:after="0"/>
        <w:ind w:left="709"/>
        <w:rPr>
          <w:rFonts w:cs="Arial"/>
          <w:szCs w:val="24"/>
        </w:rPr>
      </w:pPr>
      <w:r>
        <w:rPr>
          <w:rFonts w:cs="Arial"/>
          <w:b/>
          <w:bCs/>
          <w:szCs w:val="24"/>
        </w:rPr>
        <w:t xml:space="preserve">Appointment:  </w:t>
      </w:r>
      <w:r>
        <w:rPr>
          <w:rFonts w:cs="Arial"/>
          <w:szCs w:val="24"/>
        </w:rPr>
        <w:t>From 1 October 2019</w:t>
      </w:r>
    </w:p>
    <w:p w14:paraId="75F5F97E" w14:textId="77777777" w:rsidR="003569D2" w:rsidRDefault="003569D2" w:rsidP="003569D2">
      <w:pPr>
        <w:spacing w:before="0" w:after="0"/>
        <w:ind w:left="709"/>
        <w:rPr>
          <w:rFonts w:cs="Arial"/>
          <w:b/>
          <w:bCs/>
          <w:szCs w:val="24"/>
        </w:rPr>
      </w:pPr>
      <w:r>
        <w:rPr>
          <w:rFonts w:cs="Arial"/>
          <w:b/>
          <w:bCs/>
          <w:szCs w:val="24"/>
        </w:rPr>
        <w:t>Committee Memberships:</w:t>
      </w:r>
    </w:p>
    <w:p w14:paraId="78715387" w14:textId="77777777" w:rsidR="003569D2" w:rsidRDefault="003569D2" w:rsidP="003569D2">
      <w:pPr>
        <w:spacing w:before="0" w:after="0"/>
        <w:ind w:left="709"/>
        <w:rPr>
          <w:rFonts w:cs="Arial"/>
          <w:szCs w:val="24"/>
        </w:rPr>
      </w:pPr>
      <w:r>
        <w:rPr>
          <w:rFonts w:cs="Arial"/>
          <w:szCs w:val="24"/>
        </w:rPr>
        <w:t>Clinical Executive Group</w:t>
      </w:r>
    </w:p>
    <w:p w14:paraId="2E9E4C84" w14:textId="77777777" w:rsidR="003569D2" w:rsidRDefault="003569D2" w:rsidP="003569D2">
      <w:pPr>
        <w:spacing w:before="0" w:after="0"/>
        <w:ind w:left="709"/>
        <w:rPr>
          <w:rFonts w:cs="Arial"/>
          <w:b/>
          <w:bCs/>
          <w:szCs w:val="24"/>
        </w:rPr>
      </w:pPr>
      <w:r>
        <w:rPr>
          <w:rFonts w:cs="Arial"/>
          <w:b/>
          <w:bCs/>
          <w:szCs w:val="24"/>
        </w:rPr>
        <w:t>Profile:</w:t>
      </w:r>
    </w:p>
    <w:p w14:paraId="09EA4224" w14:textId="77777777" w:rsidR="003569D2" w:rsidRDefault="003569D2" w:rsidP="003569D2">
      <w:pPr>
        <w:spacing w:before="0" w:after="0"/>
        <w:ind w:left="709"/>
        <w:rPr>
          <w:rFonts w:cs="Arial"/>
          <w:szCs w:val="24"/>
        </w:rPr>
      </w:pPr>
      <w:r>
        <w:rPr>
          <w:rFonts w:cs="Arial"/>
          <w:szCs w:val="24"/>
        </w:rPr>
        <w:t>GP Partner at Noak Bridge Medical Centre since 2009. He is also an external examiner for St. George’s school of medicine. His previous roles locally have included medicine management clinical lead for BBCCG. He was also the medical director for SEEDS OOH service. Prior to this he was a GP trainee in South London as part of the Guys and at Thomas’ VTS. </w:t>
      </w:r>
    </w:p>
    <w:p w14:paraId="7AF81EEA" w14:textId="77777777" w:rsidR="003569D2" w:rsidRDefault="003569D2" w:rsidP="003569D2">
      <w:pPr>
        <w:spacing w:before="0" w:after="0"/>
        <w:ind w:left="709"/>
        <w:rPr>
          <w:rFonts w:cs="Arial"/>
          <w:b/>
          <w:bCs/>
          <w:szCs w:val="24"/>
        </w:rPr>
      </w:pPr>
      <w:r>
        <w:rPr>
          <w:rFonts w:cs="Arial"/>
          <w:b/>
          <w:bCs/>
          <w:szCs w:val="24"/>
        </w:rPr>
        <w:t xml:space="preserve">Declared interests and conflicts: </w:t>
      </w:r>
    </w:p>
    <w:p w14:paraId="1BC6EDEC" w14:textId="77777777" w:rsidR="003569D2" w:rsidRDefault="003569D2" w:rsidP="003569D2">
      <w:pPr>
        <w:spacing w:before="0" w:after="0"/>
        <w:ind w:left="709"/>
        <w:rPr>
          <w:rFonts w:cs="Arial"/>
          <w:szCs w:val="24"/>
        </w:rPr>
      </w:pPr>
      <w:r>
        <w:rPr>
          <w:rFonts w:cs="Arial"/>
          <w:szCs w:val="24"/>
        </w:rPr>
        <w:t xml:space="preserve">Director of Noak Bridge Medical Centre; </w:t>
      </w:r>
    </w:p>
    <w:p w14:paraId="39A23467" w14:textId="77777777" w:rsidR="003569D2" w:rsidRDefault="003569D2" w:rsidP="003569D2">
      <w:pPr>
        <w:spacing w:before="0" w:after="0"/>
        <w:ind w:left="709"/>
        <w:rPr>
          <w:rFonts w:cs="Arial"/>
          <w:szCs w:val="24"/>
        </w:rPr>
      </w:pPr>
      <w:r>
        <w:rPr>
          <w:rFonts w:cs="Arial"/>
          <w:szCs w:val="24"/>
        </w:rPr>
        <w:t xml:space="preserve">Director of BB Healthcare Solutions; </w:t>
      </w:r>
    </w:p>
    <w:p w14:paraId="1EC119B4" w14:textId="77777777" w:rsidR="003569D2" w:rsidRDefault="003569D2" w:rsidP="003569D2">
      <w:pPr>
        <w:spacing w:before="0" w:after="0"/>
        <w:ind w:left="709"/>
        <w:rPr>
          <w:rFonts w:cs="Arial"/>
          <w:szCs w:val="24"/>
        </w:rPr>
      </w:pPr>
      <w:r>
        <w:rPr>
          <w:rFonts w:cs="Arial"/>
          <w:szCs w:val="24"/>
        </w:rPr>
        <w:t xml:space="preserve">External Examiner - St Georges Hospital; </w:t>
      </w:r>
    </w:p>
    <w:p w14:paraId="7103D066" w14:textId="77777777" w:rsidR="003569D2" w:rsidRDefault="003569D2" w:rsidP="003569D2">
      <w:pPr>
        <w:spacing w:before="0" w:after="0"/>
        <w:ind w:left="709"/>
        <w:rPr>
          <w:rFonts w:cs="Arial"/>
          <w:szCs w:val="24"/>
        </w:rPr>
      </w:pPr>
      <w:r>
        <w:rPr>
          <w:rFonts w:cs="Arial"/>
          <w:szCs w:val="24"/>
        </w:rPr>
        <w:t xml:space="preserve">Member of West Basildon PCN; </w:t>
      </w:r>
    </w:p>
    <w:p w14:paraId="3A5EDA3B" w14:textId="77777777" w:rsidR="003569D2" w:rsidRDefault="003569D2" w:rsidP="003569D2">
      <w:pPr>
        <w:spacing w:before="0" w:after="0"/>
        <w:ind w:left="709"/>
        <w:rPr>
          <w:rFonts w:cs="Arial"/>
          <w:szCs w:val="24"/>
        </w:rPr>
      </w:pPr>
      <w:r>
        <w:rPr>
          <w:rFonts w:cs="Arial"/>
          <w:szCs w:val="24"/>
        </w:rPr>
        <w:t xml:space="preserve">Partner is Director of Noak Bridge Medical Centre; </w:t>
      </w:r>
    </w:p>
    <w:p w14:paraId="63E6E8F7" w14:textId="77777777" w:rsidR="003569D2" w:rsidRDefault="003569D2" w:rsidP="003569D2">
      <w:pPr>
        <w:spacing w:before="0" w:after="0"/>
        <w:ind w:left="709"/>
        <w:rPr>
          <w:rFonts w:cs="Arial"/>
          <w:szCs w:val="24"/>
        </w:rPr>
      </w:pPr>
      <w:r>
        <w:rPr>
          <w:rFonts w:cs="Arial"/>
          <w:szCs w:val="24"/>
        </w:rPr>
        <w:t>Director of Basildon First Limited - Company provider for West Basildon Primary Care Network</w:t>
      </w:r>
      <w:r>
        <w:rPr>
          <w:rFonts w:cs="Arial"/>
          <w:szCs w:val="24"/>
        </w:rPr>
        <w:br w:type="page"/>
      </w:r>
    </w:p>
    <w:p w14:paraId="2C843C46" w14:textId="77777777" w:rsidR="003569D2" w:rsidRDefault="003569D2" w:rsidP="000D3041">
      <w:pPr>
        <w:pStyle w:val="ListParagraph"/>
        <w:numPr>
          <w:ilvl w:val="0"/>
          <w:numId w:val="24"/>
        </w:numPr>
        <w:spacing w:before="0" w:after="0"/>
        <w:rPr>
          <w:rFonts w:cs="Arial"/>
          <w:szCs w:val="24"/>
          <w:lang w:val="en-US"/>
        </w:rPr>
      </w:pPr>
      <w:r>
        <w:rPr>
          <w:b/>
          <w:bCs/>
          <w:szCs w:val="24"/>
        </w:rPr>
        <w:lastRenderedPageBreak/>
        <w:t>Dr Julia Hale, Secondary Care Specialist</w:t>
      </w:r>
    </w:p>
    <w:p w14:paraId="68091C86" w14:textId="77777777" w:rsidR="003569D2" w:rsidRDefault="003569D2" w:rsidP="003569D2">
      <w:pPr>
        <w:spacing w:before="0" w:after="0"/>
        <w:rPr>
          <w:rFonts w:cs="Arial"/>
          <w:szCs w:val="24"/>
          <w:lang w:val="en-US"/>
        </w:rPr>
      </w:pPr>
    </w:p>
    <w:p w14:paraId="40982B61" w14:textId="77777777" w:rsidR="003569D2" w:rsidRDefault="003569D2" w:rsidP="003569D2">
      <w:pPr>
        <w:spacing w:before="0" w:after="0"/>
        <w:ind w:left="709"/>
        <w:rPr>
          <w:rFonts w:cs="Arial"/>
          <w:szCs w:val="24"/>
        </w:rPr>
      </w:pPr>
      <w:bookmarkStart w:id="106" w:name="_Hlk62643341"/>
      <w:bookmarkEnd w:id="100"/>
      <w:r>
        <w:rPr>
          <w:rFonts w:cs="Arial"/>
          <w:b/>
          <w:bCs/>
          <w:szCs w:val="24"/>
        </w:rPr>
        <w:t xml:space="preserve">Appointment:  </w:t>
      </w:r>
      <w:r>
        <w:rPr>
          <w:rFonts w:cs="Arial"/>
          <w:szCs w:val="24"/>
        </w:rPr>
        <w:t>From 1</w:t>
      </w:r>
      <w:r>
        <w:rPr>
          <w:rFonts w:cs="Arial"/>
          <w:szCs w:val="24"/>
          <w:vertAlign w:val="superscript"/>
        </w:rPr>
        <w:t xml:space="preserve"> </w:t>
      </w:r>
      <w:r>
        <w:rPr>
          <w:rFonts w:cs="Arial"/>
          <w:szCs w:val="24"/>
        </w:rPr>
        <w:t>September 2014</w:t>
      </w:r>
    </w:p>
    <w:p w14:paraId="28C4F4E4" w14:textId="77777777" w:rsidR="003569D2" w:rsidRDefault="003569D2" w:rsidP="003569D2">
      <w:pPr>
        <w:spacing w:before="0" w:after="0"/>
        <w:ind w:left="709"/>
        <w:rPr>
          <w:rFonts w:cs="Arial"/>
          <w:b/>
          <w:bCs/>
          <w:szCs w:val="24"/>
        </w:rPr>
      </w:pPr>
      <w:r>
        <w:rPr>
          <w:rFonts w:cs="Arial"/>
          <w:b/>
          <w:bCs/>
          <w:szCs w:val="24"/>
        </w:rPr>
        <w:t>Committee Memberships:</w:t>
      </w:r>
    </w:p>
    <w:p w14:paraId="26F3A1B3" w14:textId="77777777" w:rsidR="003569D2" w:rsidRDefault="003569D2" w:rsidP="003569D2">
      <w:pPr>
        <w:spacing w:before="0" w:after="0"/>
        <w:ind w:left="709"/>
        <w:rPr>
          <w:rFonts w:cs="Arial"/>
          <w:szCs w:val="24"/>
          <w:lang w:val="en"/>
        </w:rPr>
      </w:pPr>
      <w:r>
        <w:rPr>
          <w:rFonts w:cs="Arial"/>
          <w:szCs w:val="24"/>
        </w:rPr>
        <w:t>Clinical Executive Group</w:t>
      </w:r>
    </w:p>
    <w:p w14:paraId="6B8F25D1" w14:textId="77777777" w:rsidR="003569D2" w:rsidRDefault="003569D2" w:rsidP="003569D2">
      <w:pPr>
        <w:spacing w:before="0" w:after="0"/>
        <w:ind w:left="709"/>
        <w:rPr>
          <w:rFonts w:cs="Arial"/>
          <w:szCs w:val="24"/>
          <w:lang w:val="en"/>
        </w:rPr>
      </w:pPr>
      <w:r>
        <w:rPr>
          <w:rFonts w:cs="Arial"/>
          <w:szCs w:val="24"/>
        </w:rPr>
        <w:t>Audit Committee</w:t>
      </w:r>
    </w:p>
    <w:p w14:paraId="6DAAC24D" w14:textId="77777777" w:rsidR="003569D2" w:rsidRDefault="003569D2" w:rsidP="003569D2">
      <w:pPr>
        <w:spacing w:before="0" w:after="0"/>
        <w:ind w:left="709"/>
        <w:rPr>
          <w:rFonts w:cs="Arial"/>
          <w:szCs w:val="24"/>
        </w:rPr>
      </w:pPr>
      <w:r>
        <w:rPr>
          <w:rFonts w:cs="Arial"/>
          <w:szCs w:val="24"/>
        </w:rPr>
        <w:t>Remuneration Committee</w:t>
      </w:r>
    </w:p>
    <w:p w14:paraId="4AECFC15" w14:textId="77777777" w:rsidR="003569D2" w:rsidRDefault="003569D2" w:rsidP="003569D2">
      <w:pPr>
        <w:spacing w:before="0" w:after="0"/>
        <w:ind w:left="709"/>
        <w:rPr>
          <w:rFonts w:cs="Arial"/>
          <w:szCs w:val="24"/>
          <w:lang w:val="en"/>
        </w:rPr>
      </w:pPr>
      <w:r>
        <w:rPr>
          <w:rFonts w:cs="Arial"/>
          <w:szCs w:val="24"/>
          <w:lang w:val="en"/>
        </w:rPr>
        <w:t>PCCC</w:t>
      </w:r>
    </w:p>
    <w:p w14:paraId="008F9211" w14:textId="77777777" w:rsidR="003569D2" w:rsidRDefault="003569D2" w:rsidP="003569D2">
      <w:pPr>
        <w:spacing w:before="0" w:after="0"/>
        <w:ind w:left="709"/>
        <w:rPr>
          <w:rFonts w:cs="Arial"/>
          <w:szCs w:val="24"/>
        </w:rPr>
      </w:pPr>
      <w:r>
        <w:rPr>
          <w:rFonts w:cs="Arial"/>
          <w:b/>
          <w:bCs/>
          <w:szCs w:val="24"/>
        </w:rPr>
        <w:t xml:space="preserve">Profile: </w:t>
      </w:r>
      <w:r>
        <w:rPr>
          <w:rFonts w:cs="Arial"/>
          <w:szCs w:val="24"/>
        </w:rPr>
        <w:t>Dr Hale has been a consultant paediatrician for 21 years, specialising in neurodisability, safeguarding and adoption. She has an MSc in Community Child Health and was a member of the CoramBAAF Health Advisory Committee for 7 years. She has experience in clinical governance, patient experience and service reconfiguration in community services.</w:t>
      </w:r>
    </w:p>
    <w:p w14:paraId="1EE340E3" w14:textId="77777777" w:rsidR="003569D2" w:rsidRDefault="003569D2" w:rsidP="003569D2">
      <w:pPr>
        <w:spacing w:before="0" w:after="0"/>
        <w:ind w:left="709"/>
        <w:rPr>
          <w:rFonts w:cs="Arial"/>
          <w:b/>
          <w:bCs/>
          <w:szCs w:val="24"/>
        </w:rPr>
      </w:pPr>
      <w:r>
        <w:rPr>
          <w:rFonts w:cs="Arial"/>
          <w:b/>
          <w:bCs/>
          <w:szCs w:val="24"/>
        </w:rPr>
        <w:t xml:space="preserve">Declared interests and conflicts: </w:t>
      </w:r>
    </w:p>
    <w:p w14:paraId="0F3D0C7A" w14:textId="77777777" w:rsidR="003569D2" w:rsidRDefault="003569D2" w:rsidP="003569D2">
      <w:pPr>
        <w:spacing w:before="0" w:after="0"/>
        <w:ind w:left="709"/>
        <w:rPr>
          <w:rFonts w:cs="Arial"/>
          <w:szCs w:val="24"/>
        </w:rPr>
      </w:pPr>
      <w:r>
        <w:rPr>
          <w:rFonts w:cs="Arial"/>
          <w:szCs w:val="24"/>
        </w:rPr>
        <w:t>Bank Consultant Paediatric work at provider Trusts in Surrey</w:t>
      </w:r>
    </w:p>
    <w:p w14:paraId="3414524A" w14:textId="77777777" w:rsidR="003569D2" w:rsidRDefault="003569D2" w:rsidP="003569D2">
      <w:pPr>
        <w:spacing w:before="0" w:after="0"/>
        <w:ind w:left="709"/>
        <w:rPr>
          <w:rFonts w:cs="Arial"/>
          <w:szCs w:val="24"/>
        </w:rPr>
      </w:pPr>
      <w:r>
        <w:rPr>
          <w:rFonts w:cs="Arial"/>
          <w:szCs w:val="24"/>
        </w:rPr>
        <w:t>Locum Consultant for paediatric work at provider Trust in West London</w:t>
      </w:r>
    </w:p>
    <w:p w14:paraId="0AA5B84A" w14:textId="77777777" w:rsidR="003569D2" w:rsidRDefault="003569D2" w:rsidP="003569D2">
      <w:pPr>
        <w:spacing w:before="0" w:after="0"/>
        <w:ind w:left="709"/>
        <w:rPr>
          <w:rFonts w:cs="Arial"/>
          <w:szCs w:val="24"/>
        </w:rPr>
      </w:pPr>
      <w:r>
        <w:rPr>
          <w:rFonts w:cs="Arial"/>
          <w:szCs w:val="24"/>
        </w:rPr>
        <w:t>Close family member employed by KPMG</w:t>
      </w:r>
      <w:bookmarkEnd w:id="106"/>
    </w:p>
    <w:p w14:paraId="129BB116" w14:textId="77777777" w:rsidR="003569D2" w:rsidRDefault="003569D2" w:rsidP="003569D2">
      <w:pPr>
        <w:spacing w:before="0" w:after="0"/>
        <w:ind w:left="709"/>
        <w:rPr>
          <w:rFonts w:cs="Arial"/>
          <w:color w:val="000000"/>
          <w:szCs w:val="24"/>
        </w:rPr>
      </w:pPr>
      <w:r>
        <w:rPr>
          <w:rFonts w:cs="Arial"/>
          <w:color w:val="000000"/>
          <w:szCs w:val="24"/>
        </w:rPr>
        <w:t>Secondary Care Specialist for NHS Mid Essex CCG</w:t>
      </w:r>
    </w:p>
    <w:p w14:paraId="79E54BAE" w14:textId="77777777" w:rsidR="003569D2" w:rsidRDefault="003569D2" w:rsidP="003569D2">
      <w:pPr>
        <w:spacing w:before="0" w:after="0"/>
        <w:rPr>
          <w:rFonts w:cs="Arial"/>
          <w:szCs w:val="24"/>
        </w:rPr>
      </w:pPr>
    </w:p>
    <w:p w14:paraId="6C953A9F" w14:textId="77777777" w:rsidR="003569D2" w:rsidRDefault="003569D2" w:rsidP="000D3041">
      <w:pPr>
        <w:pStyle w:val="ListParagraph"/>
        <w:numPr>
          <w:ilvl w:val="0"/>
          <w:numId w:val="24"/>
        </w:numPr>
        <w:spacing w:before="0" w:after="0"/>
        <w:rPr>
          <w:rFonts w:cs="Arial"/>
          <w:b/>
          <w:bCs/>
          <w:szCs w:val="24"/>
        </w:rPr>
      </w:pPr>
      <w:r>
        <w:rPr>
          <w:b/>
          <w:bCs/>
          <w:szCs w:val="24"/>
        </w:rPr>
        <w:t>Katherine Kirk MBE, Lay Member (Governance)</w:t>
      </w:r>
    </w:p>
    <w:p w14:paraId="33F6D747" w14:textId="77777777" w:rsidR="003569D2" w:rsidRDefault="003569D2" w:rsidP="003569D2">
      <w:pPr>
        <w:spacing w:before="0" w:after="0"/>
        <w:rPr>
          <w:rFonts w:cs="Arial"/>
          <w:b/>
          <w:bCs/>
          <w:szCs w:val="24"/>
        </w:rPr>
      </w:pPr>
    </w:p>
    <w:p w14:paraId="1FAD9FD4" w14:textId="77777777" w:rsidR="003569D2" w:rsidRDefault="003569D2" w:rsidP="003569D2">
      <w:pPr>
        <w:spacing w:before="0" w:after="0"/>
        <w:ind w:left="709"/>
        <w:rPr>
          <w:rFonts w:cs="Arial"/>
          <w:szCs w:val="24"/>
        </w:rPr>
      </w:pPr>
      <w:r>
        <w:rPr>
          <w:rFonts w:cs="Arial"/>
          <w:b/>
          <w:bCs/>
          <w:szCs w:val="24"/>
        </w:rPr>
        <w:t xml:space="preserve">Appointment:  </w:t>
      </w:r>
      <w:r>
        <w:rPr>
          <w:rFonts w:cs="Arial"/>
          <w:szCs w:val="24"/>
        </w:rPr>
        <w:t>From 1</w:t>
      </w:r>
      <w:r>
        <w:rPr>
          <w:rFonts w:cs="Arial"/>
          <w:szCs w:val="24"/>
          <w:vertAlign w:val="superscript"/>
        </w:rPr>
        <w:t xml:space="preserve"> </w:t>
      </w:r>
      <w:r>
        <w:rPr>
          <w:rFonts w:cs="Arial"/>
          <w:szCs w:val="24"/>
        </w:rPr>
        <w:t>September 2014</w:t>
      </w:r>
    </w:p>
    <w:p w14:paraId="62D9441B" w14:textId="77777777" w:rsidR="003569D2" w:rsidRDefault="003569D2" w:rsidP="003569D2">
      <w:pPr>
        <w:spacing w:before="0" w:after="0"/>
        <w:ind w:left="709"/>
        <w:rPr>
          <w:rFonts w:cs="Arial"/>
          <w:b/>
          <w:bCs/>
          <w:szCs w:val="24"/>
        </w:rPr>
      </w:pPr>
      <w:r>
        <w:rPr>
          <w:rFonts w:cs="Arial"/>
          <w:b/>
          <w:bCs/>
          <w:szCs w:val="24"/>
        </w:rPr>
        <w:t>Committee Memberships:</w:t>
      </w:r>
    </w:p>
    <w:p w14:paraId="4416B393" w14:textId="77777777" w:rsidR="003569D2" w:rsidRDefault="003569D2" w:rsidP="003569D2">
      <w:pPr>
        <w:spacing w:before="0" w:after="0"/>
        <w:ind w:left="709"/>
        <w:rPr>
          <w:rFonts w:cs="Arial"/>
          <w:szCs w:val="24"/>
        </w:rPr>
      </w:pPr>
      <w:r>
        <w:rPr>
          <w:rFonts w:cs="Arial"/>
          <w:szCs w:val="24"/>
        </w:rPr>
        <w:t>Remuneration Committee (Chair)</w:t>
      </w:r>
    </w:p>
    <w:p w14:paraId="35F3DA3B" w14:textId="77777777" w:rsidR="003569D2" w:rsidRDefault="003569D2" w:rsidP="003569D2">
      <w:pPr>
        <w:spacing w:before="0" w:after="0"/>
        <w:ind w:left="709"/>
        <w:rPr>
          <w:rFonts w:cs="Arial"/>
          <w:szCs w:val="24"/>
        </w:rPr>
      </w:pPr>
      <w:r>
        <w:rPr>
          <w:rFonts w:cs="Arial"/>
          <w:szCs w:val="24"/>
        </w:rPr>
        <w:t>PCCC</w:t>
      </w:r>
    </w:p>
    <w:p w14:paraId="6707DC61" w14:textId="77777777" w:rsidR="003569D2" w:rsidRDefault="003569D2" w:rsidP="003569D2">
      <w:pPr>
        <w:spacing w:before="0" w:after="0"/>
        <w:ind w:left="709"/>
        <w:rPr>
          <w:rFonts w:cs="Arial"/>
          <w:szCs w:val="24"/>
        </w:rPr>
      </w:pPr>
      <w:r>
        <w:rPr>
          <w:rFonts w:cs="Arial"/>
          <w:b/>
          <w:bCs/>
          <w:szCs w:val="24"/>
        </w:rPr>
        <w:t xml:space="preserve">Profile: </w:t>
      </w:r>
      <w:r>
        <w:rPr>
          <w:rFonts w:cs="Arial"/>
          <w:szCs w:val="24"/>
        </w:rPr>
        <w:t>Katherine has chaired NHS Boards over a period of 15 years, concluding with chairing NHS South Essex until 2013. Her prior experience as a Chief Officer of a Community Health Council, championing and representing the needs of patients, has underpinned her subsequent roles. She also has experience as a local government officer. She was awarded an MBE in the 2013 Queen's Birthdays Honours for services to public health. In 2019 she was appointed as Deputy Chair of the Board.</w:t>
      </w:r>
    </w:p>
    <w:p w14:paraId="339E5200" w14:textId="77777777" w:rsidR="003569D2" w:rsidRDefault="003569D2" w:rsidP="003569D2">
      <w:pPr>
        <w:spacing w:before="0" w:after="0"/>
        <w:ind w:left="709"/>
        <w:rPr>
          <w:rFonts w:cs="Arial"/>
          <w:b/>
          <w:bCs/>
          <w:szCs w:val="24"/>
        </w:rPr>
      </w:pPr>
      <w:r>
        <w:rPr>
          <w:rFonts w:cs="Arial"/>
          <w:b/>
          <w:bCs/>
          <w:szCs w:val="24"/>
        </w:rPr>
        <w:t xml:space="preserve">Declared interests and conflicts: </w:t>
      </w:r>
    </w:p>
    <w:p w14:paraId="5BBC9EE4" w14:textId="77777777" w:rsidR="003569D2" w:rsidRDefault="003569D2" w:rsidP="003569D2">
      <w:pPr>
        <w:spacing w:before="0" w:after="0"/>
        <w:ind w:left="709"/>
        <w:rPr>
          <w:rFonts w:cs="Arial"/>
          <w:szCs w:val="24"/>
        </w:rPr>
      </w:pPr>
      <w:r>
        <w:rPr>
          <w:rFonts w:cs="Arial"/>
          <w:szCs w:val="24"/>
        </w:rPr>
        <w:t>None</w:t>
      </w:r>
    </w:p>
    <w:p w14:paraId="6E28894F" w14:textId="77777777" w:rsidR="003569D2" w:rsidRDefault="003569D2" w:rsidP="003569D2">
      <w:pPr>
        <w:spacing w:before="0" w:after="0"/>
        <w:rPr>
          <w:rFonts w:cs="Arial"/>
          <w:szCs w:val="24"/>
        </w:rPr>
      </w:pPr>
    </w:p>
    <w:p w14:paraId="24289EE7" w14:textId="77777777" w:rsidR="003569D2" w:rsidRDefault="003569D2" w:rsidP="000D3041">
      <w:pPr>
        <w:pStyle w:val="ListParagraph"/>
        <w:numPr>
          <w:ilvl w:val="0"/>
          <w:numId w:val="24"/>
        </w:numPr>
        <w:spacing w:before="0" w:after="0"/>
        <w:rPr>
          <w:rFonts w:cs="Arial"/>
          <w:b/>
          <w:bCs/>
          <w:szCs w:val="24"/>
        </w:rPr>
      </w:pPr>
      <w:r>
        <w:rPr>
          <w:b/>
          <w:bCs/>
          <w:szCs w:val="24"/>
        </w:rPr>
        <w:t xml:space="preserve">Maggie Pacini, Non- voting attendee representing Public Health </w:t>
      </w:r>
    </w:p>
    <w:p w14:paraId="4564B97E" w14:textId="77777777" w:rsidR="003569D2" w:rsidRDefault="003569D2" w:rsidP="003569D2">
      <w:pPr>
        <w:spacing w:before="0" w:after="0"/>
        <w:rPr>
          <w:rFonts w:cs="Arial"/>
          <w:b/>
          <w:bCs/>
          <w:szCs w:val="24"/>
        </w:rPr>
      </w:pPr>
    </w:p>
    <w:p w14:paraId="442CEBBE" w14:textId="77777777" w:rsidR="003569D2" w:rsidRDefault="003569D2" w:rsidP="003569D2">
      <w:pPr>
        <w:spacing w:before="0" w:after="0"/>
        <w:ind w:left="709"/>
        <w:rPr>
          <w:rFonts w:cs="Arial"/>
          <w:b/>
          <w:bCs/>
          <w:szCs w:val="24"/>
        </w:rPr>
      </w:pPr>
      <w:r>
        <w:rPr>
          <w:rFonts w:cs="Arial"/>
          <w:b/>
          <w:bCs/>
          <w:szCs w:val="24"/>
        </w:rPr>
        <w:t xml:space="preserve">Appointment:  </w:t>
      </w:r>
      <w:r>
        <w:rPr>
          <w:rFonts w:cs="Arial"/>
          <w:szCs w:val="24"/>
        </w:rPr>
        <w:t>From 13 May 2020</w:t>
      </w:r>
    </w:p>
    <w:p w14:paraId="0A5CB11E" w14:textId="77777777" w:rsidR="003569D2" w:rsidRDefault="003569D2" w:rsidP="003569D2">
      <w:pPr>
        <w:spacing w:before="0" w:after="0"/>
        <w:ind w:left="709"/>
        <w:rPr>
          <w:rFonts w:cs="Arial"/>
          <w:szCs w:val="24"/>
        </w:rPr>
      </w:pPr>
      <w:r>
        <w:rPr>
          <w:rFonts w:cs="Arial"/>
          <w:b/>
          <w:bCs/>
          <w:szCs w:val="24"/>
        </w:rPr>
        <w:t xml:space="preserve">Committee Memberships: </w:t>
      </w:r>
      <w:r>
        <w:rPr>
          <w:rFonts w:cs="Arial"/>
          <w:szCs w:val="24"/>
        </w:rPr>
        <w:t>Clinical Executive Group</w:t>
      </w:r>
    </w:p>
    <w:p w14:paraId="21037E41" w14:textId="77777777" w:rsidR="003569D2" w:rsidRDefault="003569D2" w:rsidP="003569D2">
      <w:pPr>
        <w:spacing w:before="0" w:after="0"/>
        <w:ind w:left="709"/>
        <w:rPr>
          <w:rFonts w:cs="Arial"/>
          <w:b/>
          <w:bCs/>
          <w:szCs w:val="24"/>
        </w:rPr>
      </w:pPr>
      <w:r>
        <w:rPr>
          <w:rFonts w:cs="Arial"/>
          <w:b/>
          <w:bCs/>
          <w:szCs w:val="24"/>
        </w:rPr>
        <w:t xml:space="preserve">Profile: </w:t>
      </w:r>
      <w:r>
        <w:rPr>
          <w:rFonts w:cs="Arial"/>
          <w:szCs w:val="24"/>
        </w:rPr>
        <w:t>Maggie is employed in the Public Health Department for Essex County Council (ECC) and is the public health lead for NHS Basildon and Brentwood CCG.</w:t>
      </w:r>
    </w:p>
    <w:p w14:paraId="1E0F397D" w14:textId="77777777" w:rsidR="003569D2" w:rsidRDefault="003569D2" w:rsidP="003569D2">
      <w:pPr>
        <w:spacing w:before="0" w:after="0"/>
        <w:ind w:left="709"/>
        <w:rPr>
          <w:rFonts w:cs="Arial"/>
          <w:szCs w:val="24"/>
        </w:rPr>
      </w:pPr>
      <w:r>
        <w:rPr>
          <w:rFonts w:cs="Arial"/>
          <w:b/>
          <w:bCs/>
          <w:szCs w:val="24"/>
        </w:rPr>
        <w:t xml:space="preserve">Declared interests and conflicts: </w:t>
      </w:r>
    </w:p>
    <w:p w14:paraId="491D3AE3" w14:textId="77777777" w:rsidR="003569D2" w:rsidRDefault="003569D2" w:rsidP="003569D2">
      <w:pPr>
        <w:spacing w:before="0" w:after="0"/>
        <w:ind w:left="709"/>
        <w:rPr>
          <w:rFonts w:cs="Arial"/>
          <w:szCs w:val="24"/>
          <w:lang w:val="en-US"/>
        </w:rPr>
      </w:pPr>
      <w:r>
        <w:rPr>
          <w:rFonts w:cs="Arial"/>
          <w:szCs w:val="24"/>
          <w:lang w:val="en-US"/>
        </w:rPr>
        <w:t>Maggie is an employee of Essex County Council and is also public health lead for NHS Mid Essex CCG and NHS West Essex CCG.</w:t>
      </w:r>
      <w:r>
        <w:rPr>
          <w:rFonts w:cs="Arial"/>
          <w:szCs w:val="24"/>
          <w:lang w:val="en-US"/>
        </w:rPr>
        <w:br w:type="page"/>
      </w:r>
    </w:p>
    <w:p w14:paraId="01690570" w14:textId="77777777" w:rsidR="003569D2" w:rsidRDefault="003569D2" w:rsidP="003569D2">
      <w:pPr>
        <w:spacing w:before="0" w:after="0"/>
        <w:rPr>
          <w:rFonts w:cs="Arial"/>
          <w:b/>
          <w:bCs/>
          <w:szCs w:val="24"/>
        </w:rPr>
      </w:pPr>
    </w:p>
    <w:p w14:paraId="35024D8A" w14:textId="77777777" w:rsidR="003569D2" w:rsidRDefault="003569D2" w:rsidP="003569D2">
      <w:pPr>
        <w:spacing w:before="0" w:after="0"/>
        <w:rPr>
          <w:rFonts w:cs="Arial"/>
          <w:b/>
          <w:bCs/>
          <w:szCs w:val="24"/>
        </w:rPr>
      </w:pPr>
    </w:p>
    <w:p w14:paraId="34657549" w14:textId="77777777" w:rsidR="003569D2" w:rsidRDefault="003569D2" w:rsidP="000D3041">
      <w:pPr>
        <w:pStyle w:val="ListParagraph"/>
        <w:numPr>
          <w:ilvl w:val="0"/>
          <w:numId w:val="24"/>
        </w:numPr>
        <w:spacing w:before="0" w:after="0"/>
        <w:rPr>
          <w:rFonts w:cs="Arial"/>
          <w:szCs w:val="24"/>
        </w:rPr>
      </w:pPr>
      <w:r>
        <w:rPr>
          <w:b/>
          <w:bCs/>
          <w:szCs w:val="24"/>
        </w:rPr>
        <w:t>Cllr Luke Mackenzie, Non-voting attendee representing Essex County Council</w:t>
      </w:r>
    </w:p>
    <w:p w14:paraId="335141CE" w14:textId="77777777" w:rsidR="003569D2" w:rsidRDefault="003569D2" w:rsidP="003569D2">
      <w:pPr>
        <w:spacing w:before="0" w:after="0"/>
        <w:rPr>
          <w:rFonts w:cs="Arial"/>
          <w:b/>
          <w:bCs/>
          <w:szCs w:val="24"/>
        </w:rPr>
      </w:pPr>
    </w:p>
    <w:p w14:paraId="4F565A95" w14:textId="77777777" w:rsidR="003569D2" w:rsidRDefault="003569D2" w:rsidP="003569D2">
      <w:pPr>
        <w:spacing w:before="0" w:after="0"/>
        <w:ind w:left="709"/>
        <w:rPr>
          <w:rFonts w:cs="Arial"/>
          <w:szCs w:val="24"/>
        </w:rPr>
      </w:pPr>
      <w:r>
        <w:rPr>
          <w:rFonts w:cs="Arial"/>
          <w:b/>
          <w:bCs/>
          <w:szCs w:val="24"/>
        </w:rPr>
        <w:t xml:space="preserve">Appointment:  </w:t>
      </w:r>
      <w:r>
        <w:rPr>
          <w:rFonts w:cs="Arial"/>
          <w:szCs w:val="24"/>
        </w:rPr>
        <w:t>From July 2021</w:t>
      </w:r>
    </w:p>
    <w:p w14:paraId="3EDDE70D" w14:textId="77777777" w:rsidR="003569D2" w:rsidRDefault="003569D2" w:rsidP="003569D2">
      <w:pPr>
        <w:spacing w:before="0" w:after="0"/>
        <w:ind w:left="709"/>
        <w:rPr>
          <w:rFonts w:cs="Arial"/>
          <w:szCs w:val="24"/>
        </w:rPr>
      </w:pPr>
      <w:r>
        <w:rPr>
          <w:rFonts w:cs="Arial"/>
          <w:b/>
          <w:bCs/>
          <w:szCs w:val="24"/>
        </w:rPr>
        <w:t xml:space="preserve">Committee Memberships: </w:t>
      </w:r>
      <w:r>
        <w:rPr>
          <w:rFonts w:cs="Arial"/>
          <w:szCs w:val="24"/>
        </w:rPr>
        <w:t>None</w:t>
      </w:r>
    </w:p>
    <w:p w14:paraId="27682554" w14:textId="77777777" w:rsidR="003569D2" w:rsidRDefault="003569D2" w:rsidP="003569D2">
      <w:pPr>
        <w:spacing w:before="0" w:after="0"/>
        <w:ind w:left="709"/>
        <w:rPr>
          <w:rFonts w:cs="Arial"/>
          <w:spacing w:val="6"/>
          <w:szCs w:val="24"/>
          <w:shd w:val="clear" w:color="auto" w:fill="FFFFFF"/>
        </w:rPr>
      </w:pPr>
      <w:r>
        <w:rPr>
          <w:rFonts w:cs="Arial"/>
          <w:b/>
          <w:bCs/>
          <w:szCs w:val="24"/>
        </w:rPr>
        <w:t xml:space="preserve">Profile: </w:t>
      </w:r>
      <w:r>
        <w:rPr>
          <w:rFonts w:cs="Arial"/>
          <w:color w:val="000000"/>
          <w:spacing w:val="6"/>
          <w:szCs w:val="24"/>
          <w:shd w:val="clear" w:color="auto" w:fill="FFFFFF"/>
        </w:rPr>
        <w:t>Chairman of the Council’s Scrutiny Committee and sits on the Audit and Risk Committee.  Deputy Mayor of Basildon Council and has been a borough councillor for Pitsea South-East Ward since 2018 and a county councillor for the Pitsea Division since May 2021. He was previously a borough councillor from May 2008 to May 2012, representing the ward of Vange.</w:t>
      </w:r>
    </w:p>
    <w:p w14:paraId="616CC1A9" w14:textId="77777777" w:rsidR="003569D2" w:rsidRDefault="003569D2" w:rsidP="003569D2">
      <w:pPr>
        <w:spacing w:before="0" w:after="0"/>
        <w:ind w:left="709"/>
        <w:rPr>
          <w:rFonts w:cs="Arial"/>
          <w:b/>
          <w:bCs/>
          <w:szCs w:val="24"/>
        </w:rPr>
      </w:pPr>
      <w:r>
        <w:rPr>
          <w:rFonts w:cs="Arial"/>
          <w:b/>
          <w:bCs/>
          <w:szCs w:val="24"/>
        </w:rPr>
        <w:t xml:space="preserve">Declared interests and conflicts: </w:t>
      </w:r>
    </w:p>
    <w:p w14:paraId="244E4870" w14:textId="77777777" w:rsidR="003569D2" w:rsidRDefault="003569D2" w:rsidP="003569D2">
      <w:pPr>
        <w:spacing w:before="0" w:after="0"/>
        <w:ind w:left="709"/>
        <w:rPr>
          <w:rFonts w:cs="Arial"/>
          <w:szCs w:val="24"/>
        </w:rPr>
      </w:pPr>
      <w:r>
        <w:rPr>
          <w:rFonts w:cs="Arial"/>
          <w:szCs w:val="24"/>
        </w:rPr>
        <w:t>Elected member of Essex County Council including member of Audit/ Governance and Standards Committee</w:t>
      </w:r>
    </w:p>
    <w:p w14:paraId="6A3DB492" w14:textId="77777777" w:rsidR="003569D2" w:rsidRDefault="003569D2" w:rsidP="003569D2">
      <w:pPr>
        <w:spacing w:before="0" w:after="0"/>
        <w:ind w:left="709"/>
        <w:rPr>
          <w:rFonts w:cs="Arial"/>
          <w:szCs w:val="24"/>
        </w:rPr>
      </w:pPr>
      <w:r>
        <w:rPr>
          <w:rFonts w:cs="Arial"/>
          <w:szCs w:val="24"/>
        </w:rPr>
        <w:t>Member of Health Overview Policy and Scrutiny Committee</w:t>
      </w:r>
    </w:p>
    <w:p w14:paraId="5C45349B" w14:textId="77777777" w:rsidR="003569D2" w:rsidRDefault="003569D2" w:rsidP="003569D2">
      <w:pPr>
        <w:spacing w:before="0" w:after="0"/>
        <w:ind w:left="709"/>
        <w:rPr>
          <w:rFonts w:cs="Arial"/>
          <w:szCs w:val="24"/>
        </w:rPr>
      </w:pPr>
      <w:r>
        <w:rPr>
          <w:rFonts w:cs="Arial"/>
          <w:szCs w:val="24"/>
        </w:rPr>
        <w:t>Member of Basildon Council – Deputy Mayor</w:t>
      </w:r>
    </w:p>
    <w:p w14:paraId="660009E7" w14:textId="77777777" w:rsidR="003569D2" w:rsidRDefault="003569D2" w:rsidP="003569D2">
      <w:pPr>
        <w:spacing w:before="0" w:after="0"/>
        <w:ind w:left="709"/>
        <w:rPr>
          <w:rFonts w:cs="Arial"/>
          <w:szCs w:val="24"/>
        </w:rPr>
      </w:pPr>
      <w:r>
        <w:rPr>
          <w:rFonts w:cs="Arial"/>
          <w:szCs w:val="24"/>
        </w:rPr>
        <w:t>Employee, Conservative Group, London Assembly</w:t>
      </w:r>
    </w:p>
    <w:p w14:paraId="2A88DCD4" w14:textId="77777777" w:rsidR="003569D2" w:rsidRDefault="003569D2" w:rsidP="003569D2">
      <w:pPr>
        <w:spacing w:before="0" w:after="0"/>
        <w:ind w:left="851"/>
        <w:rPr>
          <w:rFonts w:cs="Arial"/>
          <w:szCs w:val="24"/>
        </w:rPr>
      </w:pPr>
    </w:p>
    <w:p w14:paraId="5F8C78CC" w14:textId="77777777" w:rsidR="003569D2" w:rsidRDefault="003569D2" w:rsidP="003569D2">
      <w:pPr>
        <w:spacing w:before="0" w:after="0"/>
        <w:ind w:left="851"/>
        <w:rPr>
          <w:rFonts w:cs="Arial"/>
          <w:szCs w:val="24"/>
        </w:rPr>
      </w:pPr>
    </w:p>
    <w:p w14:paraId="2B030466" w14:textId="00F5900B" w:rsidR="003569D2" w:rsidRDefault="003569D2" w:rsidP="000D3041">
      <w:pPr>
        <w:pStyle w:val="ListParagraph"/>
        <w:numPr>
          <w:ilvl w:val="0"/>
          <w:numId w:val="24"/>
        </w:numPr>
        <w:spacing w:before="0" w:after="0"/>
        <w:rPr>
          <w:rFonts w:cs="Arial"/>
          <w:szCs w:val="24"/>
        </w:rPr>
      </w:pPr>
      <w:r>
        <w:rPr>
          <w:b/>
          <w:bCs/>
          <w:szCs w:val="24"/>
        </w:rPr>
        <w:t>Gill</w:t>
      </w:r>
      <w:r w:rsidR="00F45EBE">
        <w:rPr>
          <w:b/>
          <w:bCs/>
          <w:szCs w:val="24"/>
        </w:rPr>
        <w:t>ian Meriel</w:t>
      </w:r>
      <w:r>
        <w:rPr>
          <w:b/>
          <w:bCs/>
          <w:szCs w:val="24"/>
        </w:rPr>
        <w:t xml:space="preserve"> Jones, Lay Member PPI</w:t>
      </w:r>
    </w:p>
    <w:p w14:paraId="2DCC922D" w14:textId="77777777" w:rsidR="003569D2" w:rsidRDefault="003569D2" w:rsidP="003569D2">
      <w:pPr>
        <w:spacing w:before="0" w:after="0"/>
        <w:ind w:left="709"/>
        <w:rPr>
          <w:rFonts w:cs="Arial"/>
          <w:szCs w:val="24"/>
        </w:rPr>
      </w:pPr>
      <w:bookmarkStart w:id="107" w:name="_Hlk62650583"/>
      <w:r>
        <w:rPr>
          <w:rFonts w:cs="Arial"/>
          <w:b/>
          <w:bCs/>
          <w:szCs w:val="24"/>
        </w:rPr>
        <w:t xml:space="preserve">Appointment:  </w:t>
      </w:r>
      <w:r>
        <w:rPr>
          <w:rFonts w:cs="Arial"/>
          <w:szCs w:val="24"/>
        </w:rPr>
        <w:t>From February 2020</w:t>
      </w:r>
    </w:p>
    <w:p w14:paraId="1C108903" w14:textId="77777777" w:rsidR="003569D2" w:rsidRDefault="003569D2" w:rsidP="003569D2">
      <w:pPr>
        <w:spacing w:before="0" w:after="0"/>
        <w:ind w:left="709"/>
        <w:rPr>
          <w:rFonts w:cs="Arial"/>
          <w:b/>
          <w:bCs/>
          <w:szCs w:val="24"/>
        </w:rPr>
      </w:pPr>
      <w:r>
        <w:rPr>
          <w:rFonts w:cs="Arial"/>
          <w:b/>
          <w:bCs/>
          <w:szCs w:val="24"/>
        </w:rPr>
        <w:t>Committee Memberships</w:t>
      </w:r>
    </w:p>
    <w:p w14:paraId="41650890" w14:textId="77777777" w:rsidR="003569D2" w:rsidRDefault="003569D2" w:rsidP="003569D2">
      <w:pPr>
        <w:spacing w:before="0" w:after="0"/>
        <w:ind w:left="709"/>
        <w:rPr>
          <w:rFonts w:cs="Arial"/>
          <w:b/>
          <w:bCs/>
          <w:szCs w:val="24"/>
        </w:rPr>
      </w:pPr>
      <w:r>
        <w:rPr>
          <w:rFonts w:cs="Arial"/>
          <w:szCs w:val="24"/>
        </w:rPr>
        <w:t>Patient and Community Reference Group</w:t>
      </w:r>
    </w:p>
    <w:p w14:paraId="5C06594C" w14:textId="77777777" w:rsidR="003569D2" w:rsidRDefault="003569D2" w:rsidP="003569D2">
      <w:pPr>
        <w:spacing w:before="0" w:after="0"/>
        <w:ind w:left="709"/>
        <w:rPr>
          <w:rFonts w:cs="Arial"/>
          <w:b/>
          <w:bCs/>
          <w:szCs w:val="24"/>
        </w:rPr>
      </w:pPr>
      <w:r>
        <w:rPr>
          <w:rFonts w:cs="Arial"/>
          <w:szCs w:val="24"/>
        </w:rPr>
        <w:t>Patient, Safety and Quality Committee</w:t>
      </w:r>
    </w:p>
    <w:p w14:paraId="7A9CA268" w14:textId="77777777" w:rsidR="003569D2" w:rsidRDefault="003569D2" w:rsidP="003569D2">
      <w:pPr>
        <w:spacing w:before="0" w:after="0"/>
        <w:ind w:left="709"/>
        <w:rPr>
          <w:rFonts w:cs="Arial"/>
          <w:b/>
          <w:bCs/>
          <w:szCs w:val="24"/>
        </w:rPr>
      </w:pPr>
      <w:r>
        <w:rPr>
          <w:rFonts w:cs="Arial"/>
          <w:szCs w:val="24"/>
        </w:rPr>
        <w:t>Audit Committee</w:t>
      </w:r>
    </w:p>
    <w:p w14:paraId="660F5BE7" w14:textId="77777777" w:rsidR="003569D2" w:rsidRDefault="003569D2" w:rsidP="003569D2">
      <w:pPr>
        <w:spacing w:before="0" w:after="0"/>
        <w:ind w:left="709"/>
        <w:rPr>
          <w:rFonts w:cs="Arial"/>
          <w:szCs w:val="24"/>
        </w:rPr>
      </w:pPr>
      <w:r>
        <w:rPr>
          <w:rFonts w:cs="Arial"/>
          <w:szCs w:val="24"/>
        </w:rPr>
        <w:t>Remuneration Committee</w:t>
      </w:r>
    </w:p>
    <w:p w14:paraId="76458AF3" w14:textId="77777777" w:rsidR="003569D2" w:rsidRDefault="003569D2" w:rsidP="003569D2">
      <w:pPr>
        <w:spacing w:before="0" w:after="0"/>
        <w:ind w:left="709"/>
        <w:rPr>
          <w:rFonts w:cs="Arial"/>
          <w:szCs w:val="24"/>
        </w:rPr>
      </w:pPr>
      <w:r>
        <w:rPr>
          <w:rFonts w:cs="Arial"/>
          <w:szCs w:val="24"/>
        </w:rPr>
        <w:t>PCCC</w:t>
      </w:r>
    </w:p>
    <w:p w14:paraId="7B0DBF38" w14:textId="77777777" w:rsidR="003569D2" w:rsidRDefault="003569D2" w:rsidP="003569D2">
      <w:pPr>
        <w:spacing w:before="0" w:after="0"/>
        <w:ind w:left="709"/>
        <w:rPr>
          <w:rFonts w:cs="Arial"/>
          <w:b/>
          <w:bCs/>
          <w:szCs w:val="24"/>
        </w:rPr>
      </w:pPr>
      <w:r>
        <w:rPr>
          <w:rFonts w:cs="Arial"/>
          <w:b/>
          <w:bCs/>
          <w:szCs w:val="24"/>
        </w:rPr>
        <w:t>Profile:</w:t>
      </w:r>
    </w:p>
    <w:p w14:paraId="596DB87C" w14:textId="4D8EE71A" w:rsidR="003569D2" w:rsidRDefault="003569D2" w:rsidP="003569D2">
      <w:pPr>
        <w:spacing w:before="0" w:after="0"/>
        <w:ind w:left="709"/>
        <w:rPr>
          <w:rFonts w:cs="Arial"/>
          <w:szCs w:val="24"/>
        </w:rPr>
      </w:pPr>
      <w:r>
        <w:rPr>
          <w:rFonts w:cs="Arial"/>
          <w:szCs w:val="24"/>
        </w:rPr>
        <w:t>Originally from Liverpool, Gill</w:t>
      </w:r>
      <w:r w:rsidR="00F45EBE">
        <w:rPr>
          <w:rFonts w:cs="Arial"/>
          <w:szCs w:val="24"/>
        </w:rPr>
        <w:t>ian</w:t>
      </w:r>
      <w:r>
        <w:rPr>
          <w:rFonts w:cs="Arial"/>
          <w:szCs w:val="24"/>
        </w:rPr>
        <w:t xml:space="preserve"> has lived in Brentwood for more than 30 years. Gill</w:t>
      </w:r>
      <w:r w:rsidR="00F45EBE">
        <w:rPr>
          <w:rFonts w:cs="Arial"/>
          <w:szCs w:val="24"/>
        </w:rPr>
        <w:t>ian</w:t>
      </w:r>
      <w:r>
        <w:rPr>
          <w:rFonts w:cs="Arial"/>
          <w:szCs w:val="24"/>
        </w:rPr>
        <w:t xml:space="preserve"> has worked in the public sector for 26 years in a number of roles, she is a specialist in the creation and maintenance of addresses and has worked with numerous countries and the United Nations to create and maintain national address databases. These address databases support the delivery of key services to the population. Most recently Gill</w:t>
      </w:r>
      <w:r w:rsidR="00F45EBE">
        <w:rPr>
          <w:rFonts w:cs="Arial"/>
          <w:szCs w:val="24"/>
        </w:rPr>
        <w:t>ian</w:t>
      </w:r>
      <w:r>
        <w:rPr>
          <w:rFonts w:cs="Arial"/>
          <w:szCs w:val="24"/>
        </w:rPr>
        <w:t xml:space="preserve"> has worked on the introduction of postcodes to Ireland. Gill</w:t>
      </w:r>
      <w:r w:rsidR="00F45EBE">
        <w:rPr>
          <w:rFonts w:cs="Arial"/>
          <w:szCs w:val="24"/>
        </w:rPr>
        <w:t>ian</w:t>
      </w:r>
      <w:r>
        <w:rPr>
          <w:rFonts w:cs="Arial"/>
          <w:szCs w:val="24"/>
        </w:rPr>
        <w:t xml:space="preserve"> has a longstanding interest in mental health care and has been a trustee and Vice Chair of HBBS counselling for over 10</w:t>
      </w:r>
      <w:bookmarkEnd w:id="107"/>
      <w:r>
        <w:rPr>
          <w:rFonts w:cs="Arial"/>
          <w:szCs w:val="24"/>
        </w:rPr>
        <w:t xml:space="preserve"> years. The charity based in Brentwood provides counselling to people in Havering and Brentwood and works in local schools and with vulnerable groups as well as providing general counselling. HBBS Counselling was awarded the Queens award for voluntary service last year which is the highest award which can be awarded to a charity</w:t>
      </w:r>
    </w:p>
    <w:p w14:paraId="614B51AD" w14:textId="77777777" w:rsidR="003569D2" w:rsidRDefault="003569D2" w:rsidP="003569D2">
      <w:pPr>
        <w:spacing w:before="0" w:after="0"/>
        <w:ind w:left="709"/>
        <w:rPr>
          <w:rFonts w:cs="Arial"/>
          <w:b/>
          <w:bCs/>
          <w:szCs w:val="24"/>
        </w:rPr>
      </w:pPr>
      <w:r>
        <w:rPr>
          <w:rFonts w:cs="Arial"/>
          <w:b/>
          <w:bCs/>
          <w:szCs w:val="24"/>
        </w:rPr>
        <w:t xml:space="preserve">Declared interests and conflicts: </w:t>
      </w:r>
    </w:p>
    <w:p w14:paraId="21893184" w14:textId="77777777" w:rsidR="003569D2" w:rsidRDefault="003569D2" w:rsidP="003569D2">
      <w:pPr>
        <w:spacing w:before="0" w:after="0"/>
        <w:ind w:left="709"/>
        <w:rPr>
          <w:rFonts w:cs="Arial"/>
          <w:szCs w:val="24"/>
        </w:rPr>
      </w:pPr>
      <w:r>
        <w:rPr>
          <w:rFonts w:cs="Arial"/>
          <w:szCs w:val="24"/>
        </w:rPr>
        <w:t>Trustee and Vice Chair of Havering &amp; Brentwood Bereavement Service (HBBS)</w:t>
      </w:r>
    </w:p>
    <w:p w14:paraId="273D5C5D" w14:textId="77777777" w:rsidR="003569D2" w:rsidRDefault="003569D2" w:rsidP="003569D2">
      <w:pPr>
        <w:spacing w:before="0" w:after="0"/>
        <w:ind w:left="709"/>
        <w:rPr>
          <w:rFonts w:cs="Arial"/>
          <w:szCs w:val="24"/>
        </w:rPr>
      </w:pPr>
      <w:r>
        <w:rPr>
          <w:rFonts w:cs="Arial"/>
          <w:szCs w:val="24"/>
        </w:rPr>
        <w:t>Director of GM Jones Ltd (dormant company)</w:t>
      </w:r>
    </w:p>
    <w:p w14:paraId="780D133B" w14:textId="77777777" w:rsidR="003569D2" w:rsidRDefault="003569D2" w:rsidP="003569D2">
      <w:pPr>
        <w:spacing w:before="0" w:after="0" w:line="276" w:lineRule="auto"/>
        <w:rPr>
          <w:rFonts w:cs="Arial"/>
          <w:szCs w:val="24"/>
        </w:rPr>
      </w:pPr>
      <w:r>
        <w:rPr>
          <w:rFonts w:eastAsia="Times New Roman" w:cs="Arial"/>
          <w:szCs w:val="24"/>
        </w:rPr>
        <w:br w:type="page"/>
      </w:r>
    </w:p>
    <w:p w14:paraId="28A7A829" w14:textId="77777777" w:rsidR="003569D2" w:rsidRDefault="003569D2" w:rsidP="003569D2">
      <w:pPr>
        <w:spacing w:before="0" w:after="0"/>
        <w:rPr>
          <w:rFonts w:cs="Arial"/>
          <w:szCs w:val="24"/>
        </w:rPr>
      </w:pPr>
    </w:p>
    <w:p w14:paraId="42EAEBC2" w14:textId="1D659C16" w:rsidR="003569D2" w:rsidRDefault="003569D2" w:rsidP="000D3041">
      <w:pPr>
        <w:pStyle w:val="ListParagraph"/>
        <w:numPr>
          <w:ilvl w:val="0"/>
          <w:numId w:val="24"/>
        </w:numPr>
        <w:spacing w:before="0" w:after="0"/>
        <w:rPr>
          <w:rFonts w:cs="Arial"/>
          <w:szCs w:val="24"/>
        </w:rPr>
      </w:pPr>
      <w:r>
        <w:rPr>
          <w:b/>
          <w:bCs/>
          <w:szCs w:val="24"/>
        </w:rPr>
        <w:t>Nic</w:t>
      </w:r>
      <w:r w:rsidR="00F45EBE">
        <w:rPr>
          <w:b/>
          <w:bCs/>
          <w:szCs w:val="24"/>
        </w:rPr>
        <w:t>olas</w:t>
      </w:r>
      <w:r>
        <w:rPr>
          <w:b/>
          <w:bCs/>
          <w:szCs w:val="24"/>
        </w:rPr>
        <w:t xml:space="preserve"> Spenceley, Lay Member and Audit Chair</w:t>
      </w:r>
    </w:p>
    <w:p w14:paraId="49635A87" w14:textId="77777777" w:rsidR="003569D2" w:rsidRDefault="003569D2" w:rsidP="003569D2">
      <w:pPr>
        <w:spacing w:before="0" w:after="0"/>
        <w:ind w:left="709"/>
        <w:rPr>
          <w:rFonts w:cs="Arial"/>
          <w:szCs w:val="24"/>
        </w:rPr>
      </w:pPr>
      <w:bookmarkStart w:id="108" w:name="_Hlk62644268"/>
      <w:r>
        <w:rPr>
          <w:rFonts w:cs="Arial"/>
          <w:b/>
          <w:bCs/>
          <w:szCs w:val="24"/>
        </w:rPr>
        <w:t xml:space="preserve">Appointment:  </w:t>
      </w:r>
      <w:r>
        <w:rPr>
          <w:rFonts w:cs="Arial"/>
          <w:szCs w:val="24"/>
        </w:rPr>
        <w:t>From June 2019</w:t>
      </w:r>
    </w:p>
    <w:p w14:paraId="0394B9D9" w14:textId="77777777" w:rsidR="003569D2" w:rsidRDefault="003569D2" w:rsidP="003569D2">
      <w:pPr>
        <w:spacing w:before="0" w:after="0"/>
        <w:ind w:left="709"/>
        <w:rPr>
          <w:rFonts w:cs="Arial"/>
          <w:szCs w:val="24"/>
        </w:rPr>
      </w:pPr>
      <w:r>
        <w:rPr>
          <w:rFonts w:cs="Arial"/>
          <w:b/>
          <w:bCs/>
          <w:szCs w:val="24"/>
        </w:rPr>
        <w:t>Committee Memberships</w:t>
      </w:r>
    </w:p>
    <w:p w14:paraId="7BAA7446" w14:textId="77777777" w:rsidR="003569D2" w:rsidRDefault="003569D2" w:rsidP="003569D2">
      <w:pPr>
        <w:spacing w:before="0" w:after="0"/>
        <w:ind w:left="709"/>
        <w:rPr>
          <w:rFonts w:cs="Arial"/>
          <w:szCs w:val="24"/>
        </w:rPr>
      </w:pPr>
      <w:r>
        <w:rPr>
          <w:rFonts w:cs="Arial"/>
          <w:szCs w:val="24"/>
        </w:rPr>
        <w:t>Audit Committee (Chair)</w:t>
      </w:r>
    </w:p>
    <w:p w14:paraId="553B9558" w14:textId="77777777" w:rsidR="003569D2" w:rsidRDefault="003569D2" w:rsidP="003569D2">
      <w:pPr>
        <w:spacing w:before="0" w:after="0"/>
        <w:ind w:left="709"/>
        <w:rPr>
          <w:rFonts w:cs="Arial"/>
          <w:szCs w:val="24"/>
        </w:rPr>
      </w:pPr>
      <w:r>
        <w:rPr>
          <w:rFonts w:cs="Arial"/>
          <w:szCs w:val="24"/>
        </w:rPr>
        <w:t>Remuneration Committee</w:t>
      </w:r>
    </w:p>
    <w:p w14:paraId="69DD2ACE" w14:textId="77777777" w:rsidR="003569D2" w:rsidRDefault="003569D2" w:rsidP="003569D2">
      <w:pPr>
        <w:spacing w:before="0" w:after="0"/>
        <w:ind w:left="709"/>
        <w:rPr>
          <w:rFonts w:cs="Arial"/>
          <w:szCs w:val="24"/>
        </w:rPr>
      </w:pPr>
      <w:r>
        <w:rPr>
          <w:rFonts w:cs="Arial"/>
          <w:szCs w:val="24"/>
        </w:rPr>
        <w:t>PCCC</w:t>
      </w:r>
    </w:p>
    <w:p w14:paraId="64C018DE" w14:textId="77777777" w:rsidR="003569D2" w:rsidRDefault="003569D2" w:rsidP="003569D2">
      <w:pPr>
        <w:spacing w:before="0" w:after="0"/>
        <w:ind w:left="709"/>
        <w:rPr>
          <w:rFonts w:cs="Arial"/>
          <w:b/>
          <w:bCs/>
          <w:szCs w:val="24"/>
        </w:rPr>
      </w:pPr>
      <w:r>
        <w:rPr>
          <w:rFonts w:cs="Arial"/>
          <w:b/>
          <w:bCs/>
          <w:szCs w:val="24"/>
        </w:rPr>
        <w:t xml:space="preserve">Profile: </w:t>
      </w:r>
    </w:p>
    <w:p w14:paraId="3886FC67" w14:textId="1612D07E" w:rsidR="003569D2" w:rsidRDefault="003569D2" w:rsidP="003569D2">
      <w:pPr>
        <w:spacing w:before="0" w:after="0"/>
        <w:ind w:left="709"/>
        <w:rPr>
          <w:rFonts w:cs="Arial"/>
          <w:szCs w:val="24"/>
        </w:rPr>
      </w:pPr>
      <w:r>
        <w:rPr>
          <w:rFonts w:cs="Arial"/>
          <w:szCs w:val="24"/>
        </w:rPr>
        <w:t>Nic</w:t>
      </w:r>
      <w:r w:rsidR="00F45EBE">
        <w:rPr>
          <w:rFonts w:cs="Arial"/>
          <w:szCs w:val="24"/>
        </w:rPr>
        <w:t>olas</w:t>
      </w:r>
      <w:r>
        <w:rPr>
          <w:rFonts w:cs="Arial"/>
          <w:b/>
          <w:bCs/>
          <w:szCs w:val="24"/>
        </w:rPr>
        <w:t xml:space="preserve"> </w:t>
      </w:r>
      <w:r>
        <w:rPr>
          <w:rFonts w:cs="Arial"/>
          <w:szCs w:val="24"/>
        </w:rPr>
        <w:t>worked for 36 years in Further Education colleges as an English Lecturer, ending up as Principal and Chief Executive of South East Essex Sixth Form College.</w:t>
      </w:r>
    </w:p>
    <w:p w14:paraId="2D8DC9A5" w14:textId="77777777" w:rsidR="003569D2" w:rsidRDefault="003569D2" w:rsidP="003569D2">
      <w:pPr>
        <w:spacing w:before="0" w:after="0"/>
        <w:ind w:left="709"/>
        <w:rPr>
          <w:rFonts w:cs="Arial"/>
          <w:szCs w:val="24"/>
        </w:rPr>
      </w:pPr>
      <w:r>
        <w:rPr>
          <w:rFonts w:cs="Arial"/>
          <w:szCs w:val="24"/>
        </w:rPr>
        <w:t>He retired from full-time work in 2016 and continues to be involved with colleges as an external moderator for Access to Higher Education courses which enable adults without A-Levels to enter degree programmes.</w:t>
      </w:r>
    </w:p>
    <w:p w14:paraId="337D8AB2" w14:textId="77777777" w:rsidR="003569D2" w:rsidRDefault="003569D2" w:rsidP="003569D2">
      <w:pPr>
        <w:spacing w:before="0" w:after="0"/>
        <w:ind w:left="709"/>
        <w:rPr>
          <w:rFonts w:cs="Arial"/>
          <w:b/>
          <w:bCs/>
          <w:szCs w:val="24"/>
        </w:rPr>
      </w:pPr>
      <w:r>
        <w:rPr>
          <w:rFonts w:cs="Arial"/>
          <w:szCs w:val="24"/>
        </w:rPr>
        <w:t>He is passionate about workforce development, the long-term sustainability of recruitment, and encouraging young people  from disadvantaged backgrounds to aspire to serve in the health professions.</w:t>
      </w:r>
    </w:p>
    <w:p w14:paraId="723E9AA3" w14:textId="77777777" w:rsidR="003569D2" w:rsidRDefault="003569D2" w:rsidP="003569D2">
      <w:pPr>
        <w:spacing w:before="0" w:after="0"/>
        <w:ind w:left="709"/>
        <w:rPr>
          <w:rFonts w:cs="Arial"/>
          <w:b/>
          <w:bCs/>
          <w:szCs w:val="24"/>
        </w:rPr>
      </w:pPr>
      <w:r>
        <w:rPr>
          <w:rFonts w:cs="Arial"/>
          <w:b/>
          <w:bCs/>
          <w:szCs w:val="24"/>
        </w:rPr>
        <w:t xml:space="preserve">Declared interests and conflicts: </w:t>
      </w:r>
    </w:p>
    <w:p w14:paraId="66BF6675" w14:textId="77777777" w:rsidR="003569D2" w:rsidRDefault="003569D2" w:rsidP="003569D2">
      <w:pPr>
        <w:autoSpaceDE w:val="0"/>
        <w:autoSpaceDN w:val="0"/>
        <w:spacing w:before="0" w:after="0"/>
        <w:ind w:left="709"/>
        <w:rPr>
          <w:rFonts w:cs="Arial"/>
          <w:szCs w:val="24"/>
        </w:rPr>
      </w:pPr>
      <w:r>
        <w:rPr>
          <w:rFonts w:cs="Arial"/>
          <w:szCs w:val="24"/>
        </w:rPr>
        <w:t>Chair of Personnel and Resources at Writtle University College</w:t>
      </w:r>
      <w:bookmarkEnd w:id="108"/>
    </w:p>
    <w:p w14:paraId="4F6838D5" w14:textId="77777777" w:rsidR="00FF6356" w:rsidRDefault="00FF6356" w:rsidP="00E2234D">
      <w:pPr>
        <w:spacing w:before="0" w:after="0"/>
        <w:ind w:left="709"/>
      </w:pPr>
    </w:p>
    <w:p w14:paraId="04596880" w14:textId="29833C9F" w:rsidR="00FF6356" w:rsidRPr="00FF6356" w:rsidRDefault="00F90D7E" w:rsidP="00FF6356">
      <w:pPr>
        <w:pStyle w:val="Heading3"/>
      </w:pPr>
      <w:bookmarkStart w:id="109" w:name="_Toc107389457"/>
      <w:r w:rsidRPr="007830C3">
        <w:t>Member practices</w:t>
      </w:r>
      <w:bookmarkEnd w:id="96"/>
      <w:bookmarkEnd w:id="97"/>
      <w:bookmarkEnd w:id="109"/>
    </w:p>
    <w:p w14:paraId="110F5416" w14:textId="7598FC63" w:rsidR="00BF1158" w:rsidRPr="007830C3" w:rsidRDefault="00BF1158" w:rsidP="00BF1158">
      <w:pPr>
        <w:pStyle w:val="Heading4"/>
        <w:spacing w:before="0"/>
        <w:jc w:val="both"/>
        <w:rPr>
          <w:i/>
          <w:iCs/>
          <w:color w:val="auto"/>
          <w:szCs w:val="24"/>
        </w:rPr>
      </w:pPr>
      <w:bookmarkStart w:id="110" w:name="_Toc94188188"/>
      <w:r w:rsidRPr="007830C3">
        <w:rPr>
          <w:color w:val="auto"/>
          <w:szCs w:val="24"/>
        </w:rPr>
        <w:t xml:space="preserve">Locality achievements </w:t>
      </w:r>
    </w:p>
    <w:p w14:paraId="0AC89B73" w14:textId="77777777" w:rsidR="00BF1158" w:rsidRPr="007830C3" w:rsidRDefault="00BF1158" w:rsidP="00BF1158">
      <w:pPr>
        <w:spacing w:before="0" w:after="0"/>
        <w:jc w:val="both"/>
        <w:rPr>
          <w:rFonts w:cs="Arial"/>
          <w:szCs w:val="24"/>
        </w:rPr>
      </w:pPr>
    </w:p>
    <w:p w14:paraId="141989EA" w14:textId="16310529" w:rsidR="00BF1158" w:rsidRPr="007830C3" w:rsidRDefault="00BF1158" w:rsidP="00BF1158">
      <w:pPr>
        <w:spacing w:before="0" w:after="0"/>
        <w:rPr>
          <w:rFonts w:cs="Arial"/>
          <w:szCs w:val="24"/>
        </w:rPr>
      </w:pPr>
      <w:r w:rsidRPr="007830C3">
        <w:rPr>
          <w:rFonts w:cs="Arial"/>
          <w:szCs w:val="24"/>
        </w:rPr>
        <w:t>The member practices in the CCG are grouped into six Primary Care Networks (PCNs) as follows:</w:t>
      </w:r>
    </w:p>
    <w:p w14:paraId="1C3342DE" w14:textId="77777777" w:rsidR="00BF1158" w:rsidRPr="007830C3" w:rsidRDefault="00BF1158" w:rsidP="00BF1158">
      <w:pPr>
        <w:spacing w:before="0" w:after="0"/>
        <w:jc w:val="both"/>
        <w:rPr>
          <w:rFonts w:cs="Arial"/>
          <w:szCs w:val="24"/>
        </w:rPr>
      </w:pPr>
    </w:p>
    <w:p w14:paraId="32CC9925" w14:textId="77777777" w:rsidR="00BF1158" w:rsidRPr="00BF1158" w:rsidRDefault="00BF1158" w:rsidP="00BF1158">
      <w:pPr>
        <w:pStyle w:val="Heading5"/>
        <w:spacing w:before="0" w:after="120"/>
        <w:jc w:val="both"/>
        <w:rPr>
          <w:rFonts w:ascii="Arial" w:hAnsi="Arial" w:cs="Arial"/>
          <w:b/>
          <w:bCs/>
          <w:color w:val="auto"/>
          <w:szCs w:val="24"/>
        </w:rPr>
      </w:pPr>
      <w:r w:rsidRPr="007830C3">
        <w:rPr>
          <w:rFonts w:ascii="Arial" w:hAnsi="Arial" w:cs="Arial"/>
          <w:b/>
          <w:bCs/>
          <w:color w:val="auto"/>
          <w:szCs w:val="24"/>
        </w:rPr>
        <w:t>We</w:t>
      </w:r>
      <w:r w:rsidRPr="00BF1158">
        <w:rPr>
          <w:rFonts w:ascii="Arial" w:hAnsi="Arial" w:cs="Arial"/>
          <w:b/>
          <w:bCs/>
          <w:color w:val="auto"/>
          <w:szCs w:val="24"/>
        </w:rPr>
        <w:t xml:space="preserve">st Basildon PCN – Clinical Director Dr Olutunde Macaulay  </w:t>
      </w:r>
    </w:p>
    <w:p w14:paraId="6E1BF0B0"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 xml:space="preserve">Ballards Walk Surgery </w:t>
      </w:r>
    </w:p>
    <w:p w14:paraId="40ED7E62"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Noak Bridge Medical Centre</w:t>
      </w:r>
    </w:p>
    <w:p w14:paraId="7216458C"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 xml:space="preserve">Kingswood Medical Centre </w:t>
      </w:r>
    </w:p>
    <w:p w14:paraId="5B7704CB" w14:textId="77777777" w:rsidR="00BF1158" w:rsidRPr="00BF1158" w:rsidRDefault="00BF1158" w:rsidP="000D3041">
      <w:pPr>
        <w:pStyle w:val="ListParagraph"/>
        <w:numPr>
          <w:ilvl w:val="0"/>
          <w:numId w:val="6"/>
        </w:numPr>
        <w:spacing w:before="0" w:after="0"/>
        <w:ind w:left="567" w:hanging="567"/>
        <w:jc w:val="both"/>
        <w:rPr>
          <w:rFonts w:cs="Arial"/>
          <w:szCs w:val="24"/>
        </w:rPr>
      </w:pPr>
      <w:r w:rsidRPr="00BF1158">
        <w:rPr>
          <w:rFonts w:cs="Arial"/>
          <w:szCs w:val="24"/>
        </w:rPr>
        <w:t>Laindon Medical Group</w:t>
      </w:r>
    </w:p>
    <w:p w14:paraId="7FFFC02D" w14:textId="1807C208" w:rsid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The Knares Medical Practice</w:t>
      </w:r>
    </w:p>
    <w:p w14:paraId="7CAB7DFA" w14:textId="77777777" w:rsidR="001F31F8" w:rsidRPr="00BF1158" w:rsidRDefault="001F31F8" w:rsidP="001F31F8">
      <w:pPr>
        <w:pStyle w:val="ListParagraph"/>
        <w:spacing w:before="0" w:after="0"/>
        <w:ind w:left="567"/>
        <w:jc w:val="both"/>
        <w:rPr>
          <w:rFonts w:cs="Arial"/>
          <w:color w:val="000000" w:themeColor="text1"/>
          <w:szCs w:val="24"/>
        </w:rPr>
      </w:pPr>
    </w:p>
    <w:p w14:paraId="117C75C9" w14:textId="77777777" w:rsidR="00BF1158" w:rsidRPr="00BF1158" w:rsidRDefault="00BF1158" w:rsidP="00BF1158">
      <w:pPr>
        <w:pStyle w:val="ListParagraph"/>
        <w:spacing w:before="0" w:after="0"/>
        <w:ind w:left="567"/>
        <w:jc w:val="both"/>
        <w:rPr>
          <w:rFonts w:cs="Arial"/>
          <w:color w:val="000000" w:themeColor="text1"/>
          <w:szCs w:val="24"/>
        </w:rPr>
      </w:pPr>
    </w:p>
    <w:p w14:paraId="6EBF682C" w14:textId="77777777" w:rsidR="00BF1158" w:rsidRPr="00BF1158" w:rsidRDefault="00BF1158" w:rsidP="00BF1158">
      <w:pPr>
        <w:spacing w:before="0" w:after="120"/>
        <w:rPr>
          <w:rFonts w:cs="Arial"/>
          <w:b/>
          <w:szCs w:val="24"/>
          <w:lang w:val="en"/>
        </w:rPr>
      </w:pPr>
      <w:r w:rsidRPr="00BF1158">
        <w:rPr>
          <w:rFonts w:cs="Arial"/>
          <w:b/>
          <w:szCs w:val="24"/>
          <w:lang w:val="en"/>
        </w:rPr>
        <w:t xml:space="preserve">Central Basildon PCN – Dr Francesca Ogunbiyi  </w:t>
      </w:r>
    </w:p>
    <w:p w14:paraId="400C5D1D"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Dipple Medical Centre, East Wing (Dr Arayomi)</w:t>
      </w:r>
    </w:p>
    <w:p w14:paraId="355D0890"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Clayhill Medical Practice</w:t>
      </w:r>
    </w:p>
    <w:p w14:paraId="4D1E4CC9"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 xml:space="preserve">Knights Surgery </w:t>
      </w:r>
    </w:p>
    <w:p w14:paraId="1E749802"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The Murree Medical Centre</w:t>
      </w:r>
    </w:p>
    <w:p w14:paraId="79F84829"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Dipple Medical Centre, South Wing (Dr Nasah)</w:t>
      </w:r>
    </w:p>
    <w:p w14:paraId="44F53904"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 xml:space="preserve">Fryerns Medical Centre </w:t>
      </w:r>
    </w:p>
    <w:p w14:paraId="0E992C7E"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 xml:space="preserve">Langdon Hills Medical Practice </w:t>
      </w:r>
    </w:p>
    <w:p w14:paraId="0530B8A4"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Rosevilla Surgery</w:t>
      </w:r>
    </w:p>
    <w:p w14:paraId="3928286C" w14:textId="5A0CCE30" w:rsid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Aegis Medical Centre</w:t>
      </w:r>
    </w:p>
    <w:p w14:paraId="384EF6B5" w14:textId="77777777" w:rsidR="001F31F8" w:rsidRPr="00BF1158" w:rsidRDefault="001F31F8" w:rsidP="001F31F8">
      <w:pPr>
        <w:pStyle w:val="ListParagraph"/>
        <w:spacing w:before="0" w:after="0"/>
        <w:ind w:left="567"/>
        <w:jc w:val="both"/>
        <w:rPr>
          <w:rFonts w:cs="Arial"/>
          <w:color w:val="000000" w:themeColor="text1"/>
          <w:szCs w:val="24"/>
        </w:rPr>
      </w:pPr>
    </w:p>
    <w:p w14:paraId="54A37D97" w14:textId="77777777" w:rsidR="00BF1158" w:rsidRPr="00BF1158" w:rsidRDefault="00BF1158" w:rsidP="00BF1158">
      <w:pPr>
        <w:pStyle w:val="ListParagraph"/>
        <w:spacing w:before="0" w:after="0"/>
        <w:ind w:left="567"/>
        <w:jc w:val="both"/>
        <w:rPr>
          <w:rFonts w:cs="Arial"/>
          <w:color w:val="000000" w:themeColor="text1"/>
          <w:szCs w:val="24"/>
        </w:rPr>
      </w:pPr>
    </w:p>
    <w:p w14:paraId="71B82559" w14:textId="77777777" w:rsidR="001F31F8" w:rsidRDefault="001F31F8" w:rsidP="00BF1158">
      <w:pPr>
        <w:spacing w:before="0" w:after="120"/>
        <w:rPr>
          <w:rFonts w:cs="Arial"/>
          <w:b/>
          <w:szCs w:val="24"/>
          <w:lang w:val="en"/>
        </w:rPr>
      </w:pPr>
    </w:p>
    <w:p w14:paraId="1F15F934" w14:textId="485B4D7A" w:rsidR="00BF1158" w:rsidRPr="00BF1158" w:rsidRDefault="00BF1158" w:rsidP="00BF1158">
      <w:pPr>
        <w:spacing w:before="0" w:after="120"/>
        <w:rPr>
          <w:rFonts w:cs="Arial"/>
          <w:b/>
          <w:szCs w:val="24"/>
          <w:lang w:val="en"/>
        </w:rPr>
      </w:pPr>
      <w:r w:rsidRPr="00BF1158">
        <w:rPr>
          <w:rFonts w:cs="Arial"/>
          <w:b/>
          <w:szCs w:val="24"/>
          <w:lang w:val="en"/>
        </w:rPr>
        <w:lastRenderedPageBreak/>
        <w:t xml:space="preserve">East Basildon PCN – Dr Ayub Khan  </w:t>
      </w:r>
    </w:p>
    <w:p w14:paraId="2905F039"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 xml:space="preserve">Dr Sims and Partners </w:t>
      </w:r>
    </w:p>
    <w:p w14:paraId="63DD7440"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Felmores Medical Centre</w:t>
      </w:r>
    </w:p>
    <w:p w14:paraId="41C1A845"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 xml:space="preserve">Aryan Medical Centre </w:t>
      </w:r>
    </w:p>
    <w:p w14:paraId="3D6143EC"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Matching Green Surgery</w:t>
      </w:r>
    </w:p>
    <w:p w14:paraId="57777AF1" w14:textId="77777777" w:rsidR="00BF1158" w:rsidRPr="00BF1158" w:rsidRDefault="00BF1158" w:rsidP="00BF1158">
      <w:pPr>
        <w:pStyle w:val="ListParagraph"/>
        <w:spacing w:before="0" w:after="0"/>
        <w:ind w:left="567"/>
        <w:jc w:val="both"/>
        <w:rPr>
          <w:rFonts w:cs="Arial"/>
          <w:color w:val="000000" w:themeColor="text1"/>
          <w:szCs w:val="24"/>
        </w:rPr>
      </w:pPr>
    </w:p>
    <w:p w14:paraId="1DB450F6" w14:textId="7BB15D02" w:rsidR="00BF1158" w:rsidRPr="00BF1158" w:rsidRDefault="00BF1158" w:rsidP="00BF1158">
      <w:pPr>
        <w:spacing w:before="0" w:after="120"/>
        <w:rPr>
          <w:rFonts w:cs="Arial"/>
          <w:b/>
          <w:szCs w:val="24"/>
          <w:lang w:val="en"/>
        </w:rPr>
      </w:pPr>
      <w:r w:rsidRPr="00BF1158">
        <w:rPr>
          <w:rFonts w:cs="Arial"/>
          <w:b/>
          <w:szCs w:val="24"/>
          <w:lang w:val="en"/>
        </w:rPr>
        <w:t xml:space="preserve">Brentwood PCN – Dr </w:t>
      </w:r>
      <w:r w:rsidR="00F45EBE">
        <w:rPr>
          <w:b/>
          <w:bCs/>
          <w:szCs w:val="24"/>
          <w:lang w:val="en"/>
        </w:rPr>
        <w:t>Sridhara Aravinda Guniyangodage</w:t>
      </w:r>
      <w:r w:rsidRPr="00BF1158">
        <w:rPr>
          <w:rFonts w:cs="Arial"/>
          <w:b/>
          <w:szCs w:val="24"/>
          <w:lang w:val="en"/>
        </w:rPr>
        <w:t xml:space="preserve"> </w:t>
      </w:r>
    </w:p>
    <w:p w14:paraId="2992A5F1"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Rockleigh Court Surgery</w:t>
      </w:r>
    </w:p>
    <w:p w14:paraId="79F4C758"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Deal Tree Health Centre</w:t>
      </w:r>
    </w:p>
    <w:p w14:paraId="3E906F08"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New Folly Surgery</w:t>
      </w:r>
    </w:p>
    <w:p w14:paraId="46006DAF"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Tile House Surgery</w:t>
      </w:r>
    </w:p>
    <w:p w14:paraId="197C9C02"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The Highwood Surgery</w:t>
      </w:r>
    </w:p>
    <w:p w14:paraId="5C79AC80"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Beechwood Surgery</w:t>
      </w:r>
    </w:p>
    <w:p w14:paraId="42DB980C"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The New Surgery (Brentwood)</w:t>
      </w:r>
    </w:p>
    <w:p w14:paraId="7D64CD43" w14:textId="77777777" w:rsidR="00BF1158" w:rsidRPr="00BF1158" w:rsidRDefault="00BF1158" w:rsidP="000D3041">
      <w:pPr>
        <w:pStyle w:val="ListParagraph"/>
        <w:numPr>
          <w:ilvl w:val="0"/>
          <w:numId w:val="6"/>
        </w:numPr>
        <w:spacing w:before="0" w:after="0"/>
        <w:ind w:left="567" w:hanging="567"/>
        <w:jc w:val="both"/>
        <w:rPr>
          <w:rFonts w:cs="Arial"/>
          <w:szCs w:val="24"/>
        </w:rPr>
      </w:pPr>
      <w:r w:rsidRPr="00BF1158">
        <w:rPr>
          <w:rFonts w:cs="Arial"/>
          <w:szCs w:val="24"/>
        </w:rPr>
        <w:t>Mount Avenue Surgery</w:t>
      </w:r>
    </w:p>
    <w:p w14:paraId="62F619F1" w14:textId="77777777" w:rsidR="00BF1158" w:rsidRPr="00BF1158" w:rsidRDefault="00BF1158" w:rsidP="00BF1158">
      <w:pPr>
        <w:spacing w:before="0" w:after="0"/>
        <w:rPr>
          <w:rFonts w:cs="Arial"/>
          <w:b/>
          <w:szCs w:val="24"/>
          <w:lang w:val="en"/>
        </w:rPr>
      </w:pPr>
    </w:p>
    <w:p w14:paraId="164E0D5E" w14:textId="77777777" w:rsidR="00BF1158" w:rsidRPr="00BF1158" w:rsidRDefault="00BF1158" w:rsidP="00BF1158">
      <w:pPr>
        <w:spacing w:before="0" w:after="120"/>
        <w:rPr>
          <w:rFonts w:cs="Arial"/>
          <w:b/>
          <w:szCs w:val="24"/>
          <w:lang w:val="en"/>
        </w:rPr>
      </w:pPr>
      <w:r w:rsidRPr="00BF1158">
        <w:rPr>
          <w:rFonts w:cs="Arial"/>
          <w:b/>
          <w:szCs w:val="24"/>
          <w:lang w:val="en"/>
        </w:rPr>
        <w:t xml:space="preserve">Billericay PCN – Dr Nimit Dabas </w:t>
      </w:r>
    </w:p>
    <w:p w14:paraId="4B638851"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Western Road Surgery</w:t>
      </w:r>
    </w:p>
    <w:p w14:paraId="44717BF8"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The Billericay Medical Practice</w:t>
      </w:r>
    </w:p>
    <w:p w14:paraId="50ADAC30"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Queens Park Surgery</w:t>
      </w:r>
    </w:p>
    <w:p w14:paraId="31B39823"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The New Surgery (Billericay)</w:t>
      </w:r>
    </w:p>
    <w:p w14:paraId="51E0435E"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Chapel Street Surgery</w:t>
      </w:r>
    </w:p>
    <w:p w14:paraId="1B2A0CD9" w14:textId="02A32AB0" w:rsidR="00BF1158" w:rsidRPr="00FF6356" w:rsidRDefault="00BF1158" w:rsidP="000D3041">
      <w:pPr>
        <w:pStyle w:val="ListParagraph"/>
        <w:numPr>
          <w:ilvl w:val="0"/>
          <w:numId w:val="6"/>
        </w:numPr>
        <w:spacing w:before="0" w:after="0"/>
        <w:ind w:left="567" w:hanging="567"/>
        <w:jc w:val="both"/>
        <w:rPr>
          <w:rFonts w:cs="Arial"/>
          <w:szCs w:val="24"/>
        </w:rPr>
      </w:pPr>
      <w:r w:rsidRPr="00BF1158">
        <w:rPr>
          <w:rFonts w:cs="Arial"/>
          <w:color w:val="000000" w:themeColor="text1"/>
          <w:szCs w:val="24"/>
        </w:rPr>
        <w:t>South Green Surgery</w:t>
      </w:r>
    </w:p>
    <w:p w14:paraId="6E7C4F0C" w14:textId="77777777" w:rsidR="00BF1158" w:rsidRPr="00BF1158" w:rsidRDefault="00BF1158" w:rsidP="00BF1158">
      <w:pPr>
        <w:pStyle w:val="ListParagraph"/>
        <w:spacing w:before="0" w:after="0"/>
        <w:ind w:left="567"/>
        <w:jc w:val="both"/>
        <w:rPr>
          <w:rFonts w:cs="Arial"/>
          <w:szCs w:val="24"/>
        </w:rPr>
      </w:pPr>
    </w:p>
    <w:p w14:paraId="49F5D59C" w14:textId="0E457F1C" w:rsidR="00BF1158" w:rsidRPr="00BF1158" w:rsidRDefault="00BF1158" w:rsidP="00BF1158">
      <w:pPr>
        <w:spacing w:before="0" w:after="120"/>
        <w:jc w:val="both"/>
        <w:rPr>
          <w:rFonts w:cs="Arial"/>
          <w:b/>
          <w:bCs/>
          <w:szCs w:val="24"/>
        </w:rPr>
      </w:pPr>
      <w:r w:rsidRPr="00BF1158">
        <w:rPr>
          <w:rFonts w:cs="Arial"/>
          <w:b/>
          <w:bCs/>
          <w:szCs w:val="24"/>
        </w:rPr>
        <w:t xml:space="preserve">Wickford PCN – Clinical Director Dr Margaret Odufuye </w:t>
      </w:r>
    </w:p>
    <w:p w14:paraId="77109AAF"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The Robert Frew Medical Centre</w:t>
      </w:r>
    </w:p>
    <w:p w14:paraId="530B23AF" w14:textId="77777777" w:rsidR="00BF1158" w:rsidRP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Swanwood Partnership</w:t>
      </w:r>
    </w:p>
    <w:p w14:paraId="6D64D101" w14:textId="373B92BC" w:rsidR="00BF1158" w:rsidRDefault="00BF1158" w:rsidP="000D3041">
      <w:pPr>
        <w:pStyle w:val="ListParagraph"/>
        <w:numPr>
          <w:ilvl w:val="0"/>
          <w:numId w:val="6"/>
        </w:numPr>
        <w:spacing w:before="0" w:after="0"/>
        <w:ind w:left="567" w:hanging="567"/>
        <w:jc w:val="both"/>
        <w:rPr>
          <w:rFonts w:cs="Arial"/>
          <w:color w:val="000000" w:themeColor="text1"/>
          <w:szCs w:val="24"/>
        </w:rPr>
      </w:pPr>
      <w:r w:rsidRPr="00BF1158">
        <w:rPr>
          <w:rFonts w:cs="Arial"/>
          <w:color w:val="000000" w:themeColor="text1"/>
          <w:szCs w:val="24"/>
        </w:rPr>
        <w:t>The London Road Surgery</w:t>
      </w:r>
    </w:p>
    <w:p w14:paraId="2CBCC91C" w14:textId="77777777" w:rsidR="00BF1158" w:rsidRPr="00B365E9" w:rsidRDefault="00BF1158" w:rsidP="00B365E9">
      <w:pPr>
        <w:spacing w:before="0" w:after="0"/>
        <w:jc w:val="both"/>
        <w:rPr>
          <w:rFonts w:cs="Arial"/>
          <w:color w:val="000000" w:themeColor="text1"/>
          <w:szCs w:val="24"/>
        </w:rPr>
      </w:pPr>
    </w:p>
    <w:p w14:paraId="4FB30ACC" w14:textId="303EDFD8" w:rsidR="00BF1158" w:rsidRPr="00BF1158" w:rsidRDefault="00EE5DE5" w:rsidP="00BF1158">
      <w:pPr>
        <w:spacing w:before="0" w:after="0"/>
        <w:rPr>
          <w:rFonts w:cs="Arial"/>
          <w:szCs w:val="24"/>
          <w:lang w:val="en"/>
        </w:rPr>
      </w:pPr>
      <w:r>
        <w:rPr>
          <w:rFonts w:cs="Arial"/>
          <w:szCs w:val="24"/>
          <w:lang w:val="en"/>
        </w:rPr>
        <w:t>This year has</w:t>
      </w:r>
      <w:r w:rsidR="00BF1158" w:rsidRPr="00BF1158">
        <w:rPr>
          <w:rFonts w:cs="Arial"/>
          <w:szCs w:val="24"/>
          <w:lang w:val="en"/>
        </w:rPr>
        <w:t xml:space="preserve"> continued to be a challenging year for primary care with the ongoing national lockdown/restrictions which has le</w:t>
      </w:r>
      <w:r w:rsidR="00674B6F">
        <w:rPr>
          <w:rFonts w:cs="Arial"/>
          <w:szCs w:val="24"/>
          <w:lang w:val="en"/>
        </w:rPr>
        <w:t>d</w:t>
      </w:r>
      <w:r w:rsidR="00BF1158" w:rsidRPr="00BF1158">
        <w:rPr>
          <w:rFonts w:cs="Arial"/>
          <w:szCs w:val="24"/>
          <w:lang w:val="en"/>
        </w:rPr>
        <w:t xml:space="preserve"> primary care to continue working in a whole new way</w:t>
      </w:r>
      <w:r>
        <w:rPr>
          <w:rFonts w:cs="Arial"/>
          <w:szCs w:val="24"/>
          <w:lang w:val="en"/>
        </w:rPr>
        <w:t>,</w:t>
      </w:r>
      <w:r w:rsidR="00BF1158" w:rsidRPr="00BF1158">
        <w:rPr>
          <w:rFonts w:cs="Arial"/>
          <w:szCs w:val="24"/>
          <w:lang w:val="en"/>
        </w:rPr>
        <w:t xml:space="preserve"> including telephone</w:t>
      </w:r>
      <w:r>
        <w:rPr>
          <w:rFonts w:cs="Arial"/>
          <w:szCs w:val="24"/>
          <w:lang w:val="en"/>
        </w:rPr>
        <w:t xml:space="preserve"> and </w:t>
      </w:r>
      <w:r w:rsidR="00BF1158" w:rsidRPr="00BF1158">
        <w:rPr>
          <w:rFonts w:cs="Arial"/>
          <w:szCs w:val="24"/>
          <w:lang w:val="en"/>
        </w:rPr>
        <w:t>video consultation service</w:t>
      </w:r>
      <w:r>
        <w:rPr>
          <w:rFonts w:cs="Arial"/>
          <w:szCs w:val="24"/>
          <w:lang w:val="en"/>
        </w:rPr>
        <w:t xml:space="preserve">s </w:t>
      </w:r>
      <w:r w:rsidR="00BF1158" w:rsidRPr="00BF1158">
        <w:rPr>
          <w:rFonts w:cs="Arial"/>
          <w:szCs w:val="24"/>
          <w:lang w:val="en"/>
        </w:rPr>
        <w:t xml:space="preserve">alongside face to face appointments.  All practices continue to offer online consultation services.  </w:t>
      </w:r>
    </w:p>
    <w:p w14:paraId="22B222A1" w14:textId="410A6064" w:rsidR="00BF1158" w:rsidRDefault="00BF1158" w:rsidP="00BF1158">
      <w:pPr>
        <w:spacing w:before="0" w:after="0"/>
        <w:rPr>
          <w:rFonts w:cs="Arial"/>
          <w:szCs w:val="24"/>
          <w:lang w:val="en"/>
        </w:rPr>
      </w:pPr>
      <w:r w:rsidRPr="00BF1158">
        <w:rPr>
          <w:rFonts w:cs="Arial"/>
          <w:szCs w:val="24"/>
          <w:lang w:val="en"/>
        </w:rPr>
        <w:t xml:space="preserve">The flu campaign which was delivered from each practice achieved above the target of 75% of patients over the age of 65.  </w:t>
      </w:r>
    </w:p>
    <w:p w14:paraId="4707419D" w14:textId="77777777" w:rsidR="00FF6356" w:rsidRPr="00BF1158" w:rsidRDefault="00FF6356" w:rsidP="00BF1158">
      <w:pPr>
        <w:spacing w:before="0" w:after="0"/>
        <w:rPr>
          <w:rFonts w:cs="Arial"/>
          <w:szCs w:val="24"/>
          <w:lang w:val="en"/>
        </w:rPr>
      </w:pPr>
    </w:p>
    <w:p w14:paraId="26E75142" w14:textId="107DD85B" w:rsidR="00BF1158" w:rsidRDefault="00BF1158" w:rsidP="00BF1158">
      <w:pPr>
        <w:spacing w:before="0" w:after="0"/>
        <w:rPr>
          <w:rFonts w:cs="Arial"/>
          <w:b/>
          <w:bCs/>
          <w:szCs w:val="24"/>
          <w:lang w:val="en"/>
        </w:rPr>
      </w:pPr>
      <w:r w:rsidRPr="00BF1158">
        <w:rPr>
          <w:rFonts w:cs="Arial"/>
          <w:b/>
          <w:bCs/>
          <w:szCs w:val="24"/>
          <w:lang w:val="en"/>
        </w:rPr>
        <w:t>Websites</w:t>
      </w:r>
    </w:p>
    <w:p w14:paraId="46E1E16B" w14:textId="77777777" w:rsidR="00BF1158" w:rsidRPr="00BF1158" w:rsidRDefault="00BF1158" w:rsidP="00BF1158">
      <w:pPr>
        <w:spacing w:before="0" w:after="0"/>
        <w:rPr>
          <w:rFonts w:cs="Arial"/>
          <w:b/>
          <w:bCs/>
          <w:szCs w:val="24"/>
          <w:lang w:val="en"/>
        </w:rPr>
      </w:pPr>
    </w:p>
    <w:p w14:paraId="052217E4" w14:textId="70011C99" w:rsidR="00BF1158" w:rsidRDefault="00BF1158" w:rsidP="00BF1158">
      <w:pPr>
        <w:spacing w:before="0" w:after="0"/>
        <w:rPr>
          <w:rFonts w:cs="Arial"/>
          <w:szCs w:val="24"/>
          <w:lang w:val="en"/>
        </w:rPr>
      </w:pPr>
      <w:r w:rsidRPr="00BF1158">
        <w:rPr>
          <w:rFonts w:cs="Arial"/>
          <w:szCs w:val="24"/>
          <w:lang w:val="en"/>
        </w:rPr>
        <w:t>This year has seen the development of the Primary Care Websites. Offering links to local support and advice</w:t>
      </w:r>
      <w:r w:rsidR="00A57F56">
        <w:rPr>
          <w:rFonts w:cs="Arial"/>
          <w:szCs w:val="24"/>
          <w:lang w:val="en"/>
        </w:rPr>
        <w:t xml:space="preserve"> on </w:t>
      </w:r>
      <w:r w:rsidRPr="00BF1158">
        <w:rPr>
          <w:rFonts w:cs="Arial"/>
          <w:szCs w:val="24"/>
          <w:lang w:val="en"/>
        </w:rPr>
        <w:t>health and care</w:t>
      </w:r>
      <w:r w:rsidR="00EE5DE5">
        <w:rPr>
          <w:rFonts w:cs="Arial"/>
          <w:szCs w:val="24"/>
          <w:lang w:val="en"/>
        </w:rPr>
        <w:t xml:space="preserve"> as follows:</w:t>
      </w:r>
      <w:r w:rsidRPr="00BF1158">
        <w:rPr>
          <w:rFonts w:cs="Arial"/>
          <w:szCs w:val="24"/>
          <w:lang w:val="en"/>
        </w:rPr>
        <w:t xml:space="preserve"> </w:t>
      </w:r>
    </w:p>
    <w:p w14:paraId="1325117E" w14:textId="62918ED9" w:rsidR="00BF1158" w:rsidRPr="00BF1158" w:rsidRDefault="00BF1158" w:rsidP="00BF1158">
      <w:pPr>
        <w:spacing w:before="0" w:after="0"/>
        <w:rPr>
          <w:rFonts w:cs="Arial"/>
          <w:szCs w:val="24"/>
          <w:lang w:val="en"/>
        </w:rPr>
      </w:pPr>
      <w:r w:rsidRPr="00BF1158">
        <w:rPr>
          <w:rFonts w:cs="Arial"/>
          <w:szCs w:val="24"/>
          <w:lang w:val="en"/>
        </w:rPr>
        <w:t xml:space="preserve"> </w:t>
      </w:r>
    </w:p>
    <w:p w14:paraId="101CD150" w14:textId="0AD15882" w:rsidR="00BF1158" w:rsidRPr="00BF1158" w:rsidRDefault="00846209" w:rsidP="00BF1158">
      <w:pPr>
        <w:spacing w:before="0" w:after="120"/>
        <w:rPr>
          <w:rFonts w:cs="Arial"/>
          <w:szCs w:val="24"/>
          <w:lang w:val="en"/>
        </w:rPr>
      </w:pPr>
      <w:hyperlink r:id="rId23" w:history="1">
        <w:r w:rsidR="00BF1158" w:rsidRPr="00BF1158">
          <w:rPr>
            <w:rStyle w:val="Hyperlink"/>
            <w:rFonts w:cs="Arial"/>
            <w:szCs w:val="24"/>
          </w:rPr>
          <w:t>East Basildon PCN (hyperlinks)</w:t>
        </w:r>
      </w:hyperlink>
      <w:r w:rsidR="00BF1158">
        <w:rPr>
          <w:rFonts w:cs="Arial"/>
          <w:szCs w:val="24"/>
        </w:rPr>
        <w:t xml:space="preserve"> </w:t>
      </w:r>
    </w:p>
    <w:p w14:paraId="3C96A8EE" w14:textId="7CF545A3" w:rsidR="00BF1158" w:rsidRPr="00BF1158" w:rsidRDefault="00846209" w:rsidP="00BF1158">
      <w:pPr>
        <w:spacing w:before="0" w:after="120"/>
        <w:rPr>
          <w:rFonts w:cs="Arial"/>
          <w:szCs w:val="24"/>
          <w:lang w:val="en"/>
        </w:rPr>
      </w:pPr>
      <w:hyperlink r:id="rId24" w:history="1">
        <w:r w:rsidR="00BF1158" w:rsidRPr="00BF1158">
          <w:rPr>
            <w:rStyle w:val="Hyperlink"/>
            <w:rFonts w:cs="Arial"/>
            <w:szCs w:val="24"/>
          </w:rPr>
          <w:t>West Basildon PCN (hyperlinks)</w:t>
        </w:r>
      </w:hyperlink>
      <w:r w:rsidR="00BF1158">
        <w:rPr>
          <w:rFonts w:cs="Arial"/>
          <w:szCs w:val="24"/>
        </w:rPr>
        <w:t xml:space="preserve"> </w:t>
      </w:r>
    </w:p>
    <w:p w14:paraId="7ADB7525" w14:textId="738C26EA" w:rsidR="00BF1158" w:rsidRPr="00BF1158" w:rsidRDefault="00846209" w:rsidP="00BF1158">
      <w:pPr>
        <w:spacing w:before="0" w:after="120"/>
        <w:rPr>
          <w:rFonts w:cs="Arial"/>
          <w:szCs w:val="24"/>
          <w:lang w:val="en"/>
        </w:rPr>
      </w:pPr>
      <w:hyperlink r:id="rId25" w:history="1">
        <w:r w:rsidR="00BF1158" w:rsidRPr="00BF1158">
          <w:rPr>
            <w:rStyle w:val="Hyperlink"/>
            <w:rFonts w:cs="Arial"/>
            <w:szCs w:val="24"/>
          </w:rPr>
          <w:t>Central Basildon PCN (hyperlinks)</w:t>
        </w:r>
      </w:hyperlink>
      <w:r w:rsidR="00BF1158">
        <w:rPr>
          <w:rFonts w:cs="Arial"/>
          <w:szCs w:val="24"/>
        </w:rPr>
        <w:t xml:space="preserve"> </w:t>
      </w:r>
    </w:p>
    <w:p w14:paraId="5029FF9B" w14:textId="639EA4E5" w:rsidR="00BF1158" w:rsidRPr="00BF1158" w:rsidRDefault="00846209" w:rsidP="00BF1158">
      <w:pPr>
        <w:spacing w:before="0" w:after="120"/>
        <w:rPr>
          <w:rFonts w:cs="Arial"/>
          <w:szCs w:val="24"/>
          <w:lang w:val="en"/>
        </w:rPr>
      </w:pPr>
      <w:hyperlink r:id="rId26" w:history="1">
        <w:r w:rsidR="00BF1158" w:rsidRPr="00BF1158">
          <w:rPr>
            <w:rStyle w:val="Hyperlink"/>
            <w:rFonts w:cs="Arial"/>
            <w:szCs w:val="24"/>
          </w:rPr>
          <w:t>Brentwood PCN (hyperlinks)</w:t>
        </w:r>
      </w:hyperlink>
      <w:r w:rsidR="00BF1158">
        <w:rPr>
          <w:rFonts w:cs="Arial"/>
          <w:szCs w:val="24"/>
        </w:rPr>
        <w:t xml:space="preserve"> </w:t>
      </w:r>
    </w:p>
    <w:p w14:paraId="763FBE30" w14:textId="0916BADB" w:rsidR="00BF1158" w:rsidRDefault="00846209" w:rsidP="00BF1158">
      <w:pPr>
        <w:spacing w:before="0" w:after="120"/>
        <w:rPr>
          <w:rStyle w:val="Hyperlink"/>
          <w:rFonts w:cs="Arial"/>
          <w:szCs w:val="24"/>
          <w:lang w:val="en"/>
        </w:rPr>
      </w:pPr>
      <w:hyperlink r:id="rId27" w:history="1">
        <w:r w:rsidR="00BF1158" w:rsidRPr="00BF1158">
          <w:rPr>
            <w:rStyle w:val="Hyperlink"/>
            <w:rFonts w:cs="Arial"/>
            <w:szCs w:val="24"/>
          </w:rPr>
          <w:t>Billericay PCN (hyperlinks)</w:t>
        </w:r>
      </w:hyperlink>
      <w:r w:rsidR="00BF1158">
        <w:rPr>
          <w:rFonts w:cs="Arial"/>
          <w:szCs w:val="24"/>
        </w:rPr>
        <w:t xml:space="preserve"> </w:t>
      </w:r>
    </w:p>
    <w:p w14:paraId="06703253" w14:textId="043111C9" w:rsidR="00BF1158" w:rsidRPr="00BF1158" w:rsidRDefault="00BF1158" w:rsidP="00FF6356">
      <w:pPr>
        <w:spacing w:before="120" w:after="120"/>
        <w:rPr>
          <w:rFonts w:cs="Arial"/>
          <w:b/>
          <w:bCs/>
          <w:szCs w:val="24"/>
          <w:lang w:val="en"/>
        </w:rPr>
      </w:pPr>
      <w:r w:rsidRPr="00BF1158">
        <w:rPr>
          <w:rFonts w:cs="Arial"/>
          <w:b/>
          <w:bCs/>
          <w:szCs w:val="24"/>
          <w:lang w:val="en"/>
        </w:rPr>
        <w:lastRenderedPageBreak/>
        <w:t>Shared Admin Hubs across PCN</w:t>
      </w:r>
      <w:r w:rsidR="00A57F56">
        <w:rPr>
          <w:rFonts w:cs="Arial"/>
          <w:b/>
          <w:bCs/>
          <w:szCs w:val="24"/>
          <w:lang w:val="en"/>
        </w:rPr>
        <w:t>s</w:t>
      </w:r>
    </w:p>
    <w:p w14:paraId="1947496F" w14:textId="04B76066" w:rsidR="00BF1158" w:rsidRDefault="00EE5DE5" w:rsidP="00BF1158">
      <w:pPr>
        <w:spacing w:before="0" w:after="0"/>
        <w:rPr>
          <w:rFonts w:cs="Arial"/>
          <w:szCs w:val="24"/>
        </w:rPr>
      </w:pPr>
      <w:r>
        <w:rPr>
          <w:rFonts w:cs="Arial"/>
          <w:szCs w:val="24"/>
        </w:rPr>
        <w:t>The</w:t>
      </w:r>
      <w:r w:rsidR="00BF1158" w:rsidRPr="00BF1158">
        <w:rPr>
          <w:rFonts w:cs="Arial"/>
          <w:szCs w:val="24"/>
        </w:rPr>
        <w:t xml:space="preserve"> introduction of SystmOne Hubs </w:t>
      </w:r>
      <w:r>
        <w:rPr>
          <w:rFonts w:cs="Arial"/>
          <w:szCs w:val="24"/>
        </w:rPr>
        <w:t>this year</w:t>
      </w:r>
      <w:r w:rsidR="00BF1158" w:rsidRPr="00BF1158">
        <w:rPr>
          <w:rFonts w:cs="Arial"/>
          <w:szCs w:val="24"/>
        </w:rPr>
        <w:t xml:space="preserve"> </w:t>
      </w:r>
      <w:r>
        <w:rPr>
          <w:rFonts w:cs="Arial"/>
          <w:szCs w:val="24"/>
        </w:rPr>
        <w:t>provided</w:t>
      </w:r>
      <w:r w:rsidR="00BF1158" w:rsidRPr="00BF1158">
        <w:rPr>
          <w:rFonts w:cs="Arial"/>
          <w:szCs w:val="24"/>
        </w:rPr>
        <w:t xml:space="preserve"> one login for all PCN related work. For example a PCN clinical pharmacist</w:t>
      </w:r>
      <w:r w:rsidR="00683C66">
        <w:rPr>
          <w:rFonts w:cs="Arial"/>
          <w:szCs w:val="24"/>
        </w:rPr>
        <w:t>,</w:t>
      </w:r>
      <w:r w:rsidR="00BF1158" w:rsidRPr="00BF1158">
        <w:rPr>
          <w:rFonts w:cs="Arial"/>
          <w:szCs w:val="24"/>
        </w:rPr>
        <w:t xml:space="preserve"> that </w:t>
      </w:r>
      <w:r w:rsidR="00683C66">
        <w:rPr>
          <w:rFonts w:cs="Arial"/>
          <w:szCs w:val="24"/>
        </w:rPr>
        <w:t xml:space="preserve">previously </w:t>
      </w:r>
      <w:r w:rsidR="00BF1158" w:rsidRPr="00BF1158">
        <w:rPr>
          <w:rFonts w:cs="Arial"/>
          <w:szCs w:val="24"/>
        </w:rPr>
        <w:t>ha</w:t>
      </w:r>
      <w:r w:rsidR="00683C66">
        <w:rPr>
          <w:rFonts w:cs="Arial"/>
          <w:szCs w:val="24"/>
        </w:rPr>
        <w:t>d</w:t>
      </w:r>
      <w:r w:rsidR="00BF1158" w:rsidRPr="00BF1158">
        <w:rPr>
          <w:rFonts w:cs="Arial"/>
          <w:szCs w:val="24"/>
        </w:rPr>
        <w:t xml:space="preserve"> to log into each individual practice to access patient records, would only </w:t>
      </w:r>
      <w:r>
        <w:rPr>
          <w:rFonts w:cs="Arial"/>
          <w:szCs w:val="24"/>
        </w:rPr>
        <w:t>need</w:t>
      </w:r>
      <w:r w:rsidR="00BF1158" w:rsidRPr="00BF1158">
        <w:rPr>
          <w:rFonts w:cs="Arial"/>
          <w:szCs w:val="24"/>
        </w:rPr>
        <w:t xml:space="preserve"> to log into the hub to enable the clinical pharmacist access</w:t>
      </w:r>
      <w:r>
        <w:rPr>
          <w:rFonts w:cs="Arial"/>
          <w:szCs w:val="24"/>
        </w:rPr>
        <w:t xml:space="preserve"> to </w:t>
      </w:r>
      <w:r w:rsidR="00BF1158" w:rsidRPr="00BF1158">
        <w:rPr>
          <w:rFonts w:cs="Arial"/>
          <w:szCs w:val="24"/>
        </w:rPr>
        <w:t>read</w:t>
      </w:r>
      <w:r>
        <w:rPr>
          <w:rFonts w:cs="Arial"/>
          <w:szCs w:val="24"/>
        </w:rPr>
        <w:t xml:space="preserve"> and update</w:t>
      </w:r>
      <w:r w:rsidR="00BF1158" w:rsidRPr="00BF1158">
        <w:rPr>
          <w:rFonts w:cs="Arial"/>
          <w:szCs w:val="24"/>
        </w:rPr>
        <w:t xml:space="preserve"> all patient</w:t>
      </w:r>
      <w:r>
        <w:rPr>
          <w:rFonts w:cs="Arial"/>
          <w:szCs w:val="24"/>
        </w:rPr>
        <w:t xml:space="preserve"> records</w:t>
      </w:r>
      <w:r w:rsidR="00BF1158" w:rsidRPr="00BF1158">
        <w:rPr>
          <w:rFonts w:cs="Arial"/>
          <w:szCs w:val="24"/>
        </w:rPr>
        <w:t xml:space="preserve"> from member practices.  Reporting can also be run at PCN level. PCN role rotas can be shared with all practices, either by sharing the PCN unit rota to all practice units or remote booking.  This is possible by each member practice sharing with the PCN unit.  </w:t>
      </w:r>
    </w:p>
    <w:p w14:paraId="5ED8F267" w14:textId="316E6659" w:rsidR="00BF1158" w:rsidRPr="00BF1158" w:rsidRDefault="00BF1158" w:rsidP="00524ADA">
      <w:pPr>
        <w:rPr>
          <w:rFonts w:cs="Arial"/>
          <w:b/>
          <w:szCs w:val="24"/>
          <w:lang w:val="en"/>
        </w:rPr>
      </w:pPr>
      <w:r w:rsidRPr="00BF1158">
        <w:rPr>
          <w:rFonts w:cs="Arial"/>
          <w:b/>
          <w:szCs w:val="24"/>
          <w:lang w:val="en"/>
        </w:rPr>
        <w:t>Po</w:t>
      </w:r>
      <w:r w:rsidR="001F31F8">
        <w:rPr>
          <w:rFonts w:cs="Arial"/>
          <w:b/>
          <w:szCs w:val="24"/>
          <w:lang w:val="en"/>
        </w:rPr>
        <w:t>p</w:t>
      </w:r>
      <w:r w:rsidRPr="00BF1158">
        <w:rPr>
          <w:rFonts w:cs="Arial"/>
          <w:b/>
          <w:szCs w:val="24"/>
          <w:lang w:val="en"/>
        </w:rPr>
        <w:t xml:space="preserve">ulation Health Management </w:t>
      </w:r>
    </w:p>
    <w:p w14:paraId="43D83368" w14:textId="76642633" w:rsidR="00BF1158" w:rsidRPr="00BF1158" w:rsidRDefault="00BF1158" w:rsidP="00BF1158">
      <w:pPr>
        <w:spacing w:before="0" w:after="0"/>
        <w:rPr>
          <w:rFonts w:cs="Arial"/>
          <w:b/>
          <w:szCs w:val="24"/>
          <w:lang w:val="en"/>
        </w:rPr>
      </w:pPr>
      <w:r w:rsidRPr="00BF1158">
        <w:rPr>
          <w:rFonts w:cs="Arial"/>
          <w:szCs w:val="24"/>
        </w:rPr>
        <w:t xml:space="preserve">East Basildon PCN have signed up </w:t>
      </w:r>
      <w:r w:rsidR="00A57F56">
        <w:rPr>
          <w:rFonts w:cs="Arial"/>
          <w:szCs w:val="24"/>
        </w:rPr>
        <w:t>to support</w:t>
      </w:r>
      <w:r w:rsidR="00A57F56" w:rsidRPr="00BF1158">
        <w:rPr>
          <w:rFonts w:cs="Arial"/>
          <w:szCs w:val="24"/>
        </w:rPr>
        <w:t xml:space="preserve"> changes to integrated care delivery</w:t>
      </w:r>
      <w:r w:rsidR="00A57F56">
        <w:rPr>
          <w:rFonts w:cs="Arial"/>
          <w:szCs w:val="24"/>
        </w:rPr>
        <w:t>,</w:t>
      </w:r>
      <w:r w:rsidR="00A57F56" w:rsidRPr="00BF1158">
        <w:rPr>
          <w:rFonts w:cs="Arial"/>
          <w:szCs w:val="24"/>
        </w:rPr>
        <w:t xml:space="preserve"> advance the system’s infrastructure and build sustainable capability across all tiers of the system.  </w:t>
      </w:r>
      <w:r w:rsidR="00A57F56">
        <w:rPr>
          <w:rFonts w:cs="Arial"/>
          <w:szCs w:val="24"/>
        </w:rPr>
        <w:t>P</w:t>
      </w:r>
      <w:r w:rsidRPr="00BF1158">
        <w:rPr>
          <w:rFonts w:cs="Arial"/>
          <w:szCs w:val="24"/>
        </w:rPr>
        <w:t xml:space="preserve">atient letters are going out inviting an initial dialogue with social prescribers.  West Basildon </w:t>
      </w:r>
      <w:r w:rsidR="00A57F56">
        <w:rPr>
          <w:rFonts w:cs="Arial"/>
          <w:szCs w:val="24"/>
        </w:rPr>
        <w:t xml:space="preserve">PCT are </w:t>
      </w:r>
      <w:r w:rsidRPr="00BF1158">
        <w:rPr>
          <w:rFonts w:cs="Arial"/>
          <w:szCs w:val="24"/>
        </w:rPr>
        <w:t xml:space="preserve">on the cusp of agreeing cohort.  </w:t>
      </w:r>
    </w:p>
    <w:p w14:paraId="1D37597A" w14:textId="4AA528B8" w:rsidR="00BF1158" w:rsidRPr="00BF1158" w:rsidRDefault="00BF1158" w:rsidP="00524ADA">
      <w:pPr>
        <w:rPr>
          <w:rFonts w:cs="Arial"/>
          <w:b/>
          <w:szCs w:val="24"/>
          <w:lang w:val="en"/>
        </w:rPr>
      </w:pPr>
      <w:r w:rsidRPr="00BF1158">
        <w:rPr>
          <w:rFonts w:cs="Arial"/>
          <w:b/>
          <w:szCs w:val="24"/>
          <w:lang w:val="en"/>
        </w:rPr>
        <w:t>C</w:t>
      </w:r>
      <w:r w:rsidR="00FF6356">
        <w:rPr>
          <w:rFonts w:cs="Arial"/>
          <w:b/>
          <w:szCs w:val="24"/>
          <w:lang w:val="en"/>
        </w:rPr>
        <w:t>ovid</w:t>
      </w:r>
      <w:r w:rsidRPr="00BF1158">
        <w:rPr>
          <w:rFonts w:cs="Arial"/>
          <w:b/>
          <w:szCs w:val="24"/>
          <w:lang w:val="en"/>
        </w:rPr>
        <w:t xml:space="preserve">-19 vaccinations </w:t>
      </w:r>
    </w:p>
    <w:p w14:paraId="6F706C4B" w14:textId="259354D5" w:rsidR="00BF1158" w:rsidRPr="00BF1158" w:rsidRDefault="00BF1158" w:rsidP="00BF1158">
      <w:pPr>
        <w:spacing w:before="0" w:after="0"/>
        <w:rPr>
          <w:rFonts w:cs="Arial"/>
          <w:szCs w:val="24"/>
          <w:lang w:val="en"/>
        </w:rPr>
      </w:pPr>
      <w:r w:rsidRPr="00BF1158">
        <w:rPr>
          <w:rFonts w:cs="Arial"/>
          <w:szCs w:val="24"/>
          <w:lang w:val="en"/>
        </w:rPr>
        <w:t xml:space="preserve">The Primary Care Networks working alongside providers BB </w:t>
      </w:r>
      <w:r w:rsidR="00B447C7">
        <w:rPr>
          <w:rFonts w:cs="Arial"/>
          <w:szCs w:val="24"/>
          <w:lang w:val="en"/>
        </w:rPr>
        <w:t>H</w:t>
      </w:r>
      <w:r w:rsidRPr="00BF1158">
        <w:rPr>
          <w:rFonts w:cs="Arial"/>
          <w:szCs w:val="24"/>
          <w:lang w:val="en"/>
        </w:rPr>
        <w:t xml:space="preserve">ealthcare and ACE Ltd have continued to offer the covid vaccination programme to all eligible patients.  This has been challenging </w:t>
      </w:r>
      <w:r w:rsidR="00B447C7">
        <w:rPr>
          <w:rFonts w:cs="Arial"/>
          <w:szCs w:val="24"/>
          <w:lang w:val="en"/>
        </w:rPr>
        <w:t xml:space="preserve">with regard to </w:t>
      </w:r>
      <w:r w:rsidRPr="00BF1158">
        <w:rPr>
          <w:rFonts w:cs="Arial"/>
          <w:szCs w:val="24"/>
          <w:lang w:val="en"/>
        </w:rPr>
        <w:t>maintaining workforce who are also working in General Practice</w:t>
      </w:r>
      <w:r w:rsidR="00B447C7">
        <w:rPr>
          <w:rFonts w:cs="Arial"/>
          <w:szCs w:val="24"/>
          <w:lang w:val="en"/>
        </w:rPr>
        <w:t>.  W</w:t>
      </w:r>
      <w:r w:rsidRPr="00BF1158">
        <w:rPr>
          <w:rFonts w:cs="Arial"/>
          <w:szCs w:val="24"/>
          <w:lang w:val="en"/>
        </w:rPr>
        <w:t xml:space="preserve">eekend and evening clinics have been opened to enable primary care staff to do both.  </w:t>
      </w:r>
      <w:r w:rsidR="00C9506B">
        <w:rPr>
          <w:rFonts w:cs="Arial"/>
          <w:szCs w:val="24"/>
          <w:lang w:val="en"/>
        </w:rPr>
        <w:t>In the first quarter 2022/23</w:t>
      </w:r>
      <w:r w:rsidRPr="00BF1158">
        <w:rPr>
          <w:rFonts w:cs="Arial"/>
          <w:szCs w:val="24"/>
          <w:lang w:val="en"/>
        </w:rPr>
        <w:t xml:space="preserve"> the vaccination centres are focusing on the 5 – 11 at risk age group and for any patients who have yet to receive a vaccine or want a booster.  Uptake currently stands at approximately 80% across the CCG with a lower uptake in more deprived areas of Basildon.  </w:t>
      </w:r>
    </w:p>
    <w:p w14:paraId="1BD066FF" w14:textId="77777777" w:rsidR="00BF1158" w:rsidRPr="00BF1158" w:rsidRDefault="00BF1158" w:rsidP="00524ADA">
      <w:pPr>
        <w:rPr>
          <w:rFonts w:cs="Arial"/>
          <w:b/>
          <w:bCs/>
          <w:szCs w:val="24"/>
          <w:lang w:val="en"/>
        </w:rPr>
      </w:pPr>
      <w:r w:rsidRPr="00BF1158">
        <w:rPr>
          <w:rFonts w:cs="Arial"/>
          <w:b/>
          <w:bCs/>
          <w:szCs w:val="24"/>
          <w:lang w:val="en"/>
        </w:rPr>
        <w:t xml:space="preserve">Investment and Impact Fund (IIF) </w:t>
      </w:r>
    </w:p>
    <w:p w14:paraId="250C09DF" w14:textId="7319132E" w:rsidR="00BF1158" w:rsidRPr="00BF1158" w:rsidRDefault="00BF1158" w:rsidP="00B447C7">
      <w:pPr>
        <w:spacing w:before="0" w:after="120"/>
        <w:rPr>
          <w:rFonts w:cs="Arial"/>
          <w:szCs w:val="24"/>
          <w:lang w:val="en"/>
        </w:rPr>
      </w:pPr>
      <w:r w:rsidRPr="00BF1158">
        <w:rPr>
          <w:rFonts w:cs="Arial"/>
          <w:szCs w:val="24"/>
          <w:lang w:val="en"/>
        </w:rPr>
        <w:t xml:space="preserve">All PCNs and their member practices are signed up </w:t>
      </w:r>
      <w:r w:rsidR="00B447C7">
        <w:rPr>
          <w:rFonts w:cs="Arial"/>
          <w:szCs w:val="24"/>
          <w:lang w:val="en"/>
        </w:rPr>
        <w:t xml:space="preserve">to IIF </w:t>
      </w:r>
      <w:r w:rsidRPr="00BF1158">
        <w:rPr>
          <w:rFonts w:cs="Arial"/>
          <w:szCs w:val="24"/>
          <w:lang w:val="en"/>
        </w:rPr>
        <w:t>and continue to work on:</w:t>
      </w:r>
    </w:p>
    <w:p w14:paraId="59E3838E" w14:textId="77777777" w:rsidR="00BF1158" w:rsidRPr="00BF1158" w:rsidRDefault="00BF1158" w:rsidP="00524ADA">
      <w:pPr>
        <w:pStyle w:val="ListParagraph"/>
        <w:numPr>
          <w:ilvl w:val="0"/>
          <w:numId w:val="8"/>
        </w:numPr>
        <w:spacing w:before="0" w:after="0" w:line="360" w:lineRule="auto"/>
        <w:rPr>
          <w:rFonts w:cs="Arial"/>
          <w:szCs w:val="24"/>
          <w:lang w:val="en"/>
        </w:rPr>
      </w:pPr>
      <w:r w:rsidRPr="00BF1158">
        <w:rPr>
          <w:rFonts w:cs="Arial"/>
          <w:szCs w:val="24"/>
          <w:lang w:val="en"/>
        </w:rPr>
        <w:t xml:space="preserve">Prevention and tackling health inequalities – vaccinations remain top priority </w:t>
      </w:r>
    </w:p>
    <w:p w14:paraId="083ACCBC" w14:textId="77777777" w:rsidR="00BF1158" w:rsidRPr="00BF1158" w:rsidRDefault="00BF1158" w:rsidP="00524ADA">
      <w:pPr>
        <w:pStyle w:val="ListParagraph"/>
        <w:numPr>
          <w:ilvl w:val="0"/>
          <w:numId w:val="8"/>
        </w:numPr>
        <w:spacing w:before="0" w:after="0" w:line="360" w:lineRule="auto"/>
        <w:rPr>
          <w:rFonts w:cs="Arial"/>
          <w:szCs w:val="24"/>
          <w:lang w:val="en"/>
        </w:rPr>
      </w:pPr>
      <w:r w:rsidRPr="00BF1158">
        <w:rPr>
          <w:rFonts w:cs="Arial"/>
          <w:szCs w:val="24"/>
          <w:lang w:val="en"/>
        </w:rPr>
        <w:t xml:space="preserve">Enhanced health in care homes </w:t>
      </w:r>
    </w:p>
    <w:p w14:paraId="52CCFC39" w14:textId="77777777" w:rsidR="00BF1158" w:rsidRPr="00BF1158" w:rsidRDefault="00BF1158" w:rsidP="00524ADA">
      <w:pPr>
        <w:pStyle w:val="ListParagraph"/>
        <w:numPr>
          <w:ilvl w:val="0"/>
          <w:numId w:val="8"/>
        </w:numPr>
        <w:spacing w:before="0" w:after="0" w:line="360" w:lineRule="auto"/>
        <w:rPr>
          <w:rFonts w:cs="Arial"/>
          <w:szCs w:val="24"/>
          <w:lang w:val="en"/>
        </w:rPr>
      </w:pPr>
      <w:r w:rsidRPr="00BF1158">
        <w:rPr>
          <w:rFonts w:cs="Arial"/>
          <w:szCs w:val="24"/>
          <w:lang w:val="en"/>
        </w:rPr>
        <w:t xml:space="preserve">Access – all practices have mapped all appointments </w:t>
      </w:r>
    </w:p>
    <w:p w14:paraId="1CF4EBD4" w14:textId="77777777" w:rsidR="00BF1158" w:rsidRPr="00BF1158" w:rsidRDefault="00BF1158" w:rsidP="00524ADA">
      <w:pPr>
        <w:pStyle w:val="ListParagraph"/>
        <w:numPr>
          <w:ilvl w:val="0"/>
          <w:numId w:val="8"/>
        </w:numPr>
        <w:spacing w:before="0" w:after="0" w:line="360" w:lineRule="auto"/>
        <w:rPr>
          <w:rFonts w:cs="Arial"/>
          <w:szCs w:val="24"/>
          <w:lang w:val="en"/>
        </w:rPr>
      </w:pPr>
      <w:r w:rsidRPr="00BF1158">
        <w:rPr>
          <w:rFonts w:cs="Arial"/>
          <w:szCs w:val="24"/>
          <w:lang w:val="en"/>
        </w:rPr>
        <w:t xml:space="preserve">Providing high quality care </w:t>
      </w:r>
    </w:p>
    <w:p w14:paraId="2705C491" w14:textId="5145F1E3" w:rsidR="00BF1158" w:rsidRPr="00BF1158" w:rsidRDefault="00BF1158" w:rsidP="00524ADA">
      <w:pPr>
        <w:rPr>
          <w:rFonts w:cs="Arial"/>
          <w:b/>
          <w:szCs w:val="24"/>
        </w:rPr>
      </w:pPr>
      <w:r w:rsidRPr="00BF1158">
        <w:rPr>
          <w:rFonts w:cs="Arial"/>
          <w:b/>
          <w:szCs w:val="24"/>
        </w:rPr>
        <w:t>Partnership working</w:t>
      </w:r>
    </w:p>
    <w:p w14:paraId="2352B32A" w14:textId="37DE657B" w:rsidR="00BF1158" w:rsidRPr="00BF1158" w:rsidRDefault="00BF1158" w:rsidP="00BF1158">
      <w:pPr>
        <w:spacing w:before="0" w:after="0"/>
        <w:rPr>
          <w:rFonts w:cs="Arial"/>
          <w:szCs w:val="24"/>
        </w:rPr>
      </w:pPr>
      <w:r w:rsidRPr="00BF1158">
        <w:rPr>
          <w:rFonts w:cs="Arial"/>
          <w:szCs w:val="24"/>
        </w:rPr>
        <w:t>The member practices within each PCN have continued to work together in identifying opportunities for greater collaboration, both between themselves and with other key local providers – e.g. community health and care teams.  They have also expanded both the size of their PCN teams, and the range of professionals that make up these teams, through utili</w:t>
      </w:r>
      <w:r w:rsidR="00B447C7">
        <w:rPr>
          <w:rFonts w:cs="Arial"/>
          <w:szCs w:val="24"/>
        </w:rPr>
        <w:t>s</w:t>
      </w:r>
      <w:r w:rsidRPr="00BF1158">
        <w:rPr>
          <w:rFonts w:cs="Arial"/>
          <w:szCs w:val="24"/>
        </w:rPr>
        <w:t xml:space="preserve">ation </w:t>
      </w:r>
      <w:r w:rsidR="00B447C7">
        <w:rPr>
          <w:rFonts w:cs="Arial"/>
          <w:szCs w:val="24"/>
        </w:rPr>
        <w:t xml:space="preserve">of </w:t>
      </w:r>
      <w:r w:rsidRPr="00BF1158">
        <w:rPr>
          <w:rFonts w:cs="Arial"/>
          <w:szCs w:val="24"/>
        </w:rPr>
        <w:t xml:space="preserve">the Additional Roles Reimbursement Scheme. </w:t>
      </w:r>
    </w:p>
    <w:p w14:paraId="36B0067C" w14:textId="77777777" w:rsidR="00BF1158" w:rsidRPr="00BF1158" w:rsidRDefault="00BF1158" w:rsidP="00BF1158">
      <w:pPr>
        <w:spacing w:before="0" w:after="0"/>
        <w:rPr>
          <w:rFonts w:cs="Arial"/>
          <w:szCs w:val="24"/>
        </w:rPr>
      </w:pPr>
    </w:p>
    <w:p w14:paraId="19F58DAE" w14:textId="3821D007" w:rsidR="00BF1158" w:rsidRPr="00BF1158" w:rsidRDefault="00BF1158" w:rsidP="00BF1158">
      <w:pPr>
        <w:spacing w:before="0" w:after="0"/>
        <w:rPr>
          <w:rFonts w:cs="Arial"/>
          <w:szCs w:val="24"/>
        </w:rPr>
      </w:pPr>
      <w:r w:rsidRPr="00BF1158">
        <w:rPr>
          <w:rFonts w:cs="Arial"/>
          <w:szCs w:val="24"/>
        </w:rPr>
        <w:t>Whilst it is recogni</w:t>
      </w:r>
      <w:r w:rsidR="00B447C7">
        <w:rPr>
          <w:rFonts w:cs="Arial"/>
          <w:szCs w:val="24"/>
        </w:rPr>
        <w:t>s</w:t>
      </w:r>
      <w:r w:rsidRPr="00BF1158">
        <w:rPr>
          <w:rFonts w:cs="Arial"/>
          <w:szCs w:val="24"/>
        </w:rPr>
        <w:t xml:space="preserve">ed that there remains considerable scope for the PCNs to further develop their models of collaborative partnership working and effective expansion in shared workforce, the work undertaken by PCNs over the previous year will provide a strong basis for maximising the available opportunities.  </w:t>
      </w:r>
    </w:p>
    <w:p w14:paraId="7E655460" w14:textId="6C26FF20" w:rsidR="00780EF0" w:rsidRPr="00FF0E5D" w:rsidRDefault="00F90D7E" w:rsidP="00FF0E5D">
      <w:pPr>
        <w:pStyle w:val="Heading3"/>
      </w:pPr>
      <w:bookmarkStart w:id="111" w:name="_Toc94188189"/>
      <w:bookmarkStart w:id="112" w:name="_Toc97218341"/>
      <w:bookmarkStart w:id="113" w:name="_Toc107389458"/>
      <w:bookmarkEnd w:id="110"/>
      <w:r w:rsidRPr="00FF0E5D">
        <w:lastRenderedPageBreak/>
        <w:t>Committees, including Audit Committee</w:t>
      </w:r>
      <w:bookmarkEnd w:id="111"/>
      <w:bookmarkEnd w:id="112"/>
      <w:bookmarkEnd w:id="113"/>
    </w:p>
    <w:p w14:paraId="2507B54C" w14:textId="33C2FAA1" w:rsidR="00872CC0" w:rsidRPr="00B070DF" w:rsidRDefault="00780EF0" w:rsidP="00BC3673">
      <w:pPr>
        <w:spacing w:before="120" w:after="360"/>
        <w:rPr>
          <w:rFonts w:cs="Arial"/>
          <w:szCs w:val="24"/>
        </w:rPr>
      </w:pPr>
      <w:r w:rsidRPr="00B070DF">
        <w:rPr>
          <w:rFonts w:cs="Arial"/>
          <w:szCs w:val="24"/>
        </w:rPr>
        <w:t xml:space="preserve">To support the board (the governing body) in carrying out its duties effectively, committees reporting to the board are formally established. The remit and terms of reference of these committees have been reviewed during the year to ensure robust governance and assurance. </w:t>
      </w:r>
      <w:r w:rsidR="00BA5270" w:rsidRPr="00B070DF">
        <w:rPr>
          <w:rFonts w:cs="Arial"/>
          <w:szCs w:val="24"/>
        </w:rPr>
        <w:t xml:space="preserve">All main </w:t>
      </w:r>
      <w:r w:rsidR="0037626B" w:rsidRPr="00B070DF">
        <w:rPr>
          <w:rFonts w:cs="Arial"/>
          <w:szCs w:val="24"/>
        </w:rPr>
        <w:t xml:space="preserve"> </w:t>
      </w:r>
      <w:r w:rsidR="00BA5270" w:rsidRPr="00B070DF">
        <w:rPr>
          <w:rFonts w:cs="Arial"/>
          <w:szCs w:val="24"/>
        </w:rPr>
        <w:t xml:space="preserve">committees are meeting ‘in common’ with partner MSE CCGs with the one exception being the Clinical Executive Group. </w:t>
      </w:r>
      <w:r w:rsidRPr="00B070DF">
        <w:rPr>
          <w:rFonts w:cs="Arial"/>
          <w:szCs w:val="24"/>
        </w:rPr>
        <w:t xml:space="preserve">Each committee </w:t>
      </w:r>
      <w:r w:rsidR="00BA5270" w:rsidRPr="00B070DF">
        <w:rPr>
          <w:rFonts w:cs="Arial"/>
          <w:szCs w:val="24"/>
        </w:rPr>
        <w:t xml:space="preserve">reports </w:t>
      </w:r>
      <w:r w:rsidRPr="00B070DF">
        <w:rPr>
          <w:rFonts w:cs="Arial"/>
          <w:szCs w:val="24"/>
        </w:rPr>
        <w:t>its minutes to the board</w:t>
      </w:r>
      <w:r w:rsidR="00D304A4" w:rsidRPr="00B070DF">
        <w:rPr>
          <w:rFonts w:cs="Arial"/>
          <w:szCs w:val="24"/>
        </w:rPr>
        <w:t xml:space="preserve">.   </w:t>
      </w:r>
    </w:p>
    <w:p w14:paraId="62BF4360" w14:textId="2C8E8ED5" w:rsidR="00780EF0" w:rsidRPr="009A77A0" w:rsidRDefault="00780EF0" w:rsidP="00BC3673">
      <w:pPr>
        <w:spacing w:after="120" w:line="276" w:lineRule="auto"/>
        <w:rPr>
          <w:b/>
          <w:bCs/>
          <w:lang w:val="en"/>
        </w:rPr>
      </w:pPr>
      <w:r w:rsidRPr="009A77A0">
        <w:rPr>
          <w:b/>
          <w:bCs/>
          <w:lang w:val="en"/>
        </w:rPr>
        <w:t>Committee terms of reference</w:t>
      </w:r>
    </w:p>
    <w:p w14:paraId="14CE51C0" w14:textId="4A22E387" w:rsidR="00B070DF" w:rsidRPr="00B070DF" w:rsidRDefault="00780EF0" w:rsidP="00872CC0">
      <w:pPr>
        <w:spacing w:before="120" w:after="360"/>
        <w:rPr>
          <w:rFonts w:eastAsia="Calibri"/>
          <w:lang w:val="en"/>
        </w:rPr>
      </w:pPr>
      <w:r w:rsidRPr="007830C3">
        <w:rPr>
          <w:rFonts w:eastAsia="Calibri"/>
          <w:lang w:val="en"/>
        </w:rPr>
        <w:t xml:space="preserve">The terms of reference for the committees of the CCG can be found </w:t>
      </w:r>
      <w:r w:rsidR="0001780F" w:rsidRPr="007830C3">
        <w:rPr>
          <w:rFonts w:eastAsia="Calibri"/>
          <w:lang w:val="en"/>
        </w:rPr>
        <w:t xml:space="preserve">on the CCG website </w:t>
      </w:r>
      <w:hyperlink r:id="rId28" w:history="1">
        <w:r w:rsidR="0001780F" w:rsidRPr="004B0989">
          <w:rPr>
            <w:rStyle w:val="Hyperlink"/>
            <w:rFonts w:eastAsia="Calibri"/>
            <w:lang w:val="en"/>
          </w:rPr>
          <w:t>Terms of Reference (hyperlinks)</w:t>
        </w:r>
      </w:hyperlink>
      <w:r w:rsidRPr="007830C3">
        <w:rPr>
          <w:rFonts w:eastAsia="Calibri"/>
          <w:lang w:val="en"/>
        </w:rPr>
        <w:t xml:space="preserve"> </w:t>
      </w:r>
    </w:p>
    <w:p w14:paraId="6D8C136A" w14:textId="7FBD9A03" w:rsidR="004B0989" w:rsidRDefault="004B0989" w:rsidP="00BC3673">
      <w:pPr>
        <w:spacing w:after="120"/>
        <w:rPr>
          <w:rFonts w:eastAsia="Arial"/>
          <w:b/>
          <w:bCs/>
          <w:spacing w:val="1"/>
          <w:position w:val="-1"/>
        </w:rPr>
      </w:pPr>
      <w:r>
        <w:rPr>
          <w:rFonts w:eastAsia="Arial"/>
          <w:b/>
          <w:bCs/>
          <w:spacing w:val="1"/>
          <w:position w:val="-1"/>
        </w:rPr>
        <w:t>Governing Board (the Board)</w:t>
      </w:r>
    </w:p>
    <w:p w14:paraId="030F244E" w14:textId="77777777" w:rsidR="004B0989" w:rsidRDefault="004B0989" w:rsidP="00BC3673">
      <w:pPr>
        <w:pStyle w:val="BodyText"/>
        <w:kinsoku w:val="0"/>
        <w:overflowPunct w:val="0"/>
        <w:ind w:right="213"/>
        <w:rPr>
          <w:spacing w:val="-1"/>
        </w:rPr>
      </w:pPr>
      <w:r>
        <w:t>The</w:t>
      </w:r>
      <w:r>
        <w:rPr>
          <w:spacing w:val="1"/>
        </w:rPr>
        <w:t xml:space="preserve"> </w:t>
      </w:r>
      <w:r>
        <w:rPr>
          <w:spacing w:val="-1"/>
        </w:rPr>
        <w:t>CCG’s</w:t>
      </w:r>
      <w:r>
        <w:t xml:space="preserve"> </w:t>
      </w:r>
      <w:r>
        <w:rPr>
          <w:spacing w:val="-1"/>
        </w:rPr>
        <w:t>constitution</w:t>
      </w:r>
      <w:r>
        <w:rPr>
          <w:spacing w:val="1"/>
        </w:rPr>
        <w:t xml:space="preserve"> </w:t>
      </w:r>
      <w:r>
        <w:t>sets</w:t>
      </w:r>
      <w:r>
        <w:rPr>
          <w:spacing w:val="-2"/>
        </w:rPr>
        <w:t xml:space="preserve"> </w:t>
      </w:r>
      <w:r>
        <w:t>out</w:t>
      </w:r>
      <w:r>
        <w:rPr>
          <w:spacing w:val="-2"/>
        </w:rPr>
        <w:t xml:space="preserve"> </w:t>
      </w:r>
      <w:r>
        <w:rPr>
          <w:spacing w:val="-1"/>
        </w:rPr>
        <w:t>the</w:t>
      </w:r>
      <w:r>
        <w:rPr>
          <w:spacing w:val="1"/>
        </w:rPr>
        <w:t xml:space="preserve"> </w:t>
      </w:r>
      <w:r>
        <w:rPr>
          <w:spacing w:val="-1"/>
        </w:rPr>
        <w:t>governance</w:t>
      </w:r>
      <w:r>
        <w:rPr>
          <w:spacing w:val="1"/>
        </w:rPr>
        <w:t xml:space="preserve"> </w:t>
      </w:r>
      <w:r>
        <w:rPr>
          <w:spacing w:val="-1"/>
        </w:rPr>
        <w:t>arrangements,</w:t>
      </w:r>
      <w:r>
        <w:t xml:space="preserve"> </w:t>
      </w:r>
      <w:r>
        <w:rPr>
          <w:spacing w:val="-1"/>
        </w:rPr>
        <w:t>roles</w:t>
      </w:r>
      <w:r>
        <w:t xml:space="preserve"> </w:t>
      </w:r>
      <w:r>
        <w:rPr>
          <w:spacing w:val="-1"/>
        </w:rPr>
        <w:t>and</w:t>
      </w:r>
      <w:r>
        <w:rPr>
          <w:spacing w:val="1"/>
        </w:rPr>
        <w:t xml:space="preserve"> </w:t>
      </w:r>
      <w:r>
        <w:rPr>
          <w:spacing w:val="-1"/>
        </w:rPr>
        <w:t>responsibilities</w:t>
      </w:r>
      <w:r>
        <w:rPr>
          <w:spacing w:val="-2"/>
        </w:rPr>
        <w:t xml:space="preserve"> </w:t>
      </w:r>
      <w:r>
        <w:rPr>
          <w:spacing w:val="-1"/>
        </w:rPr>
        <w:t>of</w:t>
      </w:r>
      <w:r>
        <w:rPr>
          <w:spacing w:val="3"/>
        </w:rPr>
        <w:t xml:space="preserve"> </w:t>
      </w:r>
      <w:r>
        <w:rPr>
          <w:spacing w:val="-1"/>
        </w:rPr>
        <w:t>the</w:t>
      </w:r>
      <w:r>
        <w:rPr>
          <w:spacing w:val="59"/>
        </w:rPr>
        <w:t xml:space="preserve"> </w:t>
      </w:r>
      <w:r>
        <w:rPr>
          <w:spacing w:val="-1"/>
        </w:rPr>
        <w:t xml:space="preserve">Board </w:t>
      </w:r>
      <w:r>
        <w:t>and</w:t>
      </w:r>
      <w:r>
        <w:rPr>
          <w:spacing w:val="-1"/>
        </w:rPr>
        <w:t xml:space="preserve"> its</w:t>
      </w:r>
      <w:r>
        <w:rPr>
          <w:spacing w:val="-2"/>
        </w:rPr>
        <w:t xml:space="preserve"> </w:t>
      </w:r>
      <w:r>
        <w:rPr>
          <w:spacing w:val="-1"/>
        </w:rPr>
        <w:t>membership.</w:t>
      </w:r>
    </w:p>
    <w:p w14:paraId="7F8524AB" w14:textId="13391208" w:rsidR="004B0989" w:rsidRDefault="004B0989" w:rsidP="00311273">
      <w:pPr>
        <w:pStyle w:val="BodyText"/>
        <w:kinsoku w:val="0"/>
        <w:overflowPunct w:val="0"/>
        <w:ind w:right="107"/>
        <w:rPr>
          <w:spacing w:val="-1"/>
        </w:rPr>
      </w:pPr>
      <w:r>
        <w:rPr>
          <w:spacing w:val="-1"/>
        </w:rPr>
        <w:t>Publicly</w:t>
      </w:r>
      <w:r>
        <w:rPr>
          <w:spacing w:val="-2"/>
        </w:rPr>
        <w:t xml:space="preserve"> </w:t>
      </w:r>
      <w:r>
        <w:rPr>
          <w:spacing w:val="-1"/>
        </w:rPr>
        <w:t>held</w:t>
      </w:r>
      <w:r>
        <w:rPr>
          <w:spacing w:val="1"/>
        </w:rPr>
        <w:t xml:space="preserve"> </w:t>
      </w:r>
      <w:r>
        <w:rPr>
          <w:spacing w:val="-1"/>
        </w:rPr>
        <w:t>Board meetings</w:t>
      </w:r>
      <w:r>
        <w:t xml:space="preserve"> </w:t>
      </w:r>
      <w:r>
        <w:rPr>
          <w:spacing w:val="-1"/>
        </w:rPr>
        <w:t>are</w:t>
      </w:r>
      <w:r>
        <w:rPr>
          <w:spacing w:val="1"/>
        </w:rPr>
        <w:t xml:space="preserve"> </w:t>
      </w:r>
      <w:r>
        <w:rPr>
          <w:spacing w:val="-1"/>
        </w:rPr>
        <w:t xml:space="preserve">held </w:t>
      </w:r>
      <w:r>
        <w:t>on</w:t>
      </w:r>
      <w:r>
        <w:rPr>
          <w:spacing w:val="-1"/>
        </w:rPr>
        <w:t xml:space="preserve"> </w:t>
      </w:r>
      <w:r>
        <w:t>a</w:t>
      </w:r>
      <w:r>
        <w:rPr>
          <w:spacing w:val="1"/>
        </w:rPr>
        <w:t xml:space="preserve"> </w:t>
      </w:r>
      <w:r>
        <w:rPr>
          <w:spacing w:val="-1"/>
        </w:rPr>
        <w:t>bi-monthly</w:t>
      </w:r>
      <w:r>
        <w:rPr>
          <w:spacing w:val="-2"/>
        </w:rPr>
        <w:t xml:space="preserve"> </w:t>
      </w:r>
      <w:r>
        <w:rPr>
          <w:spacing w:val="-1"/>
        </w:rPr>
        <w:t>basis.  The CCG meeting due to be held in January was cancelled as part of business continuity arrangements implemented from mid-December to the end of February 2022 as detailed above.  However,</w:t>
      </w:r>
      <w:r>
        <w:rPr>
          <w:spacing w:val="63"/>
        </w:rPr>
        <w:t xml:space="preserve"> </w:t>
      </w:r>
      <w:r>
        <w:rPr>
          <w:spacing w:val="-1"/>
        </w:rPr>
        <w:t>appropriate arrangements</w:t>
      </w:r>
      <w:r>
        <w:t xml:space="preserve"> </w:t>
      </w:r>
      <w:r>
        <w:rPr>
          <w:spacing w:val="-1"/>
        </w:rPr>
        <w:t>were</w:t>
      </w:r>
      <w:r>
        <w:rPr>
          <w:spacing w:val="1"/>
        </w:rPr>
        <w:t xml:space="preserve"> </w:t>
      </w:r>
      <w:r>
        <w:rPr>
          <w:spacing w:val="-1"/>
        </w:rPr>
        <w:t xml:space="preserve">implemented </w:t>
      </w:r>
      <w:r>
        <w:t>to</w:t>
      </w:r>
      <w:r>
        <w:rPr>
          <w:spacing w:val="1"/>
        </w:rPr>
        <w:t xml:space="preserve"> </w:t>
      </w:r>
      <w:r>
        <w:rPr>
          <w:spacing w:val="-1"/>
        </w:rPr>
        <w:t>ensure</w:t>
      </w:r>
      <w:r>
        <w:rPr>
          <w:spacing w:val="1"/>
        </w:rPr>
        <w:t xml:space="preserve"> </w:t>
      </w:r>
      <w:r>
        <w:rPr>
          <w:spacing w:val="-1"/>
        </w:rPr>
        <w:t>that</w:t>
      </w:r>
      <w:r>
        <w:rPr>
          <w:spacing w:val="-2"/>
        </w:rPr>
        <w:t xml:space="preserve"> </w:t>
      </w:r>
      <w:r>
        <w:t>any</w:t>
      </w:r>
      <w:r>
        <w:rPr>
          <w:spacing w:val="-2"/>
        </w:rPr>
        <w:t xml:space="preserve"> </w:t>
      </w:r>
      <w:r>
        <w:t>key</w:t>
      </w:r>
      <w:r>
        <w:rPr>
          <w:spacing w:val="-2"/>
        </w:rPr>
        <w:t xml:space="preserve"> </w:t>
      </w:r>
      <w:r>
        <w:rPr>
          <w:spacing w:val="-1"/>
        </w:rPr>
        <w:t>decisions</w:t>
      </w:r>
      <w:r>
        <w:t xml:space="preserve"> </w:t>
      </w:r>
      <w:r>
        <w:rPr>
          <w:spacing w:val="-1"/>
        </w:rPr>
        <w:t>were</w:t>
      </w:r>
      <w:r>
        <w:rPr>
          <w:spacing w:val="1"/>
        </w:rPr>
        <w:t xml:space="preserve"> </w:t>
      </w:r>
      <w:r>
        <w:rPr>
          <w:spacing w:val="-1"/>
        </w:rPr>
        <w:t xml:space="preserve">taken forward.   Any decisions taken by the Central Incident Management Team (CIMT) were logged on the CIMT decisions log which was then reported to the Board.  </w:t>
      </w:r>
    </w:p>
    <w:p w14:paraId="779A8CF4" w14:textId="77777777" w:rsidR="004B0989" w:rsidRDefault="004B0989" w:rsidP="00311273">
      <w:pPr>
        <w:pStyle w:val="BodyText"/>
        <w:kinsoku w:val="0"/>
        <w:overflowPunct w:val="0"/>
        <w:ind w:right="107"/>
        <w:rPr>
          <w:spacing w:val="63"/>
        </w:rPr>
      </w:pPr>
      <w:r>
        <w:rPr>
          <w:spacing w:val="-1"/>
        </w:rPr>
        <w:t xml:space="preserve">In February 2022 the CCG Board met in common with the other MSE CCG Boards and agreed that they would continue to meet in common until the MSE Integrated Care Board (ICB) is established. </w:t>
      </w:r>
    </w:p>
    <w:p w14:paraId="4B0665E0" w14:textId="77777777" w:rsidR="004B0989" w:rsidRDefault="004B0989" w:rsidP="00311273">
      <w:pPr>
        <w:pStyle w:val="BodyText"/>
        <w:kinsoku w:val="0"/>
        <w:overflowPunct w:val="0"/>
        <w:ind w:right="132"/>
        <w:rPr>
          <w:spacing w:val="-1"/>
        </w:rPr>
      </w:pPr>
      <w:r>
        <w:rPr>
          <w:spacing w:val="-1"/>
        </w:rPr>
        <w:t>Board meetings are broadcast</w:t>
      </w:r>
      <w:r>
        <w:t xml:space="preserve"> </w:t>
      </w:r>
      <w:r>
        <w:rPr>
          <w:spacing w:val="-2"/>
        </w:rPr>
        <w:t>via</w:t>
      </w:r>
      <w:r>
        <w:rPr>
          <w:spacing w:val="1"/>
        </w:rPr>
        <w:t xml:space="preserve"> </w:t>
      </w:r>
      <w:r>
        <w:rPr>
          <w:spacing w:val="-1"/>
        </w:rPr>
        <w:t>‘MS</w:t>
      </w:r>
      <w:r>
        <w:rPr>
          <w:spacing w:val="1"/>
        </w:rPr>
        <w:t xml:space="preserve"> </w:t>
      </w:r>
      <w:r>
        <w:rPr>
          <w:spacing w:val="-1"/>
        </w:rPr>
        <w:t>Teams’</w:t>
      </w:r>
      <w:r>
        <w:t xml:space="preserve"> </w:t>
      </w:r>
      <w:r>
        <w:rPr>
          <w:spacing w:val="-1"/>
        </w:rPr>
        <w:t>which</w:t>
      </w:r>
      <w:r>
        <w:rPr>
          <w:spacing w:val="1"/>
        </w:rPr>
        <w:t xml:space="preserve"> </w:t>
      </w:r>
      <w:r>
        <w:rPr>
          <w:spacing w:val="-1"/>
        </w:rPr>
        <w:t>enables members</w:t>
      </w:r>
      <w:r>
        <w:rPr>
          <w:spacing w:val="-2"/>
        </w:rPr>
        <w:t xml:space="preserve"> </w:t>
      </w:r>
      <w:r>
        <w:rPr>
          <w:spacing w:val="-1"/>
        </w:rPr>
        <w:t>of</w:t>
      </w:r>
      <w:r>
        <w:rPr>
          <w:spacing w:val="63"/>
        </w:rPr>
        <w:t xml:space="preserve"> </w:t>
      </w:r>
      <w:r>
        <w:t>the</w:t>
      </w:r>
      <w:r>
        <w:rPr>
          <w:spacing w:val="-1"/>
        </w:rPr>
        <w:t xml:space="preserve"> public</w:t>
      </w:r>
      <w:r>
        <w:t xml:space="preserve"> </w:t>
      </w:r>
      <w:r>
        <w:rPr>
          <w:spacing w:val="-1"/>
        </w:rPr>
        <w:t>to</w:t>
      </w:r>
      <w:r>
        <w:rPr>
          <w:spacing w:val="1"/>
        </w:rPr>
        <w:t xml:space="preserve"> </w:t>
      </w:r>
      <w:r>
        <w:rPr>
          <w:spacing w:val="-1"/>
        </w:rPr>
        <w:t xml:space="preserve">listen </w:t>
      </w:r>
      <w:r>
        <w:t>to</w:t>
      </w:r>
      <w:r>
        <w:rPr>
          <w:spacing w:val="-1"/>
        </w:rPr>
        <w:t xml:space="preserve"> discussions</w:t>
      </w:r>
      <w:r>
        <w:t xml:space="preserve"> </w:t>
      </w:r>
      <w:r>
        <w:rPr>
          <w:spacing w:val="-1"/>
        </w:rPr>
        <w:t xml:space="preserve">held </w:t>
      </w:r>
      <w:r>
        <w:t>and</w:t>
      </w:r>
      <w:r>
        <w:rPr>
          <w:spacing w:val="-1"/>
        </w:rPr>
        <w:t xml:space="preserve"> submit</w:t>
      </w:r>
      <w:r>
        <w:t xml:space="preserve"> </w:t>
      </w:r>
      <w:r>
        <w:rPr>
          <w:spacing w:val="-1"/>
        </w:rPr>
        <w:t>questions.</w:t>
      </w:r>
      <w:r>
        <w:t xml:space="preserve"> </w:t>
      </w:r>
      <w:r>
        <w:rPr>
          <w:spacing w:val="63"/>
        </w:rPr>
        <w:t xml:space="preserve"> </w:t>
      </w:r>
    </w:p>
    <w:p w14:paraId="5C86A356" w14:textId="77777777" w:rsidR="004B0989" w:rsidRPr="00541164" w:rsidRDefault="004B0989" w:rsidP="00311273">
      <w:pPr>
        <w:pStyle w:val="BodyText"/>
        <w:kinsoku w:val="0"/>
        <w:overflowPunct w:val="0"/>
        <w:ind w:right="179"/>
        <w:rPr>
          <w:spacing w:val="-1"/>
        </w:rPr>
      </w:pPr>
      <w:r>
        <w:rPr>
          <w:spacing w:val="-1"/>
        </w:rPr>
        <w:t>Board meetings</w:t>
      </w:r>
      <w:r>
        <w:t xml:space="preserve"> </w:t>
      </w:r>
      <w:r>
        <w:rPr>
          <w:spacing w:val="-1"/>
        </w:rPr>
        <w:t>were</w:t>
      </w:r>
      <w:r>
        <w:rPr>
          <w:spacing w:val="1"/>
        </w:rPr>
        <w:t xml:space="preserve"> </w:t>
      </w:r>
      <w:r>
        <w:rPr>
          <w:spacing w:val="-1"/>
        </w:rPr>
        <w:t>quorate</w:t>
      </w:r>
      <w:r>
        <w:rPr>
          <w:spacing w:val="1"/>
        </w:rPr>
        <w:t xml:space="preserve"> </w:t>
      </w:r>
      <w:r>
        <w:rPr>
          <w:spacing w:val="-1"/>
        </w:rPr>
        <w:t>on</w:t>
      </w:r>
      <w:r>
        <w:rPr>
          <w:spacing w:val="1"/>
        </w:rPr>
        <w:t xml:space="preserve"> </w:t>
      </w:r>
      <w:r>
        <w:rPr>
          <w:spacing w:val="-1"/>
        </w:rPr>
        <w:t>the majority</w:t>
      </w:r>
      <w:r>
        <w:rPr>
          <w:spacing w:val="-2"/>
        </w:rPr>
        <w:t xml:space="preserve"> </w:t>
      </w:r>
      <w:r>
        <w:rPr>
          <w:spacing w:val="-1"/>
        </w:rPr>
        <w:t>of</w:t>
      </w:r>
      <w:r>
        <w:rPr>
          <w:spacing w:val="3"/>
        </w:rPr>
        <w:t xml:space="preserve"> </w:t>
      </w:r>
      <w:r>
        <w:rPr>
          <w:spacing w:val="-1"/>
        </w:rPr>
        <w:t>occasions.</w:t>
      </w:r>
      <w:r>
        <w:t xml:space="preserve"> </w:t>
      </w:r>
      <w:r>
        <w:rPr>
          <w:spacing w:val="1"/>
        </w:rPr>
        <w:t xml:space="preserve"> </w:t>
      </w:r>
      <w:r>
        <w:rPr>
          <w:spacing w:val="-1"/>
        </w:rPr>
        <w:t>If</w:t>
      </w:r>
      <w:r>
        <w:t xml:space="preserve"> a</w:t>
      </w:r>
      <w:r>
        <w:rPr>
          <w:spacing w:val="1"/>
        </w:rPr>
        <w:t xml:space="preserve"> </w:t>
      </w:r>
      <w:r>
        <w:rPr>
          <w:spacing w:val="-1"/>
        </w:rPr>
        <w:t>Board</w:t>
      </w:r>
      <w:r>
        <w:rPr>
          <w:spacing w:val="1"/>
        </w:rPr>
        <w:t xml:space="preserve"> </w:t>
      </w:r>
      <w:r>
        <w:rPr>
          <w:spacing w:val="-1"/>
        </w:rPr>
        <w:t>meeting was</w:t>
      </w:r>
      <w:r>
        <w:t xml:space="preserve"> </w:t>
      </w:r>
      <w:r>
        <w:rPr>
          <w:spacing w:val="-1"/>
        </w:rPr>
        <w:t xml:space="preserve">inquorate </w:t>
      </w:r>
      <w:r>
        <w:t>due</w:t>
      </w:r>
      <w:r>
        <w:rPr>
          <w:spacing w:val="65"/>
        </w:rPr>
        <w:t xml:space="preserve"> </w:t>
      </w:r>
      <w:r>
        <w:t>to</w:t>
      </w:r>
      <w:r>
        <w:rPr>
          <w:spacing w:val="1"/>
        </w:rPr>
        <w:t xml:space="preserve"> </w:t>
      </w:r>
      <w:r>
        <w:rPr>
          <w:spacing w:val="-1"/>
        </w:rPr>
        <w:t xml:space="preserve">one </w:t>
      </w:r>
      <w:r>
        <w:t>or</w:t>
      </w:r>
      <w:r>
        <w:rPr>
          <w:spacing w:val="-1"/>
        </w:rPr>
        <w:t xml:space="preserve"> more members</w:t>
      </w:r>
      <w:r>
        <w:rPr>
          <w:spacing w:val="-2"/>
        </w:rPr>
        <w:t xml:space="preserve"> </w:t>
      </w:r>
      <w:r>
        <w:rPr>
          <w:spacing w:val="-1"/>
        </w:rPr>
        <w:t>being unavailable,</w:t>
      </w:r>
      <w:r>
        <w:t xml:space="preserve"> </w:t>
      </w:r>
      <w:r>
        <w:rPr>
          <w:spacing w:val="-1"/>
        </w:rPr>
        <w:t>their support</w:t>
      </w:r>
      <w:r>
        <w:rPr>
          <w:spacing w:val="-2"/>
        </w:rPr>
        <w:t xml:space="preserve"> </w:t>
      </w:r>
      <w:r>
        <w:t>for</w:t>
      </w:r>
      <w:r>
        <w:rPr>
          <w:spacing w:val="-1"/>
        </w:rPr>
        <w:t xml:space="preserve"> recommendations made was sought</w:t>
      </w:r>
      <w:r>
        <w:rPr>
          <w:spacing w:val="-2"/>
        </w:rPr>
        <w:t xml:space="preserve"> </w:t>
      </w:r>
      <w:r>
        <w:rPr>
          <w:spacing w:val="-1"/>
        </w:rPr>
        <w:t xml:space="preserve">following </w:t>
      </w:r>
      <w:r>
        <w:t>the</w:t>
      </w:r>
      <w:r>
        <w:rPr>
          <w:spacing w:val="1"/>
        </w:rPr>
        <w:t xml:space="preserve"> </w:t>
      </w:r>
      <w:r>
        <w:rPr>
          <w:spacing w:val="-1"/>
        </w:rPr>
        <w:t xml:space="preserve">meeting </w:t>
      </w:r>
      <w:r>
        <w:t>to</w:t>
      </w:r>
      <w:r>
        <w:rPr>
          <w:spacing w:val="-1"/>
        </w:rPr>
        <w:t xml:space="preserve"> ensure</w:t>
      </w:r>
      <w:r>
        <w:rPr>
          <w:spacing w:val="1"/>
        </w:rPr>
        <w:t xml:space="preserve"> </w:t>
      </w:r>
      <w:r>
        <w:rPr>
          <w:spacing w:val="-1"/>
        </w:rPr>
        <w:t>that</w:t>
      </w:r>
      <w:r>
        <w:rPr>
          <w:spacing w:val="-2"/>
        </w:rPr>
        <w:t xml:space="preserve"> </w:t>
      </w:r>
      <w:r>
        <w:rPr>
          <w:spacing w:val="-1"/>
        </w:rPr>
        <w:t>decisions</w:t>
      </w:r>
      <w:r>
        <w:t xml:space="preserve"> </w:t>
      </w:r>
      <w:r>
        <w:rPr>
          <w:spacing w:val="-1"/>
        </w:rPr>
        <w:t>were</w:t>
      </w:r>
      <w:r>
        <w:rPr>
          <w:spacing w:val="1"/>
        </w:rPr>
        <w:t xml:space="preserve"> </w:t>
      </w:r>
      <w:r>
        <w:rPr>
          <w:spacing w:val="-1"/>
        </w:rPr>
        <w:t>quorate.</w:t>
      </w:r>
      <w:r>
        <w:rPr>
          <w:spacing w:val="-2"/>
        </w:rPr>
        <w:t xml:space="preserve">  </w:t>
      </w:r>
      <w:r w:rsidRPr="00541164">
        <w:rPr>
          <w:spacing w:val="-1"/>
        </w:rPr>
        <w:t>There are</w:t>
      </w:r>
      <w:r w:rsidRPr="00541164">
        <w:rPr>
          <w:spacing w:val="1"/>
        </w:rPr>
        <w:t xml:space="preserve"> </w:t>
      </w:r>
      <w:r w:rsidRPr="00541164">
        <w:rPr>
          <w:spacing w:val="-1"/>
        </w:rPr>
        <w:t>also arrangements</w:t>
      </w:r>
      <w:r w:rsidRPr="00541164">
        <w:t xml:space="preserve"> </w:t>
      </w:r>
      <w:r w:rsidRPr="00541164">
        <w:rPr>
          <w:spacing w:val="-1"/>
        </w:rPr>
        <w:t>in</w:t>
      </w:r>
      <w:r w:rsidRPr="00541164">
        <w:rPr>
          <w:spacing w:val="1"/>
        </w:rPr>
        <w:t xml:space="preserve"> </w:t>
      </w:r>
      <w:r w:rsidRPr="00541164">
        <w:rPr>
          <w:spacing w:val="-1"/>
        </w:rPr>
        <w:t>place</w:t>
      </w:r>
      <w:r w:rsidRPr="00541164">
        <w:rPr>
          <w:spacing w:val="1"/>
        </w:rPr>
        <w:t xml:space="preserve"> </w:t>
      </w:r>
      <w:r w:rsidRPr="00541164">
        <w:t>to</w:t>
      </w:r>
      <w:r w:rsidRPr="00541164">
        <w:rPr>
          <w:spacing w:val="-1"/>
        </w:rPr>
        <w:t xml:space="preserve"> maintain</w:t>
      </w:r>
      <w:r w:rsidRPr="00541164">
        <w:rPr>
          <w:spacing w:val="1"/>
        </w:rPr>
        <w:t xml:space="preserve"> </w:t>
      </w:r>
      <w:r w:rsidRPr="00541164">
        <w:t>a</w:t>
      </w:r>
      <w:r w:rsidRPr="00541164">
        <w:rPr>
          <w:spacing w:val="-1"/>
        </w:rPr>
        <w:t xml:space="preserve"> </w:t>
      </w:r>
      <w:r>
        <w:rPr>
          <w:spacing w:val="-1"/>
        </w:rPr>
        <w:t xml:space="preserve">quorum </w:t>
      </w:r>
      <w:r>
        <w:t xml:space="preserve">where </w:t>
      </w:r>
      <w:r w:rsidRPr="00541164">
        <w:rPr>
          <w:spacing w:val="-1"/>
        </w:rPr>
        <w:t>conflict</w:t>
      </w:r>
      <w:r>
        <w:rPr>
          <w:spacing w:val="-1"/>
        </w:rPr>
        <w:t>s</w:t>
      </w:r>
      <w:r w:rsidRPr="00541164">
        <w:t xml:space="preserve"> </w:t>
      </w:r>
      <w:r w:rsidRPr="00541164">
        <w:rPr>
          <w:spacing w:val="-1"/>
        </w:rPr>
        <w:t>of</w:t>
      </w:r>
      <w:r w:rsidRPr="00541164">
        <w:t xml:space="preserve"> </w:t>
      </w:r>
      <w:r w:rsidRPr="00541164">
        <w:rPr>
          <w:spacing w:val="-1"/>
        </w:rPr>
        <w:t>interest</w:t>
      </w:r>
      <w:r>
        <w:rPr>
          <w:spacing w:val="-1"/>
        </w:rPr>
        <w:t xml:space="preserve"> require </w:t>
      </w:r>
      <w:r w:rsidRPr="00541164">
        <w:rPr>
          <w:spacing w:val="-1"/>
        </w:rPr>
        <w:t>voting members</w:t>
      </w:r>
      <w:r w:rsidRPr="00541164">
        <w:t xml:space="preserve"> </w:t>
      </w:r>
      <w:r w:rsidRPr="00541164">
        <w:rPr>
          <w:spacing w:val="-1"/>
        </w:rPr>
        <w:t>of</w:t>
      </w:r>
      <w:r w:rsidRPr="00541164">
        <w:rPr>
          <w:spacing w:val="3"/>
        </w:rPr>
        <w:t xml:space="preserve"> </w:t>
      </w:r>
      <w:r w:rsidRPr="00541164">
        <w:rPr>
          <w:spacing w:val="-1"/>
        </w:rPr>
        <w:t xml:space="preserve">the Board </w:t>
      </w:r>
      <w:r>
        <w:rPr>
          <w:spacing w:val="-1"/>
        </w:rPr>
        <w:t xml:space="preserve">to </w:t>
      </w:r>
      <w:r w:rsidRPr="00541164">
        <w:rPr>
          <w:spacing w:val="-1"/>
        </w:rPr>
        <w:t>recuse themselves</w:t>
      </w:r>
      <w:r w:rsidRPr="00541164">
        <w:rPr>
          <w:spacing w:val="-2"/>
        </w:rPr>
        <w:t xml:space="preserve"> </w:t>
      </w:r>
      <w:r w:rsidRPr="00541164">
        <w:rPr>
          <w:spacing w:val="-1"/>
        </w:rPr>
        <w:t>from</w:t>
      </w:r>
      <w:r w:rsidRPr="00541164">
        <w:rPr>
          <w:spacing w:val="2"/>
        </w:rPr>
        <w:t xml:space="preserve"> </w:t>
      </w:r>
      <w:r w:rsidRPr="00541164">
        <w:t>a</w:t>
      </w:r>
      <w:r w:rsidRPr="00541164">
        <w:rPr>
          <w:spacing w:val="-1"/>
        </w:rPr>
        <w:t xml:space="preserve"> relevant</w:t>
      </w:r>
      <w:r w:rsidRPr="00541164">
        <w:t xml:space="preserve"> </w:t>
      </w:r>
      <w:r w:rsidRPr="00541164">
        <w:rPr>
          <w:spacing w:val="-1"/>
        </w:rPr>
        <w:t>vote.</w:t>
      </w:r>
    </w:p>
    <w:p w14:paraId="7313A6CB" w14:textId="77777777" w:rsidR="004B0989" w:rsidRDefault="004B0989" w:rsidP="00311273">
      <w:pPr>
        <w:pStyle w:val="BodyText"/>
        <w:kinsoku w:val="0"/>
        <w:overflowPunct w:val="0"/>
        <w:ind w:right="303"/>
        <w:rPr>
          <w:spacing w:val="-1"/>
        </w:rPr>
      </w:pPr>
      <w:r>
        <w:t>As at</w:t>
      </w:r>
      <w:r>
        <w:rPr>
          <w:spacing w:val="-2"/>
        </w:rPr>
        <w:t xml:space="preserve"> </w:t>
      </w:r>
      <w:r>
        <w:t>31</w:t>
      </w:r>
      <w:r>
        <w:rPr>
          <w:spacing w:val="1"/>
        </w:rPr>
        <w:t xml:space="preserve"> </w:t>
      </w:r>
      <w:r>
        <w:rPr>
          <w:spacing w:val="-1"/>
        </w:rPr>
        <w:t>March 2022,</w:t>
      </w:r>
      <w:r>
        <w:rPr>
          <w:spacing w:val="-2"/>
        </w:rPr>
        <w:t xml:space="preserve"> </w:t>
      </w:r>
      <w:r>
        <w:rPr>
          <w:spacing w:val="-1"/>
        </w:rPr>
        <w:t>the</w:t>
      </w:r>
      <w:r>
        <w:rPr>
          <w:spacing w:val="1"/>
        </w:rPr>
        <w:t xml:space="preserve"> </w:t>
      </w:r>
      <w:r>
        <w:rPr>
          <w:spacing w:val="-1"/>
        </w:rPr>
        <w:t>Board membership comprised</w:t>
      </w:r>
      <w:r>
        <w:rPr>
          <w:spacing w:val="1"/>
        </w:rPr>
        <w:t xml:space="preserve"> </w:t>
      </w:r>
      <w:r>
        <w:rPr>
          <w:spacing w:val="-1"/>
        </w:rPr>
        <w:t>of</w:t>
      </w:r>
      <w:r>
        <w:t xml:space="preserve"> </w:t>
      </w:r>
      <w:r>
        <w:rPr>
          <w:spacing w:val="-1"/>
        </w:rPr>
        <w:t>the following voting members:</w:t>
      </w:r>
    </w:p>
    <w:p w14:paraId="53F2A1F8" w14:textId="77777777" w:rsidR="004B0989" w:rsidRDefault="004B0989" w:rsidP="00311273">
      <w:pPr>
        <w:pStyle w:val="BodyText"/>
        <w:kinsoku w:val="0"/>
        <w:overflowPunct w:val="0"/>
        <w:ind w:right="393"/>
        <w:rPr>
          <w:spacing w:val="-1"/>
        </w:rPr>
      </w:pPr>
      <w:r>
        <w:t>The</w:t>
      </w:r>
      <w:r>
        <w:rPr>
          <w:spacing w:val="1"/>
        </w:rPr>
        <w:t xml:space="preserve"> </w:t>
      </w:r>
      <w:r>
        <w:rPr>
          <w:spacing w:val="-1"/>
        </w:rPr>
        <w:t xml:space="preserve">Chair (a </w:t>
      </w:r>
      <w:r>
        <w:t>GP</w:t>
      </w:r>
      <w:r>
        <w:rPr>
          <w:spacing w:val="-2"/>
        </w:rPr>
        <w:t xml:space="preserve"> </w:t>
      </w:r>
      <w:r>
        <w:rPr>
          <w:spacing w:val="-1"/>
        </w:rPr>
        <w:t>member),</w:t>
      </w:r>
      <w:r>
        <w:t xml:space="preserve"> </w:t>
      </w:r>
      <w:r>
        <w:rPr>
          <w:spacing w:val="-1"/>
        </w:rPr>
        <w:t>Joint</w:t>
      </w:r>
      <w:r>
        <w:rPr>
          <w:spacing w:val="-2"/>
        </w:rPr>
        <w:t xml:space="preserve"> </w:t>
      </w:r>
      <w:r>
        <w:rPr>
          <w:spacing w:val="-1"/>
        </w:rPr>
        <w:t>Accountable Officer,</w:t>
      </w:r>
      <w:r>
        <w:t xml:space="preserve"> </w:t>
      </w:r>
      <w:r>
        <w:rPr>
          <w:spacing w:val="-1"/>
        </w:rPr>
        <w:t>Alliance</w:t>
      </w:r>
      <w:r>
        <w:rPr>
          <w:spacing w:val="1"/>
        </w:rPr>
        <w:t xml:space="preserve"> </w:t>
      </w:r>
      <w:r>
        <w:rPr>
          <w:spacing w:val="-1"/>
        </w:rPr>
        <w:t>Director</w:t>
      </w:r>
      <w:r w:rsidRPr="00A2784B">
        <w:rPr>
          <w:spacing w:val="-1"/>
        </w:rPr>
        <w:t>,</w:t>
      </w:r>
      <w:r>
        <w:t xml:space="preserve"> </w:t>
      </w:r>
      <w:r>
        <w:rPr>
          <w:spacing w:val="-1"/>
        </w:rPr>
        <w:t>Executive</w:t>
      </w:r>
      <w:r>
        <w:rPr>
          <w:spacing w:val="71"/>
        </w:rPr>
        <w:t xml:space="preserve"> </w:t>
      </w:r>
      <w:r>
        <w:rPr>
          <w:spacing w:val="-1"/>
        </w:rPr>
        <w:t>Chief</w:t>
      </w:r>
      <w:r>
        <w:rPr>
          <w:spacing w:val="3"/>
        </w:rPr>
        <w:t xml:space="preserve"> </w:t>
      </w:r>
      <w:r>
        <w:rPr>
          <w:spacing w:val="-1"/>
        </w:rPr>
        <w:t>Finance</w:t>
      </w:r>
      <w:r>
        <w:rPr>
          <w:spacing w:val="1"/>
        </w:rPr>
        <w:t xml:space="preserve"> </w:t>
      </w:r>
      <w:r>
        <w:rPr>
          <w:spacing w:val="-1"/>
        </w:rPr>
        <w:t>Officer,</w:t>
      </w:r>
      <w:r>
        <w:rPr>
          <w:spacing w:val="-2"/>
        </w:rPr>
        <w:t xml:space="preserve"> </w:t>
      </w:r>
      <w:r>
        <w:rPr>
          <w:spacing w:val="-1"/>
        </w:rPr>
        <w:t>Executive</w:t>
      </w:r>
      <w:r>
        <w:rPr>
          <w:spacing w:val="1"/>
        </w:rPr>
        <w:t xml:space="preserve"> </w:t>
      </w:r>
      <w:r>
        <w:rPr>
          <w:spacing w:val="-1"/>
        </w:rPr>
        <w:t xml:space="preserve">Director </w:t>
      </w:r>
      <w:r>
        <w:t xml:space="preserve">of </w:t>
      </w:r>
      <w:r>
        <w:rPr>
          <w:spacing w:val="-1"/>
        </w:rPr>
        <w:t xml:space="preserve">Nursing </w:t>
      </w:r>
      <w:r>
        <w:t>and</w:t>
      </w:r>
      <w:r>
        <w:rPr>
          <w:spacing w:val="1"/>
        </w:rPr>
        <w:t xml:space="preserve"> </w:t>
      </w:r>
      <w:r>
        <w:rPr>
          <w:spacing w:val="-1"/>
        </w:rPr>
        <w:t>Quality</w:t>
      </w:r>
      <w:r>
        <w:rPr>
          <w:spacing w:val="-2"/>
        </w:rPr>
        <w:t xml:space="preserve"> </w:t>
      </w:r>
      <w:r>
        <w:rPr>
          <w:spacing w:val="-1"/>
        </w:rPr>
        <w:t>(Registered</w:t>
      </w:r>
      <w:r>
        <w:rPr>
          <w:spacing w:val="1"/>
        </w:rPr>
        <w:t xml:space="preserve"> </w:t>
      </w:r>
      <w:r>
        <w:rPr>
          <w:spacing w:val="-1"/>
        </w:rPr>
        <w:t>Nurse),</w:t>
      </w:r>
      <w:r>
        <w:t xml:space="preserve"> eight </w:t>
      </w:r>
      <w:r w:rsidRPr="002D2917">
        <w:t>other</w:t>
      </w:r>
      <w:r w:rsidRPr="002D2917">
        <w:rPr>
          <w:spacing w:val="67"/>
        </w:rPr>
        <w:t xml:space="preserve"> </w:t>
      </w:r>
      <w:r w:rsidRPr="002D2917">
        <w:t>GP</w:t>
      </w:r>
      <w:r w:rsidRPr="002D2917">
        <w:rPr>
          <w:spacing w:val="1"/>
        </w:rPr>
        <w:t xml:space="preserve"> </w:t>
      </w:r>
      <w:r w:rsidRPr="002D2917">
        <w:rPr>
          <w:spacing w:val="-1"/>
        </w:rPr>
        <w:t>members,</w:t>
      </w:r>
      <w:r w:rsidRPr="002D2917">
        <w:rPr>
          <w:spacing w:val="-2"/>
        </w:rPr>
        <w:t xml:space="preserve"> Secondary Care </w:t>
      </w:r>
      <w:r>
        <w:rPr>
          <w:spacing w:val="-2"/>
        </w:rPr>
        <w:t xml:space="preserve">Specialist </w:t>
      </w:r>
      <w:r w:rsidRPr="002D2917">
        <w:rPr>
          <w:spacing w:val="-1"/>
        </w:rPr>
        <w:t>and</w:t>
      </w:r>
      <w:r w:rsidRPr="002D2917">
        <w:rPr>
          <w:spacing w:val="1"/>
        </w:rPr>
        <w:t xml:space="preserve"> </w:t>
      </w:r>
      <w:r w:rsidRPr="002D2917">
        <w:rPr>
          <w:spacing w:val="-1"/>
        </w:rPr>
        <w:t>three</w:t>
      </w:r>
      <w:r w:rsidRPr="002D2917">
        <w:rPr>
          <w:spacing w:val="1"/>
        </w:rPr>
        <w:t xml:space="preserve"> </w:t>
      </w:r>
      <w:r w:rsidRPr="002D2917">
        <w:t>Lay</w:t>
      </w:r>
      <w:r w:rsidRPr="002D2917">
        <w:rPr>
          <w:spacing w:val="-2"/>
        </w:rPr>
        <w:t xml:space="preserve"> </w:t>
      </w:r>
      <w:r w:rsidRPr="002D2917">
        <w:rPr>
          <w:spacing w:val="-1"/>
        </w:rPr>
        <w:t>Members.</w:t>
      </w:r>
    </w:p>
    <w:p w14:paraId="1849314C" w14:textId="77777777" w:rsidR="00BC3673" w:rsidRDefault="00BC3673">
      <w:pPr>
        <w:spacing w:before="0" w:after="200" w:line="276" w:lineRule="auto"/>
        <w:rPr>
          <w:spacing w:val="-1"/>
        </w:rPr>
      </w:pPr>
      <w:r>
        <w:rPr>
          <w:spacing w:val="-1"/>
        </w:rPr>
        <w:br w:type="page"/>
      </w:r>
    </w:p>
    <w:p w14:paraId="15FC7687" w14:textId="25C52C82" w:rsidR="004B0989" w:rsidRDefault="004B0989" w:rsidP="00311273">
      <w:pPr>
        <w:pStyle w:val="BodyText"/>
        <w:kinsoku w:val="0"/>
        <w:overflowPunct w:val="0"/>
        <w:ind w:right="174"/>
        <w:rPr>
          <w:spacing w:val="-1"/>
        </w:rPr>
      </w:pPr>
      <w:r>
        <w:rPr>
          <w:spacing w:val="-1"/>
        </w:rPr>
        <w:lastRenderedPageBreak/>
        <w:t>Anthony</w:t>
      </w:r>
      <w:r>
        <w:rPr>
          <w:spacing w:val="-2"/>
        </w:rPr>
        <w:t xml:space="preserve"> </w:t>
      </w:r>
      <w:r>
        <w:rPr>
          <w:spacing w:val="-1"/>
        </w:rPr>
        <w:t xml:space="preserve">McKeever </w:t>
      </w:r>
      <w:r>
        <w:t xml:space="preserve">was </w:t>
      </w:r>
      <w:r>
        <w:rPr>
          <w:spacing w:val="-1"/>
        </w:rPr>
        <w:t>appointed</w:t>
      </w:r>
      <w:r>
        <w:rPr>
          <w:spacing w:val="1"/>
        </w:rPr>
        <w:t xml:space="preserve"> </w:t>
      </w:r>
      <w:r>
        <w:rPr>
          <w:spacing w:val="-1"/>
        </w:rPr>
        <w:t>Interim Joint</w:t>
      </w:r>
      <w:r>
        <w:t xml:space="preserve"> </w:t>
      </w:r>
      <w:r>
        <w:rPr>
          <w:spacing w:val="-1"/>
        </w:rPr>
        <w:t>Accountable Officer</w:t>
      </w:r>
      <w:r>
        <w:rPr>
          <w:spacing w:val="-3"/>
        </w:rPr>
        <w:t xml:space="preserve"> </w:t>
      </w:r>
      <w:r>
        <w:t>for</w:t>
      </w:r>
      <w:r>
        <w:rPr>
          <w:spacing w:val="-1"/>
        </w:rPr>
        <w:t xml:space="preserve"> </w:t>
      </w:r>
      <w:r>
        <w:t>the</w:t>
      </w:r>
      <w:r>
        <w:rPr>
          <w:spacing w:val="-1"/>
        </w:rPr>
        <w:t xml:space="preserve"> Mid</w:t>
      </w:r>
      <w:r>
        <w:rPr>
          <w:spacing w:val="1"/>
        </w:rPr>
        <w:t xml:space="preserve"> </w:t>
      </w:r>
      <w:r>
        <w:rPr>
          <w:spacing w:val="-1"/>
        </w:rPr>
        <w:t>and</w:t>
      </w:r>
      <w:r>
        <w:rPr>
          <w:spacing w:val="1"/>
        </w:rPr>
        <w:t xml:space="preserve"> </w:t>
      </w:r>
      <w:r>
        <w:rPr>
          <w:spacing w:val="-1"/>
        </w:rPr>
        <w:t xml:space="preserve">South </w:t>
      </w:r>
      <w:r>
        <w:t>Essex</w:t>
      </w:r>
      <w:r>
        <w:rPr>
          <w:spacing w:val="67"/>
        </w:rPr>
        <w:t xml:space="preserve"> </w:t>
      </w:r>
      <w:r>
        <w:rPr>
          <w:spacing w:val="-1"/>
        </w:rPr>
        <w:t>CCGs</w:t>
      </w:r>
      <w:r>
        <w:t xml:space="preserve"> </w:t>
      </w:r>
      <w:r>
        <w:rPr>
          <w:spacing w:val="-1"/>
        </w:rPr>
        <w:t xml:space="preserve">from </w:t>
      </w:r>
      <w:r>
        <w:t>1</w:t>
      </w:r>
      <w:r>
        <w:rPr>
          <w:spacing w:val="1"/>
        </w:rPr>
        <w:t xml:space="preserve"> </w:t>
      </w:r>
      <w:r>
        <w:rPr>
          <w:spacing w:val="-1"/>
        </w:rPr>
        <w:t xml:space="preserve">March 2020 </w:t>
      </w:r>
      <w:r>
        <w:t>and</w:t>
      </w:r>
      <w:r>
        <w:rPr>
          <w:spacing w:val="-1"/>
        </w:rPr>
        <w:t xml:space="preserve"> was</w:t>
      </w:r>
      <w:r>
        <w:t xml:space="preserve"> </w:t>
      </w:r>
      <w:r>
        <w:rPr>
          <w:spacing w:val="-1"/>
        </w:rPr>
        <w:t>subsequently</w:t>
      </w:r>
      <w:r>
        <w:rPr>
          <w:spacing w:val="-2"/>
        </w:rPr>
        <w:t xml:space="preserve"> </w:t>
      </w:r>
      <w:r>
        <w:rPr>
          <w:spacing w:val="-1"/>
        </w:rPr>
        <w:t>appointed</w:t>
      </w:r>
      <w:r>
        <w:rPr>
          <w:spacing w:val="1"/>
        </w:rPr>
        <w:t xml:space="preserve"> </w:t>
      </w:r>
      <w:r>
        <w:t>to</w:t>
      </w:r>
      <w:r>
        <w:rPr>
          <w:spacing w:val="-1"/>
        </w:rPr>
        <w:t xml:space="preserve"> this</w:t>
      </w:r>
      <w:r>
        <w:rPr>
          <w:spacing w:val="-2"/>
        </w:rPr>
        <w:t xml:space="preserve"> </w:t>
      </w:r>
      <w:r>
        <w:rPr>
          <w:spacing w:val="-1"/>
        </w:rPr>
        <w:t>role</w:t>
      </w:r>
      <w:r>
        <w:rPr>
          <w:spacing w:val="1"/>
        </w:rPr>
        <w:t xml:space="preserve"> </w:t>
      </w:r>
      <w:r>
        <w:t>on</w:t>
      </w:r>
      <w:r>
        <w:rPr>
          <w:spacing w:val="-1"/>
        </w:rPr>
        <w:t xml:space="preserve"> </w:t>
      </w:r>
      <w:r>
        <w:t>a</w:t>
      </w:r>
      <w:r>
        <w:rPr>
          <w:spacing w:val="1"/>
        </w:rPr>
        <w:t xml:space="preserve"> </w:t>
      </w:r>
      <w:r>
        <w:rPr>
          <w:spacing w:val="-1"/>
        </w:rPr>
        <w:t>permanent</w:t>
      </w:r>
      <w:r>
        <w:rPr>
          <w:spacing w:val="-2"/>
        </w:rPr>
        <w:t xml:space="preserve"> </w:t>
      </w:r>
      <w:r>
        <w:rPr>
          <w:spacing w:val="-1"/>
        </w:rPr>
        <w:t>basis</w:t>
      </w:r>
      <w:r>
        <w:rPr>
          <w:spacing w:val="-2"/>
        </w:rPr>
        <w:t xml:space="preserve"> </w:t>
      </w:r>
      <w:r>
        <w:t>from</w:t>
      </w:r>
      <w:r>
        <w:rPr>
          <w:spacing w:val="67"/>
        </w:rPr>
        <w:t xml:space="preserve"> </w:t>
      </w:r>
      <w:r w:rsidRPr="003569D2">
        <w:t>3</w:t>
      </w:r>
      <w:r w:rsidRPr="003569D2">
        <w:rPr>
          <w:spacing w:val="1"/>
        </w:rPr>
        <w:t xml:space="preserve"> </w:t>
      </w:r>
      <w:r w:rsidRPr="003569D2">
        <w:rPr>
          <w:spacing w:val="-1"/>
        </w:rPr>
        <w:t>October 2020.</w:t>
      </w:r>
      <w:r>
        <w:rPr>
          <w:spacing w:val="-1"/>
        </w:rPr>
        <w:t xml:space="preserve">   Mr McKeever has since been appointed to the role of Chief Executive Officer Designate for the Mid and South Essex Integrated Care System. </w:t>
      </w:r>
    </w:p>
    <w:p w14:paraId="0C6DFD36" w14:textId="11747BFE" w:rsidR="004B0989" w:rsidRDefault="004B0989" w:rsidP="00BC3673">
      <w:pPr>
        <w:pStyle w:val="BodyText"/>
        <w:kinsoku w:val="0"/>
        <w:overflowPunct w:val="0"/>
        <w:spacing w:before="360"/>
        <w:ind w:right="120"/>
      </w:pPr>
      <w:r>
        <w:rPr>
          <w:spacing w:val="-1"/>
        </w:rPr>
        <w:t>Board</w:t>
      </w:r>
      <w:r>
        <w:rPr>
          <w:spacing w:val="3"/>
        </w:rPr>
        <w:t xml:space="preserve"> </w:t>
      </w:r>
      <w:r>
        <w:t>representation</w:t>
      </w:r>
      <w:r>
        <w:rPr>
          <w:spacing w:val="6"/>
        </w:rPr>
        <w:t xml:space="preserve"> </w:t>
      </w:r>
      <w:r>
        <w:rPr>
          <w:spacing w:val="-1"/>
        </w:rPr>
        <w:t>also</w:t>
      </w:r>
      <w:r>
        <w:rPr>
          <w:spacing w:val="3"/>
        </w:rPr>
        <w:t xml:space="preserve"> </w:t>
      </w:r>
      <w:r>
        <w:t xml:space="preserve">includes two non-voting appointees: a) </w:t>
      </w:r>
      <w:r w:rsidRPr="002D2917">
        <w:t>a</w:t>
      </w:r>
      <w:r w:rsidRPr="002D2917">
        <w:rPr>
          <w:spacing w:val="1"/>
        </w:rPr>
        <w:t xml:space="preserve"> </w:t>
      </w:r>
      <w:r w:rsidRPr="002D2917">
        <w:t>Public</w:t>
      </w:r>
      <w:r w:rsidRPr="002D2917">
        <w:rPr>
          <w:spacing w:val="2"/>
        </w:rPr>
        <w:t xml:space="preserve"> </w:t>
      </w:r>
      <w:r w:rsidRPr="002D2917">
        <w:t>Health</w:t>
      </w:r>
      <w:r w:rsidRPr="002D2917">
        <w:rPr>
          <w:spacing w:val="1"/>
        </w:rPr>
        <w:t xml:space="preserve"> </w:t>
      </w:r>
      <w:r w:rsidRPr="002D2917">
        <w:t xml:space="preserve">Consultant </w:t>
      </w:r>
      <w:r w:rsidRPr="002D2917">
        <w:rPr>
          <w:spacing w:val="1"/>
        </w:rPr>
        <w:t>from</w:t>
      </w:r>
      <w:r w:rsidRPr="002D2917">
        <w:rPr>
          <w:spacing w:val="2"/>
        </w:rPr>
        <w:t xml:space="preserve"> </w:t>
      </w:r>
      <w:r w:rsidRPr="002D2917">
        <w:t>Essex County Council</w:t>
      </w:r>
      <w:r w:rsidRPr="002D2917">
        <w:rPr>
          <w:spacing w:val="2"/>
        </w:rPr>
        <w:t xml:space="preserve"> </w:t>
      </w:r>
      <w:r w:rsidRPr="002D2917">
        <w:t>(ECC</w:t>
      </w:r>
      <w:r>
        <w:t>); and b) an elected ECC councillor.</w:t>
      </w:r>
    </w:p>
    <w:p w14:paraId="30380441" w14:textId="68C3BEFB" w:rsidR="004B0989" w:rsidRDefault="004B0989" w:rsidP="00BC3673">
      <w:pPr>
        <w:pStyle w:val="BodyText"/>
        <w:kinsoku w:val="0"/>
        <w:overflowPunct w:val="0"/>
        <w:spacing w:before="360"/>
        <w:ind w:right="174"/>
      </w:pPr>
      <w:r w:rsidRPr="00C9506B">
        <w:t>The</w:t>
      </w:r>
      <w:r w:rsidRPr="00C9506B">
        <w:rPr>
          <w:spacing w:val="1"/>
        </w:rPr>
        <w:t xml:space="preserve"> </w:t>
      </w:r>
      <w:r w:rsidRPr="00C9506B">
        <w:rPr>
          <w:spacing w:val="-1"/>
        </w:rPr>
        <w:t>Board</w:t>
      </w:r>
      <w:r w:rsidRPr="00C9506B">
        <w:rPr>
          <w:spacing w:val="1"/>
        </w:rPr>
        <w:t xml:space="preserve"> </w:t>
      </w:r>
      <w:r w:rsidRPr="00C9506B">
        <w:t>undertakes</w:t>
      </w:r>
      <w:r w:rsidRPr="00C9506B">
        <w:rPr>
          <w:spacing w:val="2"/>
        </w:rPr>
        <w:t xml:space="preserve"> </w:t>
      </w:r>
      <w:r w:rsidR="006F3A0B" w:rsidRPr="00C9506B">
        <w:t>regular</w:t>
      </w:r>
      <w:r w:rsidRPr="00C9506B">
        <w:rPr>
          <w:spacing w:val="2"/>
        </w:rPr>
        <w:t xml:space="preserve"> </w:t>
      </w:r>
      <w:r w:rsidRPr="00C9506B">
        <w:t>review</w:t>
      </w:r>
      <w:r w:rsidR="006F3A0B" w:rsidRPr="00C9506B">
        <w:t>s</w:t>
      </w:r>
      <w:r w:rsidRPr="00C9506B">
        <w:t xml:space="preserve"> of</w:t>
      </w:r>
      <w:r w:rsidRPr="00C9506B">
        <w:rPr>
          <w:spacing w:val="3"/>
        </w:rPr>
        <w:t xml:space="preserve"> </w:t>
      </w:r>
      <w:r w:rsidRPr="00C9506B">
        <w:t>its effectiveness and</w:t>
      </w:r>
      <w:r w:rsidRPr="00C9506B">
        <w:rPr>
          <w:spacing w:val="1"/>
        </w:rPr>
        <w:t xml:space="preserve"> has</w:t>
      </w:r>
      <w:r w:rsidRPr="00C9506B">
        <w:t xml:space="preserve"> determined</w:t>
      </w:r>
      <w:r w:rsidRPr="00C9506B">
        <w:rPr>
          <w:spacing w:val="3"/>
        </w:rPr>
        <w:t xml:space="preserve"> </w:t>
      </w:r>
      <w:r w:rsidRPr="00C9506B">
        <w:t>that</w:t>
      </w:r>
      <w:r w:rsidRPr="00C9506B">
        <w:rPr>
          <w:spacing w:val="3"/>
        </w:rPr>
        <w:t xml:space="preserve"> </w:t>
      </w:r>
      <w:r w:rsidRPr="00C9506B">
        <w:rPr>
          <w:spacing w:val="-1"/>
        </w:rPr>
        <w:t>it</w:t>
      </w:r>
      <w:r w:rsidRPr="00C9506B">
        <w:t xml:space="preserve"> fulfils</w:t>
      </w:r>
      <w:r w:rsidRPr="00C9506B">
        <w:rPr>
          <w:spacing w:val="2"/>
        </w:rPr>
        <w:t xml:space="preserve"> </w:t>
      </w:r>
      <w:r w:rsidRPr="00C9506B">
        <w:rPr>
          <w:spacing w:val="-1"/>
        </w:rPr>
        <w:t>its</w:t>
      </w:r>
      <w:r w:rsidRPr="00C9506B">
        <w:rPr>
          <w:spacing w:val="54"/>
        </w:rPr>
        <w:t xml:space="preserve"> </w:t>
      </w:r>
      <w:r w:rsidRPr="00C9506B">
        <w:rPr>
          <w:spacing w:val="-1"/>
        </w:rPr>
        <w:t>role</w:t>
      </w:r>
      <w:r w:rsidRPr="00C9506B">
        <w:rPr>
          <w:spacing w:val="3"/>
        </w:rPr>
        <w:t xml:space="preserve"> </w:t>
      </w:r>
      <w:r w:rsidRPr="00C9506B">
        <w:t>effectively either</w:t>
      </w:r>
      <w:r w:rsidRPr="00C9506B">
        <w:rPr>
          <w:spacing w:val="-1"/>
        </w:rPr>
        <w:t xml:space="preserve"> </w:t>
      </w:r>
      <w:r w:rsidRPr="00C9506B">
        <w:t>all</w:t>
      </w:r>
      <w:r w:rsidRPr="00C9506B">
        <w:rPr>
          <w:spacing w:val="2"/>
        </w:rPr>
        <w:t xml:space="preserve"> </w:t>
      </w:r>
      <w:r w:rsidRPr="00C9506B">
        <w:t>or</w:t>
      </w:r>
      <w:r w:rsidRPr="00C9506B">
        <w:rPr>
          <w:spacing w:val="-1"/>
        </w:rPr>
        <w:t xml:space="preserve"> </w:t>
      </w:r>
      <w:r w:rsidRPr="00C9506B">
        <w:rPr>
          <w:spacing w:val="1"/>
        </w:rPr>
        <w:t>most</w:t>
      </w:r>
      <w:r w:rsidRPr="00C9506B">
        <w:t xml:space="preserve"> of</w:t>
      </w:r>
      <w:r w:rsidRPr="00C9506B">
        <w:rPr>
          <w:spacing w:val="3"/>
        </w:rPr>
        <w:t xml:space="preserve"> </w:t>
      </w:r>
      <w:r w:rsidRPr="00C9506B">
        <w:t>the</w:t>
      </w:r>
      <w:r w:rsidRPr="00C9506B">
        <w:rPr>
          <w:spacing w:val="1"/>
        </w:rPr>
        <w:t xml:space="preserve"> </w:t>
      </w:r>
      <w:r w:rsidRPr="00C9506B">
        <w:t>time</w:t>
      </w:r>
      <w:r w:rsidRPr="00C9506B">
        <w:rPr>
          <w:spacing w:val="1"/>
        </w:rPr>
        <w:t xml:space="preserve"> and </w:t>
      </w:r>
      <w:r w:rsidRPr="00C9506B">
        <w:t>that there</w:t>
      </w:r>
      <w:r w:rsidRPr="00C9506B">
        <w:rPr>
          <w:spacing w:val="3"/>
        </w:rPr>
        <w:t xml:space="preserve"> </w:t>
      </w:r>
      <w:r w:rsidRPr="00C9506B">
        <w:rPr>
          <w:spacing w:val="-1"/>
        </w:rPr>
        <w:t>is</w:t>
      </w:r>
      <w:r w:rsidRPr="00C9506B">
        <w:rPr>
          <w:spacing w:val="2"/>
        </w:rPr>
        <w:t xml:space="preserve"> </w:t>
      </w:r>
      <w:r w:rsidRPr="00C9506B">
        <w:t>good</w:t>
      </w:r>
      <w:r w:rsidRPr="00C9506B">
        <w:rPr>
          <w:spacing w:val="1"/>
        </w:rPr>
        <w:t xml:space="preserve"> </w:t>
      </w:r>
      <w:r w:rsidRPr="00C9506B">
        <w:t>engagement of</w:t>
      </w:r>
      <w:r w:rsidRPr="00C9506B">
        <w:rPr>
          <w:spacing w:val="3"/>
        </w:rPr>
        <w:t xml:space="preserve"> </w:t>
      </w:r>
      <w:r w:rsidRPr="00C9506B">
        <w:t>members.  Appraisals of</w:t>
      </w:r>
      <w:r w:rsidRPr="00C9506B">
        <w:rPr>
          <w:spacing w:val="3"/>
        </w:rPr>
        <w:t xml:space="preserve"> </w:t>
      </w:r>
      <w:r w:rsidRPr="00C9506B">
        <w:t>Board</w:t>
      </w:r>
      <w:r w:rsidRPr="00C9506B">
        <w:rPr>
          <w:spacing w:val="1"/>
        </w:rPr>
        <w:t xml:space="preserve"> </w:t>
      </w:r>
      <w:r w:rsidRPr="00C9506B">
        <w:t>members are</w:t>
      </w:r>
      <w:r w:rsidRPr="00C9506B">
        <w:rPr>
          <w:spacing w:val="1"/>
        </w:rPr>
        <w:t xml:space="preserve"> </w:t>
      </w:r>
      <w:r w:rsidRPr="00C9506B">
        <w:t>undertaken</w:t>
      </w:r>
      <w:r w:rsidRPr="00C9506B">
        <w:rPr>
          <w:spacing w:val="1"/>
        </w:rPr>
        <w:t xml:space="preserve"> </w:t>
      </w:r>
      <w:r w:rsidRPr="00C9506B">
        <w:t>to</w:t>
      </w:r>
      <w:r w:rsidRPr="00C9506B">
        <w:rPr>
          <w:spacing w:val="1"/>
        </w:rPr>
        <w:t xml:space="preserve"> </w:t>
      </w:r>
      <w:r w:rsidRPr="00C9506B">
        <w:t>evaluate</w:t>
      </w:r>
      <w:r w:rsidRPr="00C9506B">
        <w:rPr>
          <w:spacing w:val="3"/>
        </w:rPr>
        <w:t xml:space="preserve"> </w:t>
      </w:r>
      <w:r w:rsidRPr="00C9506B">
        <w:t>individuals’ contributions</w:t>
      </w:r>
      <w:r w:rsidRPr="00C9506B">
        <w:rPr>
          <w:spacing w:val="2"/>
        </w:rPr>
        <w:t xml:space="preserve"> </w:t>
      </w:r>
      <w:r w:rsidRPr="00C9506B">
        <w:t>and</w:t>
      </w:r>
      <w:r w:rsidRPr="00C9506B">
        <w:rPr>
          <w:spacing w:val="62"/>
        </w:rPr>
        <w:t xml:space="preserve"> </w:t>
      </w:r>
      <w:r w:rsidRPr="00C9506B">
        <w:t>performance.</w:t>
      </w:r>
      <w:r>
        <w:rPr>
          <w:spacing w:val="1"/>
        </w:rPr>
        <w:t xml:space="preserve"> </w:t>
      </w:r>
    </w:p>
    <w:p w14:paraId="4945126A" w14:textId="524D6F29" w:rsidR="004B0989" w:rsidRDefault="004B0989" w:rsidP="00BC3673">
      <w:pPr>
        <w:pStyle w:val="BodyText"/>
        <w:kinsoku w:val="0"/>
        <w:overflowPunct w:val="0"/>
        <w:spacing w:before="360"/>
        <w:ind w:right="126"/>
        <w:rPr>
          <w:spacing w:val="52"/>
        </w:rPr>
      </w:pPr>
      <w:r>
        <w:rPr>
          <w:spacing w:val="1"/>
        </w:rPr>
        <w:t xml:space="preserve">To </w:t>
      </w:r>
      <w:r>
        <w:rPr>
          <w:spacing w:val="-1"/>
        </w:rPr>
        <w:t>support</w:t>
      </w:r>
      <w:r>
        <w:rPr>
          <w:spacing w:val="3"/>
        </w:rPr>
        <w:t xml:space="preserve"> </w:t>
      </w:r>
      <w:r>
        <w:t>the</w:t>
      </w:r>
      <w:r>
        <w:rPr>
          <w:spacing w:val="1"/>
        </w:rPr>
        <w:t xml:space="preserve"> </w:t>
      </w:r>
      <w:r>
        <w:t>Board</w:t>
      </w:r>
      <w:r>
        <w:rPr>
          <w:spacing w:val="3"/>
        </w:rPr>
        <w:t xml:space="preserve"> </w:t>
      </w:r>
      <w:r>
        <w:t>in</w:t>
      </w:r>
      <w:r>
        <w:rPr>
          <w:spacing w:val="1"/>
        </w:rPr>
        <w:t xml:space="preserve"> </w:t>
      </w:r>
      <w:r>
        <w:t>carrying</w:t>
      </w:r>
      <w:r>
        <w:rPr>
          <w:spacing w:val="1"/>
        </w:rPr>
        <w:t xml:space="preserve"> </w:t>
      </w:r>
      <w:r>
        <w:t>out</w:t>
      </w:r>
      <w:r>
        <w:rPr>
          <w:spacing w:val="3"/>
        </w:rPr>
        <w:t xml:space="preserve"> </w:t>
      </w:r>
      <w:r>
        <w:rPr>
          <w:spacing w:val="-1"/>
        </w:rPr>
        <w:t>its</w:t>
      </w:r>
      <w:r>
        <w:t xml:space="preserve"> duties effectively,</w:t>
      </w:r>
      <w:r>
        <w:rPr>
          <w:spacing w:val="3"/>
        </w:rPr>
        <w:t xml:space="preserve"> </w:t>
      </w:r>
      <w:r>
        <w:t>committees reporting</w:t>
      </w:r>
      <w:r>
        <w:rPr>
          <w:spacing w:val="1"/>
        </w:rPr>
        <w:t xml:space="preserve"> </w:t>
      </w:r>
      <w:r>
        <w:t>to</w:t>
      </w:r>
      <w:r>
        <w:rPr>
          <w:spacing w:val="1"/>
        </w:rPr>
        <w:t xml:space="preserve"> </w:t>
      </w:r>
      <w:r>
        <w:t>the</w:t>
      </w:r>
      <w:r>
        <w:rPr>
          <w:spacing w:val="1"/>
        </w:rPr>
        <w:t xml:space="preserve"> </w:t>
      </w:r>
      <w:r>
        <w:t>Board</w:t>
      </w:r>
      <w:r>
        <w:rPr>
          <w:spacing w:val="1"/>
        </w:rPr>
        <w:t xml:space="preserve"> </w:t>
      </w:r>
      <w:r>
        <w:t>are</w:t>
      </w:r>
      <w:r>
        <w:rPr>
          <w:spacing w:val="72"/>
        </w:rPr>
        <w:t xml:space="preserve"> </w:t>
      </w:r>
      <w:r>
        <w:t>formally established.</w:t>
      </w:r>
      <w:r>
        <w:rPr>
          <w:spacing w:val="3"/>
        </w:rPr>
        <w:t xml:space="preserve"> </w:t>
      </w:r>
      <w:r>
        <w:t>The</w:t>
      </w:r>
      <w:r>
        <w:rPr>
          <w:spacing w:val="1"/>
        </w:rPr>
        <w:t xml:space="preserve"> </w:t>
      </w:r>
      <w:r>
        <w:t>current</w:t>
      </w:r>
      <w:r>
        <w:rPr>
          <w:spacing w:val="3"/>
        </w:rPr>
        <w:t xml:space="preserve"> </w:t>
      </w:r>
      <w:r>
        <w:t>committee</w:t>
      </w:r>
      <w:r>
        <w:rPr>
          <w:spacing w:val="3"/>
        </w:rPr>
        <w:t xml:space="preserve"> </w:t>
      </w:r>
      <w:r>
        <w:t>structure</w:t>
      </w:r>
      <w:r>
        <w:rPr>
          <w:spacing w:val="3"/>
        </w:rPr>
        <w:t xml:space="preserve"> can be found on the </w:t>
      </w:r>
      <w:hyperlink r:id="rId29" w:history="1">
        <w:r w:rsidRPr="002D2917">
          <w:rPr>
            <w:rStyle w:val="Hyperlink"/>
            <w:spacing w:val="3"/>
          </w:rPr>
          <w:t>CCG Web Site (hyperlinks)</w:t>
        </w:r>
      </w:hyperlink>
      <w:r>
        <w:rPr>
          <w:spacing w:val="3"/>
        </w:rPr>
        <w:t xml:space="preserve"> . This was updated from 1 April 2021 with the addition of the Primary Care Commissioning Committee. </w:t>
      </w:r>
      <w:r>
        <w:t>In</w:t>
      </w:r>
      <w:r>
        <w:rPr>
          <w:spacing w:val="3"/>
        </w:rPr>
        <w:t xml:space="preserve"> </w:t>
      </w:r>
      <w:r>
        <w:t>line</w:t>
      </w:r>
      <w:r>
        <w:rPr>
          <w:spacing w:val="3"/>
        </w:rPr>
        <w:t xml:space="preserve"> </w:t>
      </w:r>
      <w:r>
        <w:rPr>
          <w:spacing w:val="-1"/>
        </w:rPr>
        <w:t>with</w:t>
      </w:r>
      <w:r>
        <w:rPr>
          <w:spacing w:val="3"/>
        </w:rPr>
        <w:t xml:space="preserve"> </w:t>
      </w:r>
      <w:r>
        <w:t>NHS</w:t>
      </w:r>
      <w:r>
        <w:rPr>
          <w:spacing w:val="3"/>
        </w:rPr>
        <w:t xml:space="preserve"> </w:t>
      </w:r>
      <w:r>
        <w:t>guidance</w:t>
      </w:r>
      <w:r>
        <w:rPr>
          <w:spacing w:val="3"/>
        </w:rPr>
        <w:t xml:space="preserve"> </w:t>
      </w:r>
      <w:r>
        <w:t>to</w:t>
      </w:r>
      <w:r>
        <w:rPr>
          <w:spacing w:val="3"/>
        </w:rPr>
        <w:t xml:space="preserve"> </w:t>
      </w:r>
      <w:r>
        <w:rPr>
          <w:spacing w:val="-1"/>
        </w:rPr>
        <w:t>reduce</w:t>
      </w:r>
      <w:r>
        <w:rPr>
          <w:spacing w:val="3"/>
        </w:rPr>
        <w:t xml:space="preserve"> </w:t>
      </w:r>
      <w:r>
        <w:rPr>
          <w:spacing w:val="1"/>
        </w:rPr>
        <w:t xml:space="preserve">the </w:t>
      </w:r>
      <w:r>
        <w:rPr>
          <w:spacing w:val="-1"/>
        </w:rPr>
        <w:t>burden</w:t>
      </w:r>
      <w:r>
        <w:rPr>
          <w:spacing w:val="56"/>
        </w:rPr>
        <w:t xml:space="preserve"> </w:t>
      </w:r>
      <w:r>
        <w:t>on</w:t>
      </w:r>
      <w:r>
        <w:rPr>
          <w:spacing w:val="1"/>
        </w:rPr>
        <w:t xml:space="preserve"> </w:t>
      </w:r>
      <w:r>
        <w:t>NHS</w:t>
      </w:r>
      <w:r>
        <w:rPr>
          <w:spacing w:val="1"/>
        </w:rPr>
        <w:t xml:space="preserve"> </w:t>
      </w:r>
      <w:r>
        <w:t>staff</w:t>
      </w:r>
      <w:r>
        <w:rPr>
          <w:spacing w:val="3"/>
        </w:rPr>
        <w:t xml:space="preserve"> </w:t>
      </w:r>
      <w:r>
        <w:t>during</w:t>
      </w:r>
      <w:r>
        <w:rPr>
          <w:spacing w:val="-1"/>
        </w:rPr>
        <w:t xml:space="preserve"> </w:t>
      </w:r>
      <w:r>
        <w:rPr>
          <w:spacing w:val="1"/>
        </w:rPr>
        <w:t xml:space="preserve">the </w:t>
      </w:r>
      <w:r>
        <w:t>pandemic,</w:t>
      </w:r>
      <w:r>
        <w:rPr>
          <w:spacing w:val="3"/>
        </w:rPr>
        <w:t xml:space="preserve"> some </w:t>
      </w:r>
      <w:r>
        <w:t>formal</w:t>
      </w:r>
      <w:r>
        <w:rPr>
          <w:spacing w:val="2"/>
        </w:rPr>
        <w:t xml:space="preserve"> </w:t>
      </w:r>
      <w:r>
        <w:t>committee</w:t>
      </w:r>
      <w:r>
        <w:rPr>
          <w:spacing w:val="1"/>
        </w:rPr>
        <w:t xml:space="preserve"> </w:t>
      </w:r>
      <w:r>
        <w:t>meetings</w:t>
      </w:r>
      <w:r>
        <w:rPr>
          <w:spacing w:val="2"/>
        </w:rPr>
        <w:t xml:space="preserve"> </w:t>
      </w:r>
      <w:r>
        <w:t>were</w:t>
      </w:r>
      <w:r>
        <w:rPr>
          <w:spacing w:val="1"/>
        </w:rPr>
        <w:t xml:space="preserve"> </w:t>
      </w:r>
      <w:r>
        <w:t>stood</w:t>
      </w:r>
      <w:r>
        <w:rPr>
          <w:spacing w:val="1"/>
        </w:rPr>
        <w:t xml:space="preserve"> </w:t>
      </w:r>
      <w:r>
        <w:t>down</w:t>
      </w:r>
      <w:r>
        <w:rPr>
          <w:spacing w:val="1"/>
        </w:rPr>
        <w:t xml:space="preserve"> </w:t>
      </w:r>
      <w:r>
        <w:t xml:space="preserve">during </w:t>
      </w:r>
      <w:r w:rsidRPr="009A5C1B">
        <w:t>April 2021</w:t>
      </w:r>
      <w:r>
        <w:t xml:space="preserve"> and again from mid-December 2021 to February 2022,</w:t>
      </w:r>
      <w:r>
        <w:rPr>
          <w:spacing w:val="5"/>
        </w:rPr>
        <w:t xml:space="preserve"> </w:t>
      </w:r>
      <w:r>
        <w:rPr>
          <w:spacing w:val="-1"/>
        </w:rPr>
        <w:t>with</w:t>
      </w:r>
      <w:r>
        <w:rPr>
          <w:spacing w:val="1"/>
        </w:rPr>
        <w:t xml:space="preserve"> any</w:t>
      </w:r>
      <w:r>
        <w:t xml:space="preserve"> urgent business </w:t>
      </w:r>
      <w:r>
        <w:rPr>
          <w:spacing w:val="1"/>
        </w:rPr>
        <w:t>being</w:t>
      </w:r>
      <w:r>
        <w:rPr>
          <w:spacing w:val="-1"/>
        </w:rPr>
        <w:t xml:space="preserve"> </w:t>
      </w:r>
      <w:r>
        <w:t>conducted</w:t>
      </w:r>
      <w:r>
        <w:rPr>
          <w:spacing w:val="6"/>
        </w:rPr>
        <w:t xml:space="preserve"> </w:t>
      </w:r>
      <w:r>
        <w:t>virtually.</w:t>
      </w:r>
      <w:r>
        <w:rPr>
          <w:spacing w:val="52"/>
        </w:rPr>
        <w:t xml:space="preserve"> </w:t>
      </w:r>
    </w:p>
    <w:p w14:paraId="2BEEF665" w14:textId="77777777" w:rsidR="004B0989" w:rsidRDefault="004B0989" w:rsidP="00BC3673">
      <w:pPr>
        <w:pStyle w:val="BodyText"/>
        <w:kinsoku w:val="0"/>
        <w:overflowPunct w:val="0"/>
        <w:spacing w:before="360"/>
        <w:ind w:right="115"/>
      </w:pPr>
      <w:r>
        <w:rPr>
          <w:spacing w:val="-1"/>
        </w:rPr>
        <w:t>From</w:t>
      </w:r>
      <w:r>
        <w:rPr>
          <w:spacing w:val="2"/>
        </w:rPr>
        <w:t xml:space="preserve"> </w:t>
      </w:r>
      <w:r>
        <w:t>Quarter</w:t>
      </w:r>
      <w:r>
        <w:rPr>
          <w:spacing w:val="-1"/>
        </w:rPr>
        <w:t xml:space="preserve"> </w:t>
      </w:r>
      <w:r>
        <w:t>1</w:t>
      </w:r>
      <w:r>
        <w:rPr>
          <w:spacing w:val="3"/>
        </w:rPr>
        <w:t xml:space="preserve"> </w:t>
      </w:r>
      <w:r>
        <w:t>of</w:t>
      </w:r>
      <w:r>
        <w:rPr>
          <w:spacing w:val="3"/>
        </w:rPr>
        <w:t xml:space="preserve"> </w:t>
      </w:r>
      <w:r>
        <w:t>2020/21, the</w:t>
      </w:r>
      <w:r>
        <w:rPr>
          <w:spacing w:val="1"/>
        </w:rPr>
        <w:t xml:space="preserve"> </w:t>
      </w:r>
      <w:r>
        <w:t>five</w:t>
      </w:r>
      <w:r>
        <w:rPr>
          <w:spacing w:val="3"/>
        </w:rPr>
        <w:t xml:space="preserve"> </w:t>
      </w:r>
      <w:r>
        <w:t>MSE CCGs</w:t>
      </w:r>
      <w:r>
        <w:rPr>
          <w:spacing w:val="2"/>
        </w:rPr>
        <w:t xml:space="preserve"> </w:t>
      </w:r>
      <w:r>
        <w:t>held</w:t>
      </w:r>
      <w:r>
        <w:rPr>
          <w:spacing w:val="1"/>
        </w:rPr>
        <w:t xml:space="preserve"> </w:t>
      </w:r>
      <w:r>
        <w:t>their</w:t>
      </w:r>
      <w:r>
        <w:rPr>
          <w:spacing w:val="2"/>
        </w:rPr>
        <w:t xml:space="preserve"> </w:t>
      </w:r>
      <w:r>
        <w:t>Remuneration</w:t>
      </w:r>
      <w:r>
        <w:rPr>
          <w:spacing w:val="30"/>
        </w:rPr>
        <w:t xml:space="preserve"> </w:t>
      </w:r>
      <w:r>
        <w:t>Committee,</w:t>
      </w:r>
      <w:r>
        <w:rPr>
          <w:spacing w:val="3"/>
        </w:rPr>
        <w:t xml:space="preserve"> </w:t>
      </w:r>
      <w:r>
        <w:t>Patient Safety</w:t>
      </w:r>
      <w:r>
        <w:rPr>
          <w:spacing w:val="-2"/>
        </w:rPr>
        <w:t xml:space="preserve"> </w:t>
      </w:r>
      <w:r>
        <w:t>&amp;</w:t>
      </w:r>
      <w:r>
        <w:rPr>
          <w:spacing w:val="3"/>
        </w:rPr>
        <w:t xml:space="preserve"> </w:t>
      </w:r>
      <w:r>
        <w:t>Quality Committee</w:t>
      </w:r>
      <w:r>
        <w:rPr>
          <w:spacing w:val="1"/>
        </w:rPr>
        <w:t xml:space="preserve"> </w:t>
      </w:r>
      <w:r>
        <w:t>(or</w:t>
      </w:r>
      <w:r>
        <w:rPr>
          <w:spacing w:val="-1"/>
        </w:rPr>
        <w:t xml:space="preserve"> </w:t>
      </w:r>
      <w:r>
        <w:t>equivalent)</w:t>
      </w:r>
      <w:r>
        <w:rPr>
          <w:spacing w:val="-1"/>
        </w:rPr>
        <w:t xml:space="preserve"> </w:t>
      </w:r>
      <w:r>
        <w:t>and</w:t>
      </w:r>
      <w:r>
        <w:rPr>
          <w:spacing w:val="3"/>
        </w:rPr>
        <w:t xml:space="preserve"> </w:t>
      </w:r>
      <w:r>
        <w:t>Finance</w:t>
      </w:r>
      <w:r>
        <w:rPr>
          <w:spacing w:val="1"/>
        </w:rPr>
        <w:t xml:space="preserve"> </w:t>
      </w:r>
      <w:r>
        <w:t>&amp;</w:t>
      </w:r>
      <w:r>
        <w:rPr>
          <w:spacing w:val="1"/>
        </w:rPr>
        <w:t xml:space="preserve"> </w:t>
      </w:r>
      <w:r>
        <w:t>Performance</w:t>
      </w:r>
      <w:r>
        <w:rPr>
          <w:spacing w:val="56"/>
        </w:rPr>
        <w:t xml:space="preserve"> </w:t>
      </w:r>
      <w:r>
        <w:t>Committee</w:t>
      </w:r>
      <w:r>
        <w:rPr>
          <w:spacing w:val="1"/>
        </w:rPr>
        <w:t xml:space="preserve"> </w:t>
      </w:r>
      <w:r>
        <w:t>meetings in</w:t>
      </w:r>
      <w:r>
        <w:rPr>
          <w:spacing w:val="1"/>
        </w:rPr>
        <w:t xml:space="preserve"> </w:t>
      </w:r>
      <w:r>
        <w:t>common.</w:t>
      </w:r>
    </w:p>
    <w:p w14:paraId="0BFD129B" w14:textId="77777777" w:rsidR="004B0989" w:rsidRDefault="004B0989" w:rsidP="00BC3673">
      <w:pPr>
        <w:pStyle w:val="BodyText"/>
        <w:kinsoku w:val="0"/>
        <w:overflowPunct w:val="0"/>
        <w:spacing w:before="360"/>
        <w:ind w:right="115"/>
      </w:pPr>
      <w:r>
        <w:t xml:space="preserve">From Quarter 1 of 2021/22, meetings in common arrangements were extended to include the five MSE CCGs Audit Committees and Primary Care Commissioning Committees. </w:t>
      </w:r>
    </w:p>
    <w:p w14:paraId="793DF8E1" w14:textId="26F11CA8" w:rsidR="004B0989" w:rsidRDefault="004B0989" w:rsidP="00BC3673">
      <w:pPr>
        <w:pStyle w:val="BodyText"/>
        <w:tabs>
          <w:tab w:val="left" w:pos="8519"/>
        </w:tabs>
        <w:kinsoku w:val="0"/>
        <w:overflowPunct w:val="0"/>
        <w:spacing w:before="360"/>
        <w:ind w:right="543"/>
      </w:pPr>
      <w:r>
        <w:t>The</w:t>
      </w:r>
      <w:r>
        <w:rPr>
          <w:spacing w:val="1"/>
        </w:rPr>
        <w:t xml:space="preserve"> </w:t>
      </w:r>
      <w:r>
        <w:rPr>
          <w:spacing w:val="-1"/>
        </w:rPr>
        <w:t>Mid</w:t>
      </w:r>
      <w:r>
        <w:rPr>
          <w:spacing w:val="1"/>
        </w:rPr>
        <w:t xml:space="preserve"> </w:t>
      </w:r>
      <w:r>
        <w:t>and</w:t>
      </w:r>
      <w:r>
        <w:rPr>
          <w:spacing w:val="3"/>
        </w:rPr>
        <w:t xml:space="preserve"> </w:t>
      </w:r>
      <w:r>
        <w:t>South</w:t>
      </w:r>
      <w:r>
        <w:rPr>
          <w:spacing w:val="1"/>
        </w:rPr>
        <w:t xml:space="preserve"> Essex</w:t>
      </w:r>
      <w:r>
        <w:t xml:space="preserve"> Health</w:t>
      </w:r>
      <w:r>
        <w:rPr>
          <w:spacing w:val="1"/>
        </w:rPr>
        <w:t xml:space="preserve"> </w:t>
      </w:r>
      <w:r>
        <w:t>and</w:t>
      </w:r>
      <w:r>
        <w:rPr>
          <w:spacing w:val="3"/>
        </w:rPr>
        <w:t xml:space="preserve"> </w:t>
      </w:r>
      <w:r>
        <w:t>Care</w:t>
      </w:r>
      <w:r>
        <w:rPr>
          <w:spacing w:val="1"/>
        </w:rPr>
        <w:t xml:space="preserve"> </w:t>
      </w:r>
      <w:r>
        <w:t>Partnership</w:t>
      </w:r>
      <w:r>
        <w:rPr>
          <w:spacing w:val="1"/>
        </w:rPr>
        <w:t xml:space="preserve"> </w:t>
      </w:r>
      <w:r>
        <w:t>Board,</w:t>
      </w:r>
      <w:r>
        <w:rPr>
          <w:spacing w:val="3"/>
        </w:rPr>
        <w:t xml:space="preserve"> </w:t>
      </w:r>
      <w:r>
        <w:t>which</w:t>
      </w:r>
      <w:r>
        <w:rPr>
          <w:spacing w:val="1"/>
        </w:rPr>
        <w:t xml:space="preserve"> </w:t>
      </w:r>
      <w:r>
        <w:t>includes</w:t>
      </w:r>
      <w:r>
        <w:rPr>
          <w:spacing w:val="2"/>
        </w:rPr>
        <w:t xml:space="preserve"> </w:t>
      </w:r>
      <w:r>
        <w:t>representation</w:t>
      </w:r>
      <w:r>
        <w:rPr>
          <w:spacing w:val="50"/>
        </w:rPr>
        <w:t xml:space="preserve"> </w:t>
      </w:r>
      <w:r>
        <w:t>from</w:t>
      </w:r>
      <w:r>
        <w:rPr>
          <w:spacing w:val="2"/>
        </w:rPr>
        <w:t xml:space="preserve"> </w:t>
      </w:r>
      <w:r>
        <w:t>the</w:t>
      </w:r>
      <w:r>
        <w:rPr>
          <w:spacing w:val="1"/>
        </w:rPr>
        <w:t xml:space="preserve"> </w:t>
      </w:r>
      <w:r>
        <w:t>CCG,</w:t>
      </w:r>
      <w:r>
        <w:rPr>
          <w:spacing w:val="3"/>
        </w:rPr>
        <w:t xml:space="preserve"> </w:t>
      </w:r>
      <w:r>
        <w:t>local authorities,</w:t>
      </w:r>
      <w:r>
        <w:rPr>
          <w:spacing w:val="3"/>
        </w:rPr>
        <w:t xml:space="preserve"> </w:t>
      </w:r>
      <w:r>
        <w:t>Healthwatch</w:t>
      </w:r>
      <w:r>
        <w:rPr>
          <w:spacing w:val="3"/>
        </w:rPr>
        <w:t xml:space="preserve"> </w:t>
      </w:r>
      <w:r>
        <w:t>Essex, the</w:t>
      </w:r>
      <w:r>
        <w:rPr>
          <w:spacing w:val="6"/>
        </w:rPr>
        <w:t xml:space="preserve"> </w:t>
      </w:r>
      <w:r>
        <w:t>voluntary sector, Anglian</w:t>
      </w:r>
      <w:r>
        <w:rPr>
          <w:spacing w:val="3"/>
        </w:rPr>
        <w:t xml:space="preserve"> </w:t>
      </w:r>
      <w:r>
        <w:t>Ruskin</w:t>
      </w:r>
      <w:r>
        <w:rPr>
          <w:spacing w:val="46"/>
        </w:rPr>
        <w:t xml:space="preserve"> </w:t>
      </w:r>
      <w:r>
        <w:t>University</w:t>
      </w:r>
      <w:r>
        <w:rPr>
          <w:spacing w:val="-2"/>
        </w:rPr>
        <w:t xml:space="preserve"> </w:t>
      </w:r>
      <w:r>
        <w:t>and</w:t>
      </w:r>
      <w:r>
        <w:rPr>
          <w:spacing w:val="3"/>
        </w:rPr>
        <w:t xml:space="preserve"> </w:t>
      </w:r>
      <w:r>
        <w:t>the</w:t>
      </w:r>
      <w:r>
        <w:rPr>
          <w:spacing w:val="3"/>
        </w:rPr>
        <w:t xml:space="preserve"> </w:t>
      </w:r>
      <w:r>
        <w:rPr>
          <w:spacing w:val="-1"/>
        </w:rPr>
        <w:t>CCG’s</w:t>
      </w:r>
      <w:r>
        <w:t xml:space="preserve"> main</w:t>
      </w:r>
      <w:r>
        <w:rPr>
          <w:spacing w:val="1"/>
        </w:rPr>
        <w:t xml:space="preserve"> </w:t>
      </w:r>
      <w:r>
        <w:t>providers,</w:t>
      </w:r>
      <w:r>
        <w:rPr>
          <w:spacing w:val="3"/>
        </w:rPr>
        <w:t xml:space="preserve"> </w:t>
      </w:r>
      <w:r>
        <w:t xml:space="preserve">met </w:t>
      </w:r>
      <w:r>
        <w:rPr>
          <w:spacing w:val="-1"/>
        </w:rPr>
        <w:t>in</w:t>
      </w:r>
      <w:r>
        <w:rPr>
          <w:spacing w:val="1"/>
        </w:rPr>
        <w:t xml:space="preserve"> </w:t>
      </w:r>
      <w:r>
        <w:t>private</w:t>
      </w:r>
      <w:r>
        <w:rPr>
          <w:spacing w:val="3"/>
        </w:rPr>
        <w:t xml:space="preserve"> </w:t>
      </w:r>
      <w:r>
        <w:t>throughout 2021/22.  The</w:t>
      </w:r>
      <w:r>
        <w:rPr>
          <w:spacing w:val="1"/>
        </w:rPr>
        <w:t xml:space="preserve"> </w:t>
      </w:r>
      <w:r>
        <w:t>minutes of</w:t>
      </w:r>
      <w:r>
        <w:rPr>
          <w:spacing w:val="62"/>
        </w:rPr>
        <w:t xml:space="preserve"> </w:t>
      </w:r>
      <w:r>
        <w:t>these</w:t>
      </w:r>
      <w:r>
        <w:rPr>
          <w:spacing w:val="1"/>
        </w:rPr>
        <w:t xml:space="preserve"> </w:t>
      </w:r>
      <w:r>
        <w:t>meetings</w:t>
      </w:r>
      <w:r>
        <w:rPr>
          <w:spacing w:val="2"/>
        </w:rPr>
        <w:t xml:space="preserve"> </w:t>
      </w:r>
      <w:r>
        <w:t>were</w:t>
      </w:r>
      <w:r>
        <w:rPr>
          <w:spacing w:val="1"/>
        </w:rPr>
        <w:t xml:space="preserve"> </w:t>
      </w:r>
      <w:r>
        <w:t>submitted</w:t>
      </w:r>
      <w:r>
        <w:rPr>
          <w:spacing w:val="1"/>
        </w:rPr>
        <w:t xml:space="preserve"> </w:t>
      </w:r>
      <w:r>
        <w:t>to</w:t>
      </w:r>
      <w:r>
        <w:rPr>
          <w:spacing w:val="3"/>
        </w:rPr>
        <w:t xml:space="preserve"> </w:t>
      </w:r>
      <w:r>
        <w:t>the</w:t>
      </w:r>
      <w:r>
        <w:rPr>
          <w:spacing w:val="3"/>
        </w:rPr>
        <w:t xml:space="preserve"> </w:t>
      </w:r>
      <w:r>
        <w:t>CCG’s</w:t>
      </w:r>
      <w:r>
        <w:rPr>
          <w:spacing w:val="2"/>
        </w:rPr>
        <w:t xml:space="preserve"> </w:t>
      </w:r>
      <w:r>
        <w:rPr>
          <w:spacing w:val="-1"/>
        </w:rPr>
        <w:t>Part</w:t>
      </w:r>
      <w:r>
        <w:t xml:space="preserve"> </w:t>
      </w:r>
      <w:r>
        <w:rPr>
          <w:spacing w:val="1"/>
        </w:rPr>
        <w:t>II</w:t>
      </w:r>
      <w:r>
        <w:t xml:space="preserve"> Board</w:t>
      </w:r>
      <w:r>
        <w:rPr>
          <w:spacing w:val="1"/>
        </w:rPr>
        <w:t xml:space="preserve"> </w:t>
      </w:r>
      <w:r>
        <w:t>meetings.</w:t>
      </w:r>
    </w:p>
    <w:p w14:paraId="13D51E18" w14:textId="77777777" w:rsidR="00311273" w:rsidRDefault="00311273" w:rsidP="00BC3673">
      <w:pPr>
        <w:spacing w:before="360" w:after="0"/>
        <w:rPr>
          <w:rFonts w:eastAsia="Arial"/>
          <w:spacing w:val="1"/>
          <w:position w:val="-1"/>
        </w:rPr>
      </w:pPr>
      <w:r w:rsidRPr="007830C3">
        <w:rPr>
          <w:rFonts w:eastAsia="Arial"/>
          <w:spacing w:val="1"/>
          <w:position w:val="-1"/>
        </w:rPr>
        <w:t xml:space="preserve">Each committee submits a summary of discussions, decisions and key issues to Board meetings. The main committees providing assurance to the Board are set out below. </w:t>
      </w:r>
    </w:p>
    <w:p w14:paraId="6DBB997A" w14:textId="0B0BF5D0" w:rsidR="00780EF0" w:rsidRPr="009A77A0" w:rsidRDefault="00780EF0" w:rsidP="00BC3673">
      <w:pPr>
        <w:pStyle w:val="BodyText"/>
        <w:spacing w:before="360"/>
        <w:rPr>
          <w:b/>
          <w:bCs/>
          <w:lang w:val="en"/>
        </w:rPr>
      </w:pPr>
      <w:r w:rsidRPr="009A77A0">
        <w:rPr>
          <w:b/>
          <w:bCs/>
          <w:lang w:val="en"/>
        </w:rPr>
        <w:t xml:space="preserve">Audit </w:t>
      </w:r>
      <w:r w:rsidR="0095220B">
        <w:rPr>
          <w:b/>
          <w:bCs/>
          <w:lang w:val="en"/>
        </w:rPr>
        <w:t>C</w:t>
      </w:r>
      <w:r w:rsidRPr="009A77A0">
        <w:rPr>
          <w:b/>
          <w:bCs/>
          <w:lang w:val="en"/>
        </w:rPr>
        <w:t>ommittee</w:t>
      </w:r>
    </w:p>
    <w:p w14:paraId="1CD09FE0" w14:textId="77777777" w:rsidR="00311273" w:rsidRDefault="00311273" w:rsidP="00311273">
      <w:pPr>
        <w:pStyle w:val="BodyText"/>
        <w:kinsoku w:val="0"/>
        <w:overflowPunct w:val="0"/>
        <w:spacing w:before="122"/>
        <w:ind w:right="153"/>
        <w:rPr>
          <w:spacing w:val="-1"/>
        </w:rPr>
      </w:pPr>
      <w:r>
        <w:t xml:space="preserve">This </w:t>
      </w:r>
      <w:r>
        <w:rPr>
          <w:spacing w:val="-1"/>
        </w:rPr>
        <w:t>Committee</w:t>
      </w:r>
      <w:r>
        <w:rPr>
          <w:spacing w:val="1"/>
        </w:rPr>
        <w:t xml:space="preserve"> </w:t>
      </w:r>
      <w:r>
        <w:rPr>
          <w:spacing w:val="-1"/>
        </w:rPr>
        <w:t>provides</w:t>
      </w:r>
      <w:r>
        <w:t xml:space="preserve"> </w:t>
      </w:r>
      <w:r>
        <w:rPr>
          <w:spacing w:val="-1"/>
        </w:rPr>
        <w:t>the</w:t>
      </w:r>
      <w:r>
        <w:rPr>
          <w:spacing w:val="1"/>
        </w:rPr>
        <w:t xml:space="preserve"> </w:t>
      </w:r>
      <w:r>
        <w:rPr>
          <w:spacing w:val="-1"/>
        </w:rPr>
        <w:t>CCG</w:t>
      </w:r>
      <w:r>
        <w:t xml:space="preserve"> </w:t>
      </w:r>
      <w:r>
        <w:rPr>
          <w:spacing w:val="-1"/>
        </w:rPr>
        <w:t>Board</w:t>
      </w:r>
      <w:r>
        <w:rPr>
          <w:spacing w:val="1"/>
        </w:rPr>
        <w:t xml:space="preserve"> </w:t>
      </w:r>
      <w:r>
        <w:rPr>
          <w:spacing w:val="-1"/>
        </w:rPr>
        <w:t>with</w:t>
      </w:r>
      <w:r>
        <w:rPr>
          <w:spacing w:val="1"/>
        </w:rPr>
        <w:t xml:space="preserve"> </w:t>
      </w:r>
      <w:r>
        <w:t>an</w:t>
      </w:r>
      <w:r>
        <w:rPr>
          <w:spacing w:val="1"/>
        </w:rPr>
        <w:t xml:space="preserve"> </w:t>
      </w:r>
      <w:r>
        <w:rPr>
          <w:spacing w:val="-1"/>
        </w:rPr>
        <w:t>independent</w:t>
      </w:r>
      <w:r>
        <w:t xml:space="preserve"> </w:t>
      </w:r>
      <w:r>
        <w:rPr>
          <w:spacing w:val="-1"/>
        </w:rPr>
        <w:t>and objective</w:t>
      </w:r>
      <w:r>
        <w:rPr>
          <w:spacing w:val="1"/>
        </w:rPr>
        <w:t xml:space="preserve"> </w:t>
      </w:r>
      <w:r>
        <w:rPr>
          <w:spacing w:val="-1"/>
        </w:rPr>
        <w:t>view</w:t>
      </w:r>
      <w:r>
        <w:rPr>
          <w:spacing w:val="-3"/>
        </w:rPr>
        <w:t xml:space="preserve"> </w:t>
      </w:r>
      <w:r>
        <w:t>of</w:t>
      </w:r>
      <w:r>
        <w:rPr>
          <w:spacing w:val="3"/>
        </w:rPr>
        <w:t xml:space="preserve"> </w:t>
      </w:r>
      <w:r>
        <w:rPr>
          <w:spacing w:val="-1"/>
        </w:rPr>
        <w:t>the</w:t>
      </w:r>
      <w:r>
        <w:rPr>
          <w:spacing w:val="1"/>
        </w:rPr>
        <w:t xml:space="preserve"> </w:t>
      </w:r>
      <w:r>
        <w:rPr>
          <w:spacing w:val="-1"/>
        </w:rPr>
        <w:t>CCG’s</w:t>
      </w:r>
      <w:r>
        <w:rPr>
          <w:spacing w:val="37"/>
        </w:rPr>
        <w:t xml:space="preserve"> </w:t>
      </w:r>
      <w:r>
        <w:rPr>
          <w:spacing w:val="-1"/>
        </w:rPr>
        <w:t>financial</w:t>
      </w:r>
      <w:r>
        <w:t xml:space="preserve"> </w:t>
      </w:r>
      <w:r>
        <w:rPr>
          <w:spacing w:val="-1"/>
        </w:rPr>
        <w:t>systems,</w:t>
      </w:r>
      <w:r>
        <w:rPr>
          <w:spacing w:val="-2"/>
        </w:rPr>
        <w:t xml:space="preserve"> </w:t>
      </w:r>
      <w:r>
        <w:rPr>
          <w:spacing w:val="-1"/>
        </w:rPr>
        <w:t>financial</w:t>
      </w:r>
      <w:r>
        <w:t xml:space="preserve"> </w:t>
      </w:r>
      <w:r>
        <w:rPr>
          <w:spacing w:val="-1"/>
        </w:rPr>
        <w:t>information</w:t>
      </w:r>
      <w:r>
        <w:rPr>
          <w:spacing w:val="1"/>
        </w:rPr>
        <w:t xml:space="preserve"> </w:t>
      </w:r>
      <w:r>
        <w:rPr>
          <w:spacing w:val="-1"/>
        </w:rPr>
        <w:t>and</w:t>
      </w:r>
      <w:r>
        <w:rPr>
          <w:spacing w:val="1"/>
        </w:rPr>
        <w:t xml:space="preserve"> </w:t>
      </w:r>
      <w:r>
        <w:rPr>
          <w:spacing w:val="-1"/>
        </w:rPr>
        <w:t>compliance</w:t>
      </w:r>
      <w:r>
        <w:rPr>
          <w:spacing w:val="1"/>
        </w:rPr>
        <w:t xml:space="preserve"> </w:t>
      </w:r>
      <w:r>
        <w:rPr>
          <w:spacing w:val="-1"/>
        </w:rPr>
        <w:t>with</w:t>
      </w:r>
      <w:r>
        <w:rPr>
          <w:spacing w:val="1"/>
        </w:rPr>
        <w:t xml:space="preserve"> </w:t>
      </w:r>
      <w:r>
        <w:rPr>
          <w:spacing w:val="-1"/>
        </w:rPr>
        <w:t>laws,</w:t>
      </w:r>
      <w:r>
        <w:t xml:space="preserve"> </w:t>
      </w:r>
      <w:r>
        <w:rPr>
          <w:spacing w:val="-1"/>
        </w:rPr>
        <w:t>regulations</w:t>
      </w:r>
      <w:r>
        <w:rPr>
          <w:spacing w:val="-2"/>
        </w:rPr>
        <w:t xml:space="preserve"> </w:t>
      </w:r>
      <w:r>
        <w:t>and</w:t>
      </w:r>
      <w:r>
        <w:rPr>
          <w:spacing w:val="-1"/>
        </w:rPr>
        <w:t xml:space="preserve"> directions</w:t>
      </w:r>
      <w:r>
        <w:rPr>
          <w:spacing w:val="75"/>
        </w:rPr>
        <w:t xml:space="preserve"> </w:t>
      </w:r>
      <w:r>
        <w:rPr>
          <w:spacing w:val="-1"/>
        </w:rPr>
        <w:t xml:space="preserve">governing </w:t>
      </w:r>
      <w:r>
        <w:t>the</w:t>
      </w:r>
      <w:r>
        <w:rPr>
          <w:spacing w:val="1"/>
        </w:rPr>
        <w:t xml:space="preserve"> </w:t>
      </w:r>
      <w:r>
        <w:rPr>
          <w:spacing w:val="-1"/>
        </w:rPr>
        <w:t>CCG</w:t>
      </w:r>
      <w:r>
        <w:t xml:space="preserve"> </w:t>
      </w:r>
      <w:r>
        <w:rPr>
          <w:spacing w:val="-1"/>
        </w:rPr>
        <w:t xml:space="preserve">insofar </w:t>
      </w:r>
      <w:r>
        <w:t>as</w:t>
      </w:r>
      <w:r>
        <w:rPr>
          <w:spacing w:val="-2"/>
        </w:rPr>
        <w:t xml:space="preserve"> </w:t>
      </w:r>
      <w:r>
        <w:t>they</w:t>
      </w:r>
      <w:r>
        <w:rPr>
          <w:spacing w:val="-2"/>
        </w:rPr>
        <w:t xml:space="preserve"> </w:t>
      </w:r>
      <w:r>
        <w:rPr>
          <w:spacing w:val="-1"/>
        </w:rPr>
        <w:t xml:space="preserve">relate </w:t>
      </w:r>
      <w:r>
        <w:t>to</w:t>
      </w:r>
      <w:r>
        <w:rPr>
          <w:spacing w:val="-4"/>
        </w:rPr>
        <w:t xml:space="preserve"> </w:t>
      </w:r>
      <w:r>
        <w:rPr>
          <w:spacing w:val="-1"/>
        </w:rPr>
        <w:t>finance,</w:t>
      </w:r>
      <w:r>
        <w:t xml:space="preserve"> </w:t>
      </w:r>
      <w:r>
        <w:rPr>
          <w:spacing w:val="-1"/>
        </w:rPr>
        <w:t>good corporate governance,</w:t>
      </w:r>
      <w:r>
        <w:t xml:space="preserve"> </w:t>
      </w:r>
      <w:r>
        <w:rPr>
          <w:spacing w:val="-1"/>
        </w:rPr>
        <w:t>information</w:t>
      </w:r>
      <w:r>
        <w:rPr>
          <w:spacing w:val="65"/>
        </w:rPr>
        <w:t xml:space="preserve"> </w:t>
      </w:r>
      <w:r>
        <w:rPr>
          <w:spacing w:val="-1"/>
        </w:rPr>
        <w:t>governance,</w:t>
      </w:r>
      <w:r>
        <w:t xml:space="preserve"> </w:t>
      </w:r>
      <w:r>
        <w:rPr>
          <w:spacing w:val="-1"/>
        </w:rPr>
        <w:t>cyber-security,</w:t>
      </w:r>
      <w:r>
        <w:t xml:space="preserve"> </w:t>
      </w:r>
      <w:r>
        <w:rPr>
          <w:spacing w:val="-1"/>
        </w:rPr>
        <w:t>emergency</w:t>
      </w:r>
      <w:r>
        <w:rPr>
          <w:spacing w:val="-2"/>
        </w:rPr>
        <w:t xml:space="preserve"> </w:t>
      </w:r>
      <w:r>
        <w:rPr>
          <w:spacing w:val="-1"/>
        </w:rPr>
        <w:t>planning,</w:t>
      </w:r>
      <w:r>
        <w:t xml:space="preserve"> </w:t>
      </w:r>
      <w:r>
        <w:rPr>
          <w:spacing w:val="-1"/>
        </w:rPr>
        <w:t>response</w:t>
      </w:r>
      <w:r>
        <w:rPr>
          <w:spacing w:val="1"/>
        </w:rPr>
        <w:t xml:space="preserve"> </w:t>
      </w:r>
      <w:r>
        <w:rPr>
          <w:spacing w:val="-1"/>
        </w:rPr>
        <w:t>and</w:t>
      </w:r>
      <w:r>
        <w:rPr>
          <w:spacing w:val="1"/>
        </w:rPr>
        <w:t xml:space="preserve"> </w:t>
      </w:r>
      <w:r>
        <w:rPr>
          <w:spacing w:val="-1"/>
        </w:rPr>
        <w:t>resilience</w:t>
      </w:r>
      <w:r>
        <w:rPr>
          <w:spacing w:val="1"/>
        </w:rPr>
        <w:t xml:space="preserve"> </w:t>
      </w:r>
      <w:r>
        <w:rPr>
          <w:spacing w:val="-1"/>
        </w:rPr>
        <w:t>(EPRR),</w:t>
      </w:r>
      <w:r>
        <w:t xml:space="preserve"> </w:t>
      </w:r>
      <w:r>
        <w:rPr>
          <w:spacing w:val="-1"/>
        </w:rPr>
        <w:t>business</w:t>
      </w:r>
      <w:r>
        <w:rPr>
          <w:spacing w:val="69"/>
        </w:rPr>
        <w:t xml:space="preserve"> </w:t>
      </w:r>
      <w:r>
        <w:rPr>
          <w:spacing w:val="-1"/>
        </w:rPr>
        <w:t>continuity</w:t>
      </w:r>
      <w:r>
        <w:rPr>
          <w:spacing w:val="-2"/>
        </w:rPr>
        <w:t xml:space="preserve"> </w:t>
      </w:r>
      <w:r>
        <w:rPr>
          <w:spacing w:val="-1"/>
        </w:rPr>
        <w:t>management</w:t>
      </w:r>
      <w:r>
        <w:t xml:space="preserve"> </w:t>
      </w:r>
      <w:r>
        <w:rPr>
          <w:spacing w:val="-1"/>
        </w:rPr>
        <w:t xml:space="preserve">(BCM) </w:t>
      </w:r>
      <w:r>
        <w:t>and</w:t>
      </w:r>
      <w:r>
        <w:rPr>
          <w:spacing w:val="1"/>
        </w:rPr>
        <w:t xml:space="preserve"> </w:t>
      </w:r>
      <w:r>
        <w:rPr>
          <w:spacing w:val="-1"/>
        </w:rPr>
        <w:t>the</w:t>
      </w:r>
      <w:r>
        <w:rPr>
          <w:spacing w:val="1"/>
        </w:rPr>
        <w:t xml:space="preserve"> </w:t>
      </w:r>
      <w:r>
        <w:rPr>
          <w:spacing w:val="-1"/>
        </w:rPr>
        <w:t>CCG’s</w:t>
      </w:r>
      <w:r>
        <w:t xml:space="preserve"> </w:t>
      </w:r>
      <w:r>
        <w:rPr>
          <w:spacing w:val="-1"/>
        </w:rPr>
        <w:t>responsibility</w:t>
      </w:r>
      <w:r>
        <w:rPr>
          <w:spacing w:val="-2"/>
        </w:rPr>
        <w:t xml:space="preserve"> </w:t>
      </w:r>
      <w:r>
        <w:t>to</w:t>
      </w:r>
      <w:r>
        <w:rPr>
          <w:spacing w:val="1"/>
        </w:rPr>
        <w:t xml:space="preserve"> </w:t>
      </w:r>
      <w:r>
        <w:t xml:space="preserve">act </w:t>
      </w:r>
      <w:r>
        <w:rPr>
          <w:spacing w:val="-1"/>
        </w:rPr>
        <w:t>effectively,</w:t>
      </w:r>
      <w:r>
        <w:t xml:space="preserve"> </w:t>
      </w:r>
      <w:r>
        <w:rPr>
          <w:spacing w:val="-1"/>
        </w:rPr>
        <w:t>efficiently</w:t>
      </w:r>
      <w:r>
        <w:rPr>
          <w:spacing w:val="-2"/>
        </w:rPr>
        <w:t xml:space="preserve"> </w:t>
      </w:r>
      <w:r>
        <w:t>and</w:t>
      </w:r>
      <w:r>
        <w:rPr>
          <w:spacing w:val="61"/>
        </w:rPr>
        <w:t xml:space="preserve"> </w:t>
      </w:r>
      <w:r>
        <w:rPr>
          <w:spacing w:val="-1"/>
        </w:rPr>
        <w:t>economically.</w:t>
      </w:r>
    </w:p>
    <w:p w14:paraId="1E865068" w14:textId="0023BD56" w:rsidR="00311273" w:rsidRDefault="00311273" w:rsidP="00311273">
      <w:pPr>
        <w:pStyle w:val="BodyText"/>
        <w:kinsoku w:val="0"/>
        <w:overflowPunct w:val="0"/>
        <w:ind w:right="203"/>
        <w:rPr>
          <w:spacing w:val="-1"/>
        </w:rPr>
      </w:pPr>
      <w:r>
        <w:lastRenderedPageBreak/>
        <w:t>The</w:t>
      </w:r>
      <w:r>
        <w:rPr>
          <w:spacing w:val="1"/>
        </w:rPr>
        <w:t xml:space="preserve"> </w:t>
      </w:r>
      <w:r>
        <w:rPr>
          <w:spacing w:val="-1"/>
        </w:rPr>
        <w:t>Audit</w:t>
      </w:r>
      <w:r>
        <w:t xml:space="preserve"> </w:t>
      </w:r>
      <w:r>
        <w:rPr>
          <w:spacing w:val="-1"/>
        </w:rPr>
        <w:t>Committee</w:t>
      </w:r>
      <w:r>
        <w:rPr>
          <w:spacing w:val="1"/>
        </w:rPr>
        <w:t xml:space="preserve"> </w:t>
      </w:r>
      <w:r>
        <w:rPr>
          <w:spacing w:val="-2"/>
        </w:rPr>
        <w:t>is</w:t>
      </w:r>
      <w:r>
        <w:t xml:space="preserve"> </w:t>
      </w:r>
      <w:r>
        <w:rPr>
          <w:spacing w:val="-1"/>
        </w:rPr>
        <w:t xml:space="preserve">chaired </w:t>
      </w:r>
      <w:r>
        <w:t>by</w:t>
      </w:r>
      <w:r>
        <w:rPr>
          <w:spacing w:val="-2"/>
        </w:rPr>
        <w:t xml:space="preserve"> </w:t>
      </w:r>
      <w:r>
        <w:t>the</w:t>
      </w:r>
      <w:r>
        <w:rPr>
          <w:spacing w:val="-1"/>
        </w:rPr>
        <w:t xml:space="preserve"> </w:t>
      </w:r>
      <w:r>
        <w:t>Lay</w:t>
      </w:r>
      <w:r>
        <w:rPr>
          <w:spacing w:val="-2"/>
        </w:rPr>
        <w:t xml:space="preserve"> </w:t>
      </w:r>
      <w:r>
        <w:rPr>
          <w:spacing w:val="-1"/>
        </w:rPr>
        <w:t>Member (Audit ), Nic</w:t>
      </w:r>
      <w:r w:rsidR="006F3A0B">
        <w:rPr>
          <w:spacing w:val="-1"/>
        </w:rPr>
        <w:t>h</w:t>
      </w:r>
      <w:r>
        <w:rPr>
          <w:spacing w:val="-1"/>
        </w:rPr>
        <w:t>olas Spe</w:t>
      </w:r>
      <w:r w:rsidR="00FF6356">
        <w:rPr>
          <w:spacing w:val="-1"/>
        </w:rPr>
        <w:t>n</w:t>
      </w:r>
      <w:r>
        <w:rPr>
          <w:spacing w:val="-1"/>
        </w:rPr>
        <w:t>celey.</w:t>
      </w:r>
      <w:r>
        <w:rPr>
          <w:spacing w:val="65"/>
        </w:rPr>
        <w:t xml:space="preserve"> </w:t>
      </w:r>
      <w:r>
        <w:t>As at</w:t>
      </w:r>
      <w:r>
        <w:rPr>
          <w:spacing w:val="-2"/>
        </w:rPr>
        <w:t xml:space="preserve"> </w:t>
      </w:r>
      <w:r>
        <w:t>31</w:t>
      </w:r>
      <w:r>
        <w:rPr>
          <w:spacing w:val="-1"/>
        </w:rPr>
        <w:t xml:space="preserve"> March</w:t>
      </w:r>
      <w:r>
        <w:rPr>
          <w:spacing w:val="1"/>
        </w:rPr>
        <w:t xml:space="preserve"> </w:t>
      </w:r>
      <w:r>
        <w:rPr>
          <w:spacing w:val="-1"/>
        </w:rPr>
        <w:t>2022,</w:t>
      </w:r>
      <w:r>
        <w:rPr>
          <w:spacing w:val="-2"/>
        </w:rPr>
        <w:t xml:space="preserve"> </w:t>
      </w:r>
      <w:r>
        <w:rPr>
          <w:spacing w:val="-1"/>
        </w:rPr>
        <w:t>the</w:t>
      </w:r>
      <w:r>
        <w:rPr>
          <w:spacing w:val="1"/>
        </w:rPr>
        <w:t xml:space="preserve"> </w:t>
      </w:r>
      <w:r>
        <w:rPr>
          <w:spacing w:val="-1"/>
        </w:rPr>
        <w:t>Committee’s</w:t>
      </w:r>
      <w:r>
        <w:t xml:space="preserve"> </w:t>
      </w:r>
      <w:r>
        <w:rPr>
          <w:spacing w:val="-1"/>
        </w:rPr>
        <w:t>other</w:t>
      </w:r>
      <w:r>
        <w:rPr>
          <w:spacing w:val="-3"/>
        </w:rPr>
        <w:t xml:space="preserve"> </w:t>
      </w:r>
      <w:r>
        <w:rPr>
          <w:spacing w:val="-1"/>
        </w:rPr>
        <w:t>members</w:t>
      </w:r>
      <w:r>
        <w:t xml:space="preserve"> </w:t>
      </w:r>
      <w:r>
        <w:rPr>
          <w:spacing w:val="-1"/>
        </w:rPr>
        <w:t>were</w:t>
      </w:r>
      <w:r>
        <w:rPr>
          <w:spacing w:val="1"/>
        </w:rPr>
        <w:t xml:space="preserve"> Gill</w:t>
      </w:r>
      <w:r w:rsidR="00F45EBE">
        <w:rPr>
          <w:spacing w:val="1"/>
        </w:rPr>
        <w:t>ian Meriel</w:t>
      </w:r>
      <w:r>
        <w:rPr>
          <w:spacing w:val="1"/>
        </w:rPr>
        <w:t xml:space="preserve"> Jones,</w:t>
      </w:r>
      <w:r>
        <w:t xml:space="preserve"> Lay</w:t>
      </w:r>
      <w:r>
        <w:rPr>
          <w:spacing w:val="-2"/>
        </w:rPr>
        <w:t xml:space="preserve"> </w:t>
      </w:r>
      <w:r>
        <w:rPr>
          <w:spacing w:val="-1"/>
        </w:rPr>
        <w:t>Member (Patient</w:t>
      </w:r>
      <w:r>
        <w:rPr>
          <w:spacing w:val="-2"/>
        </w:rPr>
        <w:t xml:space="preserve"> </w:t>
      </w:r>
      <w:r>
        <w:t>and</w:t>
      </w:r>
      <w:r>
        <w:rPr>
          <w:spacing w:val="-1"/>
        </w:rPr>
        <w:t xml:space="preserve"> Public</w:t>
      </w:r>
      <w:r>
        <w:t xml:space="preserve"> </w:t>
      </w:r>
      <w:r>
        <w:rPr>
          <w:spacing w:val="-1"/>
        </w:rPr>
        <w:t>Engagement) and Julia Hale, Secondary Care Specialist</w:t>
      </w:r>
    </w:p>
    <w:p w14:paraId="782B0579" w14:textId="77777777" w:rsidR="00311273" w:rsidRDefault="00311273" w:rsidP="00BC3673">
      <w:pPr>
        <w:pStyle w:val="BodyText"/>
        <w:kinsoku w:val="0"/>
        <w:overflowPunct w:val="0"/>
        <w:spacing w:before="360"/>
        <w:ind w:right="330"/>
        <w:rPr>
          <w:spacing w:val="-1"/>
        </w:rPr>
      </w:pPr>
      <w:r>
        <w:rPr>
          <w:spacing w:val="-1"/>
        </w:rPr>
        <w:t xml:space="preserve">From the Quarter 1 of 2021/22, </w:t>
      </w:r>
      <w:r>
        <w:t>the</w:t>
      </w:r>
      <w:r>
        <w:rPr>
          <w:spacing w:val="-1"/>
        </w:rPr>
        <w:t xml:space="preserve"> Committee met</w:t>
      </w:r>
      <w:r>
        <w:t xml:space="preserve"> in common with the other MSE CCG Audit Committees </w:t>
      </w:r>
      <w:r>
        <w:rPr>
          <w:spacing w:val="-1"/>
        </w:rPr>
        <w:t>on 5 occasions, plus 2 extraordinary meetings to review draft policies developed for the MSE ICB.  Attendance</w:t>
      </w:r>
      <w:r>
        <w:rPr>
          <w:spacing w:val="1"/>
        </w:rPr>
        <w:t xml:space="preserve"> </w:t>
      </w:r>
      <w:r>
        <w:t>has</w:t>
      </w:r>
      <w:r>
        <w:rPr>
          <w:spacing w:val="-2"/>
        </w:rPr>
        <w:t xml:space="preserve"> </w:t>
      </w:r>
      <w:r>
        <w:rPr>
          <w:spacing w:val="-1"/>
        </w:rPr>
        <w:t>been</w:t>
      </w:r>
      <w:r>
        <w:rPr>
          <w:spacing w:val="1"/>
        </w:rPr>
        <w:t xml:space="preserve"> </w:t>
      </w:r>
      <w:r>
        <w:rPr>
          <w:spacing w:val="-1"/>
        </w:rPr>
        <w:t>quorate</w:t>
      </w:r>
      <w:r>
        <w:rPr>
          <w:spacing w:val="1"/>
        </w:rPr>
        <w:t xml:space="preserve"> </w:t>
      </w:r>
      <w:r>
        <w:rPr>
          <w:spacing w:val="-1"/>
        </w:rPr>
        <w:t>in line</w:t>
      </w:r>
      <w:r>
        <w:rPr>
          <w:spacing w:val="63"/>
        </w:rPr>
        <w:t xml:space="preserve"> </w:t>
      </w:r>
      <w:r>
        <w:rPr>
          <w:spacing w:val="-1"/>
        </w:rPr>
        <w:t>with</w:t>
      </w:r>
      <w:r>
        <w:rPr>
          <w:spacing w:val="1"/>
        </w:rPr>
        <w:t xml:space="preserve"> </w:t>
      </w:r>
      <w:r>
        <w:rPr>
          <w:spacing w:val="-1"/>
        </w:rPr>
        <w:t>its</w:t>
      </w:r>
      <w:r>
        <w:t xml:space="preserve"> Terms</w:t>
      </w:r>
      <w:r>
        <w:rPr>
          <w:spacing w:val="-2"/>
        </w:rPr>
        <w:t xml:space="preserve"> </w:t>
      </w:r>
      <w:r>
        <w:rPr>
          <w:spacing w:val="-1"/>
        </w:rPr>
        <w:t>of</w:t>
      </w:r>
      <w:r>
        <w:rPr>
          <w:spacing w:val="3"/>
        </w:rPr>
        <w:t xml:space="preserve"> </w:t>
      </w:r>
      <w:r>
        <w:rPr>
          <w:spacing w:val="-1"/>
        </w:rPr>
        <w:t>Reference</w:t>
      </w:r>
      <w:r>
        <w:rPr>
          <w:spacing w:val="1"/>
        </w:rPr>
        <w:t xml:space="preserve"> </w:t>
      </w:r>
      <w:r>
        <w:rPr>
          <w:spacing w:val="-1"/>
        </w:rPr>
        <w:t>(minimum of</w:t>
      </w:r>
      <w:r>
        <w:t xml:space="preserve"> </w:t>
      </w:r>
      <w:r>
        <w:rPr>
          <w:spacing w:val="-1"/>
        </w:rPr>
        <w:t>two</w:t>
      </w:r>
      <w:r>
        <w:rPr>
          <w:spacing w:val="1"/>
        </w:rPr>
        <w:t xml:space="preserve"> </w:t>
      </w:r>
      <w:r>
        <w:rPr>
          <w:spacing w:val="-1"/>
        </w:rPr>
        <w:t>core</w:t>
      </w:r>
      <w:r>
        <w:rPr>
          <w:spacing w:val="1"/>
        </w:rPr>
        <w:t xml:space="preserve"> </w:t>
      </w:r>
      <w:r>
        <w:rPr>
          <w:spacing w:val="-1"/>
        </w:rPr>
        <w:t xml:space="preserve">members) </w:t>
      </w:r>
      <w:r w:rsidRPr="002D2917">
        <w:rPr>
          <w:spacing w:val="-1"/>
        </w:rPr>
        <w:t>on</w:t>
      </w:r>
      <w:r w:rsidRPr="002D2917">
        <w:rPr>
          <w:spacing w:val="1"/>
        </w:rPr>
        <w:t xml:space="preserve"> </w:t>
      </w:r>
      <w:r w:rsidRPr="002D2917">
        <w:rPr>
          <w:spacing w:val="-1"/>
        </w:rPr>
        <w:t>all</w:t>
      </w:r>
      <w:r w:rsidRPr="002D2917">
        <w:t xml:space="preserve"> </w:t>
      </w:r>
      <w:r w:rsidRPr="002D2917">
        <w:rPr>
          <w:spacing w:val="-1"/>
        </w:rPr>
        <w:t>occasions.</w:t>
      </w:r>
    </w:p>
    <w:p w14:paraId="6A201213" w14:textId="77777777" w:rsidR="00311273" w:rsidRDefault="00311273" w:rsidP="00BC3673">
      <w:pPr>
        <w:pStyle w:val="BodyText"/>
        <w:kinsoku w:val="0"/>
        <w:overflowPunct w:val="0"/>
        <w:spacing w:before="360"/>
        <w:ind w:right="153"/>
        <w:rPr>
          <w:spacing w:val="-1"/>
        </w:rPr>
      </w:pPr>
      <w:r>
        <w:rPr>
          <w:spacing w:val="-1"/>
        </w:rPr>
        <w:t xml:space="preserve">During 2021/22 </w:t>
      </w:r>
      <w:r>
        <w:t>the</w:t>
      </w:r>
      <w:r>
        <w:rPr>
          <w:spacing w:val="-1"/>
        </w:rPr>
        <w:t xml:space="preserve"> Audit</w:t>
      </w:r>
      <w:r>
        <w:rPr>
          <w:spacing w:val="1"/>
        </w:rPr>
        <w:t xml:space="preserve"> </w:t>
      </w:r>
      <w:r>
        <w:rPr>
          <w:spacing w:val="-1"/>
        </w:rPr>
        <w:t>Committee</w:t>
      </w:r>
      <w:r>
        <w:rPr>
          <w:spacing w:val="1"/>
        </w:rPr>
        <w:t xml:space="preserve"> </w:t>
      </w:r>
      <w:r>
        <w:rPr>
          <w:spacing w:val="-1"/>
        </w:rPr>
        <w:t>continued</w:t>
      </w:r>
      <w:r>
        <w:rPr>
          <w:spacing w:val="1"/>
        </w:rPr>
        <w:t xml:space="preserve"> </w:t>
      </w:r>
      <w:r>
        <w:t>to</w:t>
      </w:r>
      <w:r>
        <w:rPr>
          <w:spacing w:val="-1"/>
        </w:rPr>
        <w:t xml:space="preserve"> </w:t>
      </w:r>
      <w:r>
        <w:t>focus</w:t>
      </w:r>
      <w:r>
        <w:rPr>
          <w:spacing w:val="-2"/>
        </w:rPr>
        <w:t xml:space="preserve"> </w:t>
      </w:r>
      <w:r>
        <w:rPr>
          <w:spacing w:val="-1"/>
        </w:rPr>
        <w:t xml:space="preserve">upon ensuring </w:t>
      </w:r>
      <w:r>
        <w:t>the</w:t>
      </w:r>
      <w:r>
        <w:rPr>
          <w:spacing w:val="-1"/>
        </w:rPr>
        <w:t xml:space="preserve"> development</w:t>
      </w:r>
      <w:r>
        <w:t xml:space="preserve"> </w:t>
      </w:r>
      <w:r>
        <w:rPr>
          <w:spacing w:val="-1"/>
        </w:rPr>
        <w:t>and</w:t>
      </w:r>
      <w:r>
        <w:rPr>
          <w:spacing w:val="55"/>
        </w:rPr>
        <w:t xml:space="preserve"> </w:t>
      </w:r>
      <w:r>
        <w:rPr>
          <w:spacing w:val="-1"/>
        </w:rPr>
        <w:t>review</w:t>
      </w:r>
      <w:r>
        <w:rPr>
          <w:spacing w:val="-3"/>
        </w:rPr>
        <w:t xml:space="preserve"> </w:t>
      </w:r>
      <w:r>
        <w:t>of</w:t>
      </w:r>
      <w:r>
        <w:rPr>
          <w:spacing w:val="3"/>
        </w:rPr>
        <w:t xml:space="preserve"> </w:t>
      </w:r>
      <w:r>
        <w:rPr>
          <w:spacing w:val="-1"/>
        </w:rPr>
        <w:t>the</w:t>
      </w:r>
      <w:r>
        <w:rPr>
          <w:spacing w:val="1"/>
        </w:rPr>
        <w:t xml:space="preserve"> </w:t>
      </w:r>
      <w:r>
        <w:rPr>
          <w:spacing w:val="-1"/>
        </w:rPr>
        <w:t>systems,</w:t>
      </w:r>
      <w:r>
        <w:rPr>
          <w:spacing w:val="-2"/>
        </w:rPr>
        <w:t xml:space="preserve"> </w:t>
      </w:r>
      <w:r>
        <w:rPr>
          <w:spacing w:val="-1"/>
        </w:rPr>
        <w:t>policies,</w:t>
      </w:r>
      <w:r>
        <w:t xml:space="preserve"> </w:t>
      </w:r>
      <w:r>
        <w:rPr>
          <w:spacing w:val="-1"/>
        </w:rPr>
        <w:t>procedures</w:t>
      </w:r>
      <w:r>
        <w:t xml:space="preserve"> </w:t>
      </w:r>
      <w:r>
        <w:rPr>
          <w:spacing w:val="-1"/>
        </w:rPr>
        <w:t>and</w:t>
      </w:r>
      <w:r>
        <w:rPr>
          <w:spacing w:val="1"/>
        </w:rPr>
        <w:t xml:space="preserve"> </w:t>
      </w:r>
      <w:r>
        <w:rPr>
          <w:spacing w:val="-1"/>
        </w:rPr>
        <w:t>processes</w:t>
      </w:r>
      <w:r>
        <w:rPr>
          <w:spacing w:val="-2"/>
        </w:rPr>
        <w:t xml:space="preserve"> </w:t>
      </w:r>
      <w:r>
        <w:rPr>
          <w:spacing w:val="-1"/>
        </w:rPr>
        <w:t>fundamental</w:t>
      </w:r>
      <w:r>
        <w:t xml:space="preserve"> </w:t>
      </w:r>
      <w:r>
        <w:rPr>
          <w:spacing w:val="-1"/>
        </w:rPr>
        <w:t>to</w:t>
      </w:r>
      <w:r>
        <w:rPr>
          <w:spacing w:val="1"/>
        </w:rPr>
        <w:t xml:space="preserve"> </w:t>
      </w:r>
      <w:r>
        <w:rPr>
          <w:spacing w:val="-1"/>
        </w:rPr>
        <w:t>the</w:t>
      </w:r>
      <w:r>
        <w:rPr>
          <w:spacing w:val="1"/>
        </w:rPr>
        <w:t xml:space="preserve"> </w:t>
      </w:r>
      <w:r>
        <w:rPr>
          <w:spacing w:val="-1"/>
        </w:rPr>
        <w:t>governance</w:t>
      </w:r>
      <w:r>
        <w:rPr>
          <w:spacing w:val="-4"/>
        </w:rPr>
        <w:t xml:space="preserve"> </w:t>
      </w:r>
      <w:r>
        <w:rPr>
          <w:spacing w:val="-1"/>
        </w:rPr>
        <w:t>of</w:t>
      </w:r>
      <w:r>
        <w:rPr>
          <w:spacing w:val="3"/>
        </w:rPr>
        <w:t xml:space="preserve"> </w:t>
      </w:r>
      <w:r>
        <w:rPr>
          <w:spacing w:val="-1"/>
        </w:rPr>
        <w:t>the</w:t>
      </w:r>
      <w:r>
        <w:rPr>
          <w:spacing w:val="73"/>
        </w:rPr>
        <w:t xml:space="preserve"> </w:t>
      </w:r>
      <w:r>
        <w:rPr>
          <w:spacing w:val="-1"/>
        </w:rPr>
        <w:t>organisation.</w:t>
      </w:r>
      <w:r>
        <w:rPr>
          <w:spacing w:val="-2"/>
        </w:rPr>
        <w:t xml:space="preserve"> </w:t>
      </w:r>
      <w:r>
        <w:rPr>
          <w:spacing w:val="-1"/>
        </w:rPr>
        <w:t xml:space="preserve">  During Quarter 4, the committee undertook a review of policies being developed for the MSE ICB relating to areas within the committee’s remit.  </w:t>
      </w:r>
    </w:p>
    <w:p w14:paraId="3392ED41" w14:textId="77777777" w:rsidR="00311273" w:rsidRDefault="00311273" w:rsidP="00BC3673">
      <w:pPr>
        <w:pStyle w:val="BodyText"/>
        <w:kinsoku w:val="0"/>
        <w:overflowPunct w:val="0"/>
        <w:spacing w:before="360"/>
        <w:ind w:right="296"/>
        <w:rPr>
          <w:spacing w:val="-1"/>
        </w:rPr>
      </w:pPr>
      <w:r>
        <w:t>The</w:t>
      </w:r>
      <w:r>
        <w:rPr>
          <w:spacing w:val="1"/>
        </w:rPr>
        <w:t xml:space="preserve"> </w:t>
      </w:r>
      <w:r>
        <w:rPr>
          <w:spacing w:val="-1"/>
        </w:rPr>
        <w:t xml:space="preserve">Committee </w:t>
      </w:r>
      <w:r>
        <w:t>has</w:t>
      </w:r>
      <w:r>
        <w:rPr>
          <w:spacing w:val="-2"/>
        </w:rPr>
        <w:t xml:space="preserve"> </w:t>
      </w:r>
      <w:r>
        <w:rPr>
          <w:spacing w:val="-1"/>
        </w:rPr>
        <w:t>received</w:t>
      </w:r>
      <w:r>
        <w:rPr>
          <w:spacing w:val="1"/>
        </w:rPr>
        <w:t xml:space="preserve"> </w:t>
      </w:r>
      <w:r>
        <w:rPr>
          <w:spacing w:val="-1"/>
        </w:rPr>
        <w:t>assurance from internal</w:t>
      </w:r>
      <w:r>
        <w:rPr>
          <w:spacing w:val="-3"/>
        </w:rPr>
        <w:t xml:space="preserve"> </w:t>
      </w:r>
      <w:r>
        <w:rPr>
          <w:spacing w:val="-1"/>
        </w:rPr>
        <w:t>audit</w:t>
      </w:r>
      <w:r>
        <w:t xml:space="preserve"> </w:t>
      </w:r>
      <w:r>
        <w:rPr>
          <w:spacing w:val="-1"/>
        </w:rPr>
        <w:t>of</w:t>
      </w:r>
      <w:r>
        <w:t xml:space="preserve"> key</w:t>
      </w:r>
      <w:r>
        <w:rPr>
          <w:spacing w:val="-2"/>
        </w:rPr>
        <w:t xml:space="preserve"> </w:t>
      </w:r>
      <w:r>
        <w:t>systems</w:t>
      </w:r>
      <w:r>
        <w:rPr>
          <w:spacing w:val="-2"/>
        </w:rPr>
        <w:t xml:space="preserve"> </w:t>
      </w:r>
      <w:r>
        <w:rPr>
          <w:spacing w:val="-1"/>
        </w:rPr>
        <w:t>and</w:t>
      </w:r>
      <w:r>
        <w:rPr>
          <w:spacing w:val="1"/>
        </w:rPr>
        <w:t xml:space="preserve"> </w:t>
      </w:r>
      <w:r>
        <w:rPr>
          <w:spacing w:val="-1"/>
        </w:rPr>
        <w:t>processes</w:t>
      </w:r>
      <w:r>
        <w:rPr>
          <w:spacing w:val="-2"/>
        </w:rPr>
        <w:t xml:space="preserve"> </w:t>
      </w:r>
      <w:r>
        <w:t>and,</w:t>
      </w:r>
      <w:r>
        <w:rPr>
          <w:spacing w:val="-2"/>
        </w:rPr>
        <w:t xml:space="preserve"> </w:t>
      </w:r>
      <w:r>
        <w:rPr>
          <w:spacing w:val="-1"/>
        </w:rPr>
        <w:t>in</w:t>
      </w:r>
      <w:r>
        <w:rPr>
          <w:spacing w:val="61"/>
        </w:rPr>
        <w:t xml:space="preserve"> </w:t>
      </w:r>
      <w:r>
        <w:rPr>
          <w:spacing w:val="-1"/>
        </w:rPr>
        <w:t>addition</w:t>
      </w:r>
      <w:r>
        <w:rPr>
          <w:spacing w:val="1"/>
        </w:rPr>
        <w:t xml:space="preserve"> </w:t>
      </w:r>
      <w:r>
        <w:t>to</w:t>
      </w:r>
      <w:r>
        <w:rPr>
          <w:spacing w:val="-1"/>
        </w:rPr>
        <w:t xml:space="preserve"> routine</w:t>
      </w:r>
      <w:r>
        <w:rPr>
          <w:spacing w:val="1"/>
        </w:rPr>
        <w:t xml:space="preserve"> </w:t>
      </w:r>
      <w:r>
        <w:rPr>
          <w:spacing w:val="-1"/>
        </w:rPr>
        <w:t>reporting,</w:t>
      </w:r>
      <w:r>
        <w:t xml:space="preserve"> has </w:t>
      </w:r>
      <w:r>
        <w:rPr>
          <w:spacing w:val="-1"/>
        </w:rPr>
        <w:t>received</w:t>
      </w:r>
      <w:r>
        <w:rPr>
          <w:spacing w:val="1"/>
        </w:rPr>
        <w:t xml:space="preserve"> </w:t>
      </w:r>
      <w:r>
        <w:rPr>
          <w:spacing w:val="-1"/>
        </w:rPr>
        <w:t>updates</w:t>
      </w:r>
      <w:r>
        <w:rPr>
          <w:spacing w:val="-2"/>
        </w:rPr>
        <w:t xml:space="preserve"> </w:t>
      </w:r>
      <w:r>
        <w:t>on</w:t>
      </w:r>
      <w:r>
        <w:rPr>
          <w:spacing w:val="1"/>
        </w:rPr>
        <w:t xml:space="preserve"> </w:t>
      </w:r>
      <w:r>
        <w:rPr>
          <w:spacing w:val="-1"/>
        </w:rPr>
        <w:t>counter-fraud initiatives</w:t>
      </w:r>
      <w:r>
        <w:t xml:space="preserve"> and</w:t>
      </w:r>
      <w:r>
        <w:rPr>
          <w:spacing w:val="1"/>
        </w:rPr>
        <w:t xml:space="preserve"> </w:t>
      </w:r>
      <w:r>
        <w:rPr>
          <w:spacing w:val="-1"/>
        </w:rPr>
        <w:t>investigations</w:t>
      </w:r>
      <w:r>
        <w:rPr>
          <w:spacing w:val="53"/>
        </w:rPr>
        <w:t xml:space="preserve"> </w:t>
      </w:r>
      <w:r>
        <w:t>and</w:t>
      </w:r>
      <w:r>
        <w:rPr>
          <w:spacing w:val="1"/>
        </w:rPr>
        <w:t xml:space="preserve"> </w:t>
      </w:r>
      <w:r>
        <w:rPr>
          <w:spacing w:val="-1"/>
        </w:rPr>
        <w:t>implementation of</w:t>
      </w:r>
      <w:r>
        <w:t xml:space="preserve"> </w:t>
      </w:r>
      <w:r>
        <w:rPr>
          <w:spacing w:val="-1"/>
        </w:rPr>
        <w:t>audit</w:t>
      </w:r>
      <w:r>
        <w:t xml:space="preserve"> </w:t>
      </w:r>
      <w:r>
        <w:rPr>
          <w:spacing w:val="-1"/>
        </w:rPr>
        <w:t>recommendations.</w:t>
      </w:r>
      <w:r>
        <w:t xml:space="preserve"> </w:t>
      </w:r>
      <w:r>
        <w:rPr>
          <w:spacing w:val="-1"/>
        </w:rPr>
        <w:t>The</w:t>
      </w:r>
      <w:r>
        <w:rPr>
          <w:spacing w:val="1"/>
        </w:rPr>
        <w:t xml:space="preserve"> </w:t>
      </w:r>
      <w:r>
        <w:rPr>
          <w:spacing w:val="-1"/>
        </w:rPr>
        <w:t>Committee</w:t>
      </w:r>
      <w:r>
        <w:rPr>
          <w:spacing w:val="1"/>
        </w:rPr>
        <w:t xml:space="preserve"> </w:t>
      </w:r>
      <w:r>
        <w:rPr>
          <w:spacing w:val="-1"/>
        </w:rPr>
        <w:t>reviewed</w:t>
      </w:r>
      <w:r>
        <w:rPr>
          <w:spacing w:val="1"/>
        </w:rPr>
        <w:t xml:space="preserve"> </w:t>
      </w:r>
      <w:r>
        <w:t>the</w:t>
      </w:r>
      <w:r>
        <w:rPr>
          <w:spacing w:val="1"/>
        </w:rPr>
        <w:t xml:space="preserve"> </w:t>
      </w:r>
      <w:r>
        <w:rPr>
          <w:spacing w:val="-1"/>
        </w:rPr>
        <w:t>CCG’s</w:t>
      </w:r>
      <w:r>
        <w:t xml:space="preserve"> </w:t>
      </w:r>
      <w:r>
        <w:rPr>
          <w:spacing w:val="-1"/>
        </w:rPr>
        <w:t>draft</w:t>
      </w:r>
      <w:r>
        <w:rPr>
          <w:spacing w:val="45"/>
        </w:rPr>
        <w:t xml:space="preserve"> </w:t>
      </w:r>
      <w:r>
        <w:rPr>
          <w:spacing w:val="-1"/>
        </w:rPr>
        <w:t>accounts</w:t>
      </w:r>
      <w:r>
        <w:t xml:space="preserve"> </w:t>
      </w:r>
      <w:r>
        <w:rPr>
          <w:spacing w:val="-1"/>
        </w:rPr>
        <w:t>and approved</w:t>
      </w:r>
      <w:r>
        <w:rPr>
          <w:spacing w:val="1"/>
        </w:rPr>
        <w:t xml:space="preserve"> </w:t>
      </w:r>
      <w:r>
        <w:rPr>
          <w:spacing w:val="-1"/>
        </w:rPr>
        <w:t>the final</w:t>
      </w:r>
      <w:r>
        <w:t xml:space="preserve"> </w:t>
      </w:r>
      <w:r>
        <w:rPr>
          <w:spacing w:val="-1"/>
        </w:rPr>
        <w:t>accounts</w:t>
      </w:r>
      <w:r>
        <w:rPr>
          <w:spacing w:val="-2"/>
        </w:rPr>
        <w:t xml:space="preserve"> </w:t>
      </w:r>
      <w:r>
        <w:rPr>
          <w:spacing w:val="-1"/>
        </w:rPr>
        <w:t>and</w:t>
      </w:r>
      <w:r>
        <w:rPr>
          <w:spacing w:val="1"/>
        </w:rPr>
        <w:t xml:space="preserve"> </w:t>
      </w:r>
      <w:r>
        <w:rPr>
          <w:spacing w:val="-1"/>
        </w:rPr>
        <w:t>management</w:t>
      </w:r>
      <w:r>
        <w:t xml:space="preserve"> </w:t>
      </w:r>
      <w:r>
        <w:rPr>
          <w:spacing w:val="-1"/>
        </w:rPr>
        <w:t>response</w:t>
      </w:r>
      <w:r>
        <w:rPr>
          <w:spacing w:val="1"/>
        </w:rPr>
        <w:t xml:space="preserve"> </w:t>
      </w:r>
      <w:r>
        <w:t>to</w:t>
      </w:r>
      <w:r>
        <w:rPr>
          <w:spacing w:val="-1"/>
        </w:rPr>
        <w:t xml:space="preserve"> </w:t>
      </w:r>
      <w:r>
        <w:t>the</w:t>
      </w:r>
      <w:r>
        <w:rPr>
          <w:spacing w:val="-1"/>
        </w:rPr>
        <w:t xml:space="preserve"> auditor on</w:t>
      </w:r>
      <w:r>
        <w:rPr>
          <w:spacing w:val="1"/>
        </w:rPr>
        <w:t xml:space="preserve"> </w:t>
      </w:r>
      <w:r>
        <w:rPr>
          <w:spacing w:val="-2"/>
        </w:rPr>
        <w:t>behalf</w:t>
      </w:r>
      <w:r>
        <w:rPr>
          <w:spacing w:val="3"/>
        </w:rPr>
        <w:t xml:space="preserve"> </w:t>
      </w:r>
      <w:r>
        <w:rPr>
          <w:spacing w:val="-1"/>
        </w:rPr>
        <w:t>of</w:t>
      </w:r>
      <w:r>
        <w:rPr>
          <w:spacing w:val="71"/>
        </w:rPr>
        <w:t xml:space="preserve"> </w:t>
      </w:r>
      <w:r>
        <w:t>the</w:t>
      </w:r>
      <w:r>
        <w:rPr>
          <w:spacing w:val="1"/>
        </w:rPr>
        <w:t xml:space="preserve"> </w:t>
      </w:r>
      <w:r>
        <w:rPr>
          <w:spacing w:val="-1"/>
        </w:rPr>
        <w:t>Board.</w:t>
      </w:r>
    </w:p>
    <w:p w14:paraId="17EC99FD" w14:textId="77777777" w:rsidR="00311273" w:rsidRDefault="00311273" w:rsidP="00BC3673">
      <w:pPr>
        <w:pStyle w:val="BodyText"/>
        <w:kinsoku w:val="0"/>
        <w:overflowPunct w:val="0"/>
        <w:spacing w:before="360"/>
        <w:ind w:right="203"/>
      </w:pPr>
      <w:r>
        <w:t>The</w:t>
      </w:r>
      <w:r>
        <w:rPr>
          <w:spacing w:val="1"/>
        </w:rPr>
        <w:t xml:space="preserve"> </w:t>
      </w:r>
      <w:r>
        <w:rPr>
          <w:spacing w:val="-1"/>
        </w:rPr>
        <w:t>Committee also</w:t>
      </w:r>
      <w:r>
        <w:rPr>
          <w:spacing w:val="1"/>
        </w:rPr>
        <w:t xml:space="preserve"> </w:t>
      </w:r>
      <w:r>
        <w:rPr>
          <w:spacing w:val="-1"/>
        </w:rPr>
        <w:t>reviews the</w:t>
      </w:r>
      <w:r>
        <w:rPr>
          <w:spacing w:val="1"/>
        </w:rPr>
        <w:t xml:space="preserve"> </w:t>
      </w:r>
      <w:r>
        <w:rPr>
          <w:spacing w:val="-1"/>
        </w:rPr>
        <w:t>CCG’s</w:t>
      </w:r>
      <w:r>
        <w:t xml:space="preserve"> </w:t>
      </w:r>
      <w:r>
        <w:rPr>
          <w:spacing w:val="-1"/>
        </w:rPr>
        <w:t>risk</w:t>
      </w:r>
      <w:r>
        <w:t xml:space="preserve"> register/Board Assurance Framework (BAF) and associated risk management processes and procedures.  The Committee supported an aligned MSE CCG Risk Management Policy which was adopted by the CCG Boards in November 2021. </w:t>
      </w:r>
    </w:p>
    <w:p w14:paraId="1B831D47" w14:textId="3514FF60" w:rsidR="00311273" w:rsidRDefault="00311273" w:rsidP="00BC3673">
      <w:pPr>
        <w:pStyle w:val="BodyText"/>
        <w:kinsoku w:val="0"/>
        <w:overflowPunct w:val="0"/>
        <w:spacing w:before="360"/>
        <w:ind w:right="203"/>
      </w:pPr>
      <w:r>
        <w:t xml:space="preserve">During the Level 4 incident from mid-December to February 2022, the committee received a copy of the </w:t>
      </w:r>
      <w:r w:rsidR="006F3A0B">
        <w:t>Central Incident Management Team (</w:t>
      </w:r>
      <w:r>
        <w:t>CIMT</w:t>
      </w:r>
      <w:r w:rsidR="006F3A0B">
        <w:t>)</w:t>
      </w:r>
      <w:r>
        <w:t xml:space="preserve"> Risk Register which focussed on key risks whilst normal risk register reporting arrangements were paused.  During this period, the committee also received a copy of the CIMT Decisions Log recording all decisions taken by CIMT.  </w:t>
      </w:r>
    </w:p>
    <w:p w14:paraId="769C5D48" w14:textId="132BC713" w:rsidR="00311273" w:rsidRDefault="00311273" w:rsidP="00BC3673">
      <w:pPr>
        <w:pStyle w:val="BodyText"/>
        <w:kinsoku w:val="0"/>
        <w:overflowPunct w:val="0"/>
        <w:spacing w:before="360"/>
        <w:ind w:right="174"/>
        <w:rPr>
          <w:spacing w:val="-1"/>
        </w:rPr>
      </w:pPr>
      <w:r>
        <w:t>The</w:t>
      </w:r>
      <w:r>
        <w:rPr>
          <w:spacing w:val="1"/>
        </w:rPr>
        <w:t xml:space="preserve"> </w:t>
      </w:r>
      <w:r>
        <w:rPr>
          <w:spacing w:val="-1"/>
        </w:rPr>
        <w:t>Committee also</w:t>
      </w:r>
      <w:r>
        <w:rPr>
          <w:spacing w:val="1"/>
        </w:rPr>
        <w:t xml:space="preserve"> </w:t>
      </w:r>
      <w:r>
        <w:rPr>
          <w:spacing w:val="-1"/>
        </w:rPr>
        <w:t>received</w:t>
      </w:r>
      <w:r>
        <w:rPr>
          <w:spacing w:val="1"/>
        </w:rPr>
        <w:t xml:space="preserve"> </w:t>
      </w:r>
      <w:r>
        <w:t>the</w:t>
      </w:r>
      <w:r>
        <w:rPr>
          <w:spacing w:val="-1"/>
        </w:rPr>
        <w:t xml:space="preserve"> minutes</w:t>
      </w:r>
      <w:r>
        <w:rPr>
          <w:spacing w:val="-2"/>
        </w:rPr>
        <w:t xml:space="preserve"> </w:t>
      </w:r>
      <w:r>
        <w:rPr>
          <w:spacing w:val="-1"/>
        </w:rPr>
        <w:t>of</w:t>
      </w:r>
      <w:r>
        <w:t xml:space="preserve"> other</w:t>
      </w:r>
      <w:r>
        <w:rPr>
          <w:spacing w:val="-3"/>
        </w:rPr>
        <w:t xml:space="preserve"> </w:t>
      </w:r>
      <w:r>
        <w:rPr>
          <w:spacing w:val="-1"/>
        </w:rPr>
        <w:t>main</w:t>
      </w:r>
      <w:r>
        <w:rPr>
          <w:spacing w:val="1"/>
        </w:rPr>
        <w:t xml:space="preserve"> </w:t>
      </w:r>
      <w:r>
        <w:rPr>
          <w:spacing w:val="-1"/>
        </w:rPr>
        <w:t>CCG</w:t>
      </w:r>
      <w:r>
        <w:t xml:space="preserve"> </w:t>
      </w:r>
      <w:r>
        <w:rPr>
          <w:spacing w:val="-1"/>
        </w:rPr>
        <w:t>committees namely:</w:t>
      </w:r>
      <w:r>
        <w:rPr>
          <w:spacing w:val="-2"/>
        </w:rPr>
        <w:t xml:space="preserve"> </w:t>
      </w:r>
      <w:r>
        <w:t>the</w:t>
      </w:r>
      <w:r>
        <w:rPr>
          <w:spacing w:val="-1"/>
        </w:rPr>
        <w:t xml:space="preserve"> Primary</w:t>
      </w:r>
      <w:r>
        <w:rPr>
          <w:spacing w:val="-2"/>
        </w:rPr>
        <w:t xml:space="preserve"> </w:t>
      </w:r>
      <w:r>
        <w:rPr>
          <w:spacing w:val="-1"/>
        </w:rPr>
        <w:t>Care</w:t>
      </w:r>
      <w:r>
        <w:rPr>
          <w:spacing w:val="1"/>
        </w:rPr>
        <w:t xml:space="preserve"> </w:t>
      </w:r>
      <w:r>
        <w:rPr>
          <w:spacing w:val="-1"/>
        </w:rPr>
        <w:t>Commissioning Committee;</w:t>
      </w:r>
      <w:r>
        <w:t xml:space="preserve"> the</w:t>
      </w:r>
      <w:r>
        <w:rPr>
          <w:spacing w:val="-1"/>
        </w:rPr>
        <w:t xml:space="preserve"> Patient</w:t>
      </w:r>
      <w:r>
        <w:rPr>
          <w:spacing w:val="-2"/>
        </w:rPr>
        <w:t xml:space="preserve"> </w:t>
      </w:r>
      <w:r>
        <w:rPr>
          <w:spacing w:val="-1"/>
        </w:rPr>
        <w:t>Safety</w:t>
      </w:r>
      <w:r>
        <w:rPr>
          <w:spacing w:val="-2"/>
        </w:rPr>
        <w:t xml:space="preserve"> </w:t>
      </w:r>
      <w:r>
        <w:t>and</w:t>
      </w:r>
      <w:r>
        <w:rPr>
          <w:spacing w:val="-1"/>
        </w:rPr>
        <w:t xml:space="preserve"> Quality</w:t>
      </w:r>
      <w:r>
        <w:rPr>
          <w:spacing w:val="-2"/>
        </w:rPr>
        <w:t xml:space="preserve"> Committee </w:t>
      </w:r>
      <w:r>
        <w:t>and</w:t>
      </w:r>
      <w:r>
        <w:rPr>
          <w:spacing w:val="-1"/>
        </w:rPr>
        <w:t xml:space="preserve"> the</w:t>
      </w:r>
      <w:r>
        <w:rPr>
          <w:spacing w:val="1"/>
        </w:rPr>
        <w:t xml:space="preserve"> </w:t>
      </w:r>
      <w:r>
        <w:rPr>
          <w:spacing w:val="-1"/>
        </w:rPr>
        <w:t>Finance</w:t>
      </w:r>
      <w:r>
        <w:rPr>
          <w:spacing w:val="1"/>
        </w:rPr>
        <w:t xml:space="preserve"> </w:t>
      </w:r>
      <w:r>
        <w:t>&amp;</w:t>
      </w:r>
      <w:r>
        <w:rPr>
          <w:spacing w:val="-2"/>
        </w:rPr>
        <w:t xml:space="preserve"> </w:t>
      </w:r>
      <w:r>
        <w:rPr>
          <w:spacing w:val="-1"/>
        </w:rPr>
        <w:t>Performance</w:t>
      </w:r>
      <w:r>
        <w:rPr>
          <w:spacing w:val="53"/>
        </w:rPr>
        <w:t xml:space="preserve"> </w:t>
      </w:r>
      <w:r>
        <w:rPr>
          <w:spacing w:val="-1"/>
        </w:rPr>
        <w:t>Committee</w:t>
      </w:r>
      <w:r>
        <w:rPr>
          <w:spacing w:val="1"/>
        </w:rPr>
        <w:t xml:space="preserve"> </w:t>
      </w:r>
      <w:r>
        <w:rPr>
          <w:spacing w:val="-1"/>
        </w:rPr>
        <w:t>meetings</w:t>
      </w:r>
      <w:r>
        <w:t xml:space="preserve"> which were </w:t>
      </w:r>
      <w:r>
        <w:rPr>
          <w:spacing w:val="-1"/>
        </w:rPr>
        <w:t>held</w:t>
      </w:r>
      <w:r>
        <w:rPr>
          <w:spacing w:val="1"/>
        </w:rPr>
        <w:t xml:space="preserve"> </w:t>
      </w:r>
      <w:r>
        <w:rPr>
          <w:spacing w:val="-1"/>
        </w:rPr>
        <w:t>in</w:t>
      </w:r>
      <w:r>
        <w:rPr>
          <w:spacing w:val="1"/>
        </w:rPr>
        <w:t xml:space="preserve"> </w:t>
      </w:r>
      <w:r>
        <w:rPr>
          <w:spacing w:val="-1"/>
        </w:rPr>
        <w:t>common</w:t>
      </w:r>
      <w:r>
        <w:rPr>
          <w:spacing w:val="1"/>
        </w:rPr>
        <w:t xml:space="preserve"> </w:t>
      </w:r>
      <w:r>
        <w:rPr>
          <w:spacing w:val="-1"/>
        </w:rPr>
        <w:t>with</w:t>
      </w:r>
      <w:r>
        <w:rPr>
          <w:spacing w:val="1"/>
        </w:rPr>
        <w:t xml:space="preserve"> </w:t>
      </w:r>
      <w:r>
        <w:t>the</w:t>
      </w:r>
      <w:r>
        <w:rPr>
          <w:spacing w:val="-1"/>
        </w:rPr>
        <w:t xml:space="preserve"> other MSE</w:t>
      </w:r>
      <w:r>
        <w:rPr>
          <w:spacing w:val="1"/>
        </w:rPr>
        <w:t xml:space="preserve"> </w:t>
      </w:r>
      <w:r>
        <w:rPr>
          <w:spacing w:val="-1"/>
        </w:rPr>
        <w:t>CCG</w:t>
      </w:r>
      <w:r>
        <w:t xml:space="preserve"> </w:t>
      </w:r>
      <w:r>
        <w:rPr>
          <w:spacing w:val="-1"/>
        </w:rPr>
        <w:t>committees.</w:t>
      </w:r>
      <w:r>
        <w:t xml:space="preserve"> </w:t>
      </w:r>
      <w:r>
        <w:rPr>
          <w:spacing w:val="65"/>
        </w:rPr>
        <w:t xml:space="preserve"> </w:t>
      </w:r>
    </w:p>
    <w:p w14:paraId="6E8DC926" w14:textId="77777777" w:rsidR="00311273" w:rsidRDefault="00311273" w:rsidP="00BC3673">
      <w:pPr>
        <w:pStyle w:val="BodyText"/>
        <w:kinsoku w:val="0"/>
        <w:overflowPunct w:val="0"/>
        <w:spacing w:before="360"/>
        <w:ind w:right="267"/>
        <w:rPr>
          <w:spacing w:val="-1"/>
        </w:rPr>
      </w:pPr>
      <w:r>
        <w:t>In</w:t>
      </w:r>
      <w:r>
        <w:rPr>
          <w:spacing w:val="1"/>
        </w:rPr>
        <w:t xml:space="preserve"> </w:t>
      </w:r>
      <w:r>
        <w:rPr>
          <w:spacing w:val="-1"/>
        </w:rPr>
        <w:t>line</w:t>
      </w:r>
      <w:r>
        <w:rPr>
          <w:spacing w:val="1"/>
        </w:rPr>
        <w:t xml:space="preserve"> </w:t>
      </w:r>
      <w:r>
        <w:rPr>
          <w:spacing w:val="-1"/>
        </w:rPr>
        <w:t>with</w:t>
      </w:r>
      <w:r>
        <w:rPr>
          <w:spacing w:val="1"/>
        </w:rPr>
        <w:t xml:space="preserve"> </w:t>
      </w:r>
      <w:r>
        <w:rPr>
          <w:spacing w:val="-1"/>
        </w:rPr>
        <w:t>NHS</w:t>
      </w:r>
      <w:r>
        <w:rPr>
          <w:spacing w:val="1"/>
        </w:rPr>
        <w:t xml:space="preserve"> </w:t>
      </w:r>
      <w:r>
        <w:rPr>
          <w:spacing w:val="-1"/>
        </w:rPr>
        <w:t>England</w:t>
      </w:r>
      <w:r>
        <w:rPr>
          <w:spacing w:val="1"/>
        </w:rPr>
        <w:t xml:space="preserve"> </w:t>
      </w:r>
      <w:r>
        <w:rPr>
          <w:spacing w:val="-1"/>
        </w:rPr>
        <w:t xml:space="preserve">guidance </w:t>
      </w:r>
      <w:r>
        <w:t>on</w:t>
      </w:r>
      <w:r>
        <w:rPr>
          <w:spacing w:val="1"/>
        </w:rPr>
        <w:t xml:space="preserve"> </w:t>
      </w:r>
      <w:r>
        <w:rPr>
          <w:spacing w:val="-1"/>
        </w:rPr>
        <w:t>the management</w:t>
      </w:r>
      <w:r>
        <w:rPr>
          <w:spacing w:val="-2"/>
        </w:rPr>
        <w:t xml:space="preserve"> </w:t>
      </w:r>
      <w:r>
        <w:rPr>
          <w:spacing w:val="-1"/>
        </w:rPr>
        <w:t>of</w:t>
      </w:r>
      <w:r>
        <w:rPr>
          <w:spacing w:val="3"/>
        </w:rPr>
        <w:t xml:space="preserve"> </w:t>
      </w:r>
      <w:r>
        <w:rPr>
          <w:spacing w:val="-1"/>
        </w:rPr>
        <w:t>Conflicts</w:t>
      </w:r>
      <w:r>
        <w:rPr>
          <w:spacing w:val="-2"/>
        </w:rPr>
        <w:t xml:space="preserve"> </w:t>
      </w:r>
      <w:r>
        <w:rPr>
          <w:spacing w:val="-1"/>
        </w:rPr>
        <w:t>of</w:t>
      </w:r>
      <w:r>
        <w:rPr>
          <w:spacing w:val="3"/>
        </w:rPr>
        <w:t xml:space="preserve"> </w:t>
      </w:r>
      <w:r>
        <w:rPr>
          <w:spacing w:val="-1"/>
        </w:rPr>
        <w:t>Interest,</w:t>
      </w:r>
      <w:r>
        <w:t xml:space="preserve"> </w:t>
      </w:r>
      <w:r>
        <w:rPr>
          <w:spacing w:val="-1"/>
        </w:rPr>
        <w:t>the</w:t>
      </w:r>
      <w:r>
        <w:rPr>
          <w:spacing w:val="1"/>
        </w:rPr>
        <w:t xml:space="preserve"> </w:t>
      </w:r>
      <w:r>
        <w:rPr>
          <w:spacing w:val="-1"/>
        </w:rPr>
        <w:t>Chair</w:t>
      </w:r>
      <w:r>
        <w:rPr>
          <w:spacing w:val="-3"/>
        </w:rPr>
        <w:t xml:space="preserve"> </w:t>
      </w:r>
      <w:r>
        <w:rPr>
          <w:spacing w:val="-1"/>
        </w:rPr>
        <w:t>of</w:t>
      </w:r>
      <w:r>
        <w:t xml:space="preserve"> the</w:t>
      </w:r>
      <w:r>
        <w:rPr>
          <w:spacing w:val="55"/>
        </w:rPr>
        <w:t xml:space="preserve"> </w:t>
      </w:r>
      <w:r>
        <w:rPr>
          <w:spacing w:val="-1"/>
        </w:rPr>
        <w:t>Audit</w:t>
      </w:r>
      <w:r>
        <w:t xml:space="preserve"> </w:t>
      </w:r>
      <w:r>
        <w:rPr>
          <w:spacing w:val="-1"/>
        </w:rPr>
        <w:t>Committee</w:t>
      </w:r>
      <w:r>
        <w:rPr>
          <w:spacing w:val="1"/>
        </w:rPr>
        <w:t xml:space="preserve"> </w:t>
      </w:r>
      <w:r>
        <w:rPr>
          <w:spacing w:val="-1"/>
        </w:rPr>
        <w:t>acts</w:t>
      </w:r>
      <w:r>
        <w:rPr>
          <w:spacing w:val="-2"/>
        </w:rPr>
        <w:t xml:space="preserve"> </w:t>
      </w:r>
      <w:r>
        <w:t xml:space="preserve">as </w:t>
      </w:r>
      <w:r>
        <w:rPr>
          <w:spacing w:val="-1"/>
        </w:rPr>
        <w:t>the</w:t>
      </w:r>
      <w:r>
        <w:rPr>
          <w:spacing w:val="1"/>
        </w:rPr>
        <w:t xml:space="preserve"> </w:t>
      </w:r>
      <w:r>
        <w:rPr>
          <w:spacing w:val="-1"/>
        </w:rPr>
        <w:t>CCG’s</w:t>
      </w:r>
      <w:r>
        <w:t xml:space="preserve"> </w:t>
      </w:r>
      <w:r>
        <w:rPr>
          <w:spacing w:val="-1"/>
        </w:rPr>
        <w:t>Conflicts</w:t>
      </w:r>
      <w:r>
        <w:rPr>
          <w:spacing w:val="-2"/>
        </w:rPr>
        <w:t xml:space="preserve"> </w:t>
      </w:r>
      <w:r>
        <w:rPr>
          <w:spacing w:val="-1"/>
        </w:rPr>
        <w:t>of</w:t>
      </w:r>
      <w:r>
        <w:rPr>
          <w:spacing w:val="3"/>
        </w:rPr>
        <w:t xml:space="preserve"> </w:t>
      </w:r>
      <w:r>
        <w:rPr>
          <w:spacing w:val="-1"/>
        </w:rPr>
        <w:t>Interest</w:t>
      </w:r>
      <w:r>
        <w:t xml:space="preserve"> </w:t>
      </w:r>
      <w:r>
        <w:rPr>
          <w:spacing w:val="-1"/>
        </w:rPr>
        <w:t>Guardian.</w:t>
      </w:r>
    </w:p>
    <w:p w14:paraId="28D07B57" w14:textId="3AEA432C" w:rsidR="00311273" w:rsidRDefault="00311273" w:rsidP="00BC3673">
      <w:pPr>
        <w:pStyle w:val="BodyText"/>
        <w:kinsoku w:val="0"/>
        <w:overflowPunct w:val="0"/>
        <w:spacing w:before="360"/>
        <w:ind w:right="267"/>
        <w:rPr>
          <w:spacing w:val="-1"/>
        </w:rPr>
      </w:pPr>
      <w:r>
        <w:t>The</w:t>
      </w:r>
      <w:r>
        <w:rPr>
          <w:spacing w:val="1"/>
        </w:rPr>
        <w:t xml:space="preserve"> </w:t>
      </w:r>
      <w:r>
        <w:rPr>
          <w:spacing w:val="-1"/>
        </w:rPr>
        <w:t>Committee and</w:t>
      </w:r>
      <w:r>
        <w:rPr>
          <w:spacing w:val="1"/>
        </w:rPr>
        <w:t xml:space="preserve"> </w:t>
      </w:r>
      <w:r>
        <w:rPr>
          <w:spacing w:val="-1"/>
        </w:rPr>
        <w:t>Board</w:t>
      </w:r>
      <w:r>
        <w:rPr>
          <w:spacing w:val="1"/>
        </w:rPr>
        <w:t xml:space="preserve"> </w:t>
      </w:r>
      <w:r>
        <w:rPr>
          <w:spacing w:val="-1"/>
        </w:rPr>
        <w:t xml:space="preserve">approved </w:t>
      </w:r>
      <w:r>
        <w:t>an</w:t>
      </w:r>
      <w:r>
        <w:rPr>
          <w:spacing w:val="-1"/>
        </w:rPr>
        <w:t xml:space="preserve"> extension of</w:t>
      </w:r>
      <w:r>
        <w:rPr>
          <w:spacing w:val="3"/>
        </w:rPr>
        <w:t xml:space="preserve"> </w:t>
      </w:r>
      <w:r>
        <w:rPr>
          <w:spacing w:val="-1"/>
        </w:rPr>
        <w:t>the expiry</w:t>
      </w:r>
      <w:r>
        <w:rPr>
          <w:spacing w:val="-2"/>
        </w:rPr>
        <w:t xml:space="preserve"> </w:t>
      </w:r>
      <w:r>
        <w:rPr>
          <w:spacing w:val="-1"/>
        </w:rPr>
        <w:t>date</w:t>
      </w:r>
      <w:r>
        <w:rPr>
          <w:spacing w:val="1"/>
        </w:rPr>
        <w:t xml:space="preserve"> </w:t>
      </w:r>
      <w:r>
        <w:rPr>
          <w:spacing w:val="-1"/>
        </w:rPr>
        <w:t>of</w:t>
      </w:r>
      <w:r>
        <w:rPr>
          <w:spacing w:val="3"/>
        </w:rPr>
        <w:t xml:space="preserve"> </w:t>
      </w:r>
      <w:r>
        <w:rPr>
          <w:spacing w:val="-1"/>
        </w:rPr>
        <w:t>relevant</w:t>
      </w:r>
      <w:r>
        <w:t xml:space="preserve"> </w:t>
      </w:r>
      <w:r>
        <w:rPr>
          <w:spacing w:val="-1"/>
        </w:rPr>
        <w:t>CCG</w:t>
      </w:r>
      <w:r>
        <w:t xml:space="preserve"> </w:t>
      </w:r>
      <w:r>
        <w:rPr>
          <w:spacing w:val="-1"/>
        </w:rPr>
        <w:t>policies,</w:t>
      </w:r>
      <w:r>
        <w:rPr>
          <w:spacing w:val="55"/>
        </w:rPr>
        <w:t xml:space="preserve"> </w:t>
      </w:r>
      <w:r>
        <w:rPr>
          <w:spacing w:val="-1"/>
        </w:rPr>
        <w:t xml:space="preserve">including </w:t>
      </w:r>
      <w:r>
        <w:t>the</w:t>
      </w:r>
      <w:r>
        <w:rPr>
          <w:spacing w:val="-1"/>
        </w:rPr>
        <w:t xml:space="preserve"> Conflicts</w:t>
      </w:r>
      <w:r>
        <w:rPr>
          <w:spacing w:val="-2"/>
        </w:rPr>
        <w:t xml:space="preserve"> </w:t>
      </w:r>
      <w:r>
        <w:rPr>
          <w:spacing w:val="-1"/>
        </w:rPr>
        <w:t>of</w:t>
      </w:r>
      <w:r>
        <w:rPr>
          <w:spacing w:val="3"/>
        </w:rPr>
        <w:t xml:space="preserve"> </w:t>
      </w:r>
      <w:r>
        <w:rPr>
          <w:spacing w:val="-1"/>
        </w:rPr>
        <w:t>Interest,</w:t>
      </w:r>
      <w:r>
        <w:t xml:space="preserve"> </w:t>
      </w:r>
      <w:r>
        <w:rPr>
          <w:spacing w:val="-1"/>
        </w:rPr>
        <w:t>Gifts</w:t>
      </w:r>
      <w:r>
        <w:rPr>
          <w:spacing w:val="-2"/>
        </w:rPr>
        <w:t xml:space="preserve"> </w:t>
      </w:r>
      <w:r>
        <w:t>and</w:t>
      </w:r>
      <w:r>
        <w:rPr>
          <w:spacing w:val="-1"/>
        </w:rPr>
        <w:t xml:space="preserve"> Hospitality</w:t>
      </w:r>
      <w:r>
        <w:rPr>
          <w:spacing w:val="-2"/>
        </w:rPr>
        <w:t xml:space="preserve"> </w:t>
      </w:r>
      <w:r>
        <w:t>and</w:t>
      </w:r>
      <w:r>
        <w:rPr>
          <w:spacing w:val="-1"/>
        </w:rPr>
        <w:t xml:space="preserve"> Standards</w:t>
      </w:r>
      <w:r>
        <w:t xml:space="preserve"> </w:t>
      </w:r>
      <w:r>
        <w:rPr>
          <w:spacing w:val="-1"/>
        </w:rPr>
        <w:t>of</w:t>
      </w:r>
      <w:r>
        <w:rPr>
          <w:spacing w:val="3"/>
        </w:rPr>
        <w:t xml:space="preserve"> </w:t>
      </w:r>
      <w:r>
        <w:rPr>
          <w:spacing w:val="-1"/>
        </w:rPr>
        <w:t>Business</w:t>
      </w:r>
      <w:r>
        <w:t xml:space="preserve"> </w:t>
      </w:r>
      <w:r>
        <w:rPr>
          <w:spacing w:val="-1"/>
        </w:rPr>
        <w:t>Conduct</w:t>
      </w:r>
      <w:r>
        <w:rPr>
          <w:spacing w:val="73"/>
        </w:rPr>
        <w:t xml:space="preserve"> </w:t>
      </w:r>
      <w:r>
        <w:rPr>
          <w:spacing w:val="-1"/>
        </w:rPr>
        <w:t>Policies,</w:t>
      </w:r>
      <w:r>
        <w:t xml:space="preserve"> to</w:t>
      </w:r>
      <w:r>
        <w:rPr>
          <w:spacing w:val="-1"/>
        </w:rPr>
        <w:t xml:space="preserve"> March</w:t>
      </w:r>
      <w:r>
        <w:rPr>
          <w:spacing w:val="1"/>
        </w:rPr>
        <w:t xml:space="preserve"> </w:t>
      </w:r>
      <w:r>
        <w:rPr>
          <w:spacing w:val="-1"/>
        </w:rPr>
        <w:t>2022</w:t>
      </w:r>
      <w:r>
        <w:rPr>
          <w:spacing w:val="1"/>
        </w:rPr>
        <w:t xml:space="preserve"> </w:t>
      </w:r>
      <w:r>
        <w:t>to</w:t>
      </w:r>
      <w:r>
        <w:rPr>
          <w:spacing w:val="-1"/>
        </w:rPr>
        <w:t xml:space="preserve"> enable </w:t>
      </w:r>
      <w:r>
        <w:t>the</w:t>
      </w:r>
      <w:r>
        <w:rPr>
          <w:spacing w:val="1"/>
        </w:rPr>
        <w:t xml:space="preserve"> </w:t>
      </w:r>
      <w:r>
        <w:rPr>
          <w:spacing w:val="-1"/>
        </w:rPr>
        <w:t>M</w:t>
      </w:r>
      <w:r w:rsidR="00156767">
        <w:rPr>
          <w:spacing w:val="-1"/>
        </w:rPr>
        <w:t>S</w:t>
      </w:r>
      <w:r>
        <w:rPr>
          <w:spacing w:val="-1"/>
        </w:rPr>
        <w:t>E</w:t>
      </w:r>
      <w:r>
        <w:rPr>
          <w:spacing w:val="-2"/>
        </w:rPr>
        <w:t xml:space="preserve"> </w:t>
      </w:r>
      <w:r>
        <w:rPr>
          <w:spacing w:val="-1"/>
        </w:rPr>
        <w:t>CCGs</w:t>
      </w:r>
      <w:r>
        <w:t xml:space="preserve"> to</w:t>
      </w:r>
      <w:r>
        <w:rPr>
          <w:spacing w:val="-1"/>
        </w:rPr>
        <w:t xml:space="preserve"> focus</w:t>
      </w:r>
      <w:r>
        <w:t xml:space="preserve"> </w:t>
      </w:r>
      <w:r>
        <w:rPr>
          <w:spacing w:val="-1"/>
        </w:rPr>
        <w:t>on</w:t>
      </w:r>
      <w:r>
        <w:rPr>
          <w:spacing w:val="1"/>
        </w:rPr>
        <w:t xml:space="preserve"> </w:t>
      </w:r>
      <w:r>
        <w:rPr>
          <w:spacing w:val="-1"/>
        </w:rPr>
        <w:t xml:space="preserve">developing </w:t>
      </w:r>
      <w:r>
        <w:t>new</w:t>
      </w:r>
      <w:r>
        <w:rPr>
          <w:spacing w:val="-3"/>
        </w:rPr>
        <w:t xml:space="preserve"> </w:t>
      </w:r>
      <w:r>
        <w:rPr>
          <w:spacing w:val="-1"/>
        </w:rPr>
        <w:t>aligned</w:t>
      </w:r>
      <w:r>
        <w:rPr>
          <w:spacing w:val="1"/>
        </w:rPr>
        <w:t xml:space="preserve"> </w:t>
      </w:r>
      <w:r>
        <w:rPr>
          <w:spacing w:val="-1"/>
        </w:rPr>
        <w:t>policies</w:t>
      </w:r>
      <w:r>
        <w:t xml:space="preserve"> </w:t>
      </w:r>
      <w:r>
        <w:rPr>
          <w:spacing w:val="-1"/>
        </w:rPr>
        <w:t>in</w:t>
      </w:r>
      <w:r>
        <w:rPr>
          <w:spacing w:val="55"/>
        </w:rPr>
        <w:t xml:space="preserve"> </w:t>
      </w:r>
      <w:r>
        <w:rPr>
          <w:spacing w:val="-1"/>
        </w:rPr>
        <w:t xml:space="preserve">preparation </w:t>
      </w:r>
      <w:r>
        <w:t>for</w:t>
      </w:r>
      <w:r>
        <w:rPr>
          <w:spacing w:val="-1"/>
        </w:rPr>
        <w:t xml:space="preserve"> the formation</w:t>
      </w:r>
      <w:r>
        <w:rPr>
          <w:spacing w:val="1"/>
        </w:rPr>
        <w:t xml:space="preserve"> </w:t>
      </w:r>
      <w:r>
        <w:rPr>
          <w:spacing w:val="-1"/>
        </w:rPr>
        <w:t>of</w:t>
      </w:r>
      <w:r>
        <w:t xml:space="preserve"> a</w:t>
      </w:r>
      <w:r>
        <w:rPr>
          <w:spacing w:val="-1"/>
        </w:rPr>
        <w:t xml:space="preserve"> </w:t>
      </w:r>
      <w:r>
        <w:t>new</w:t>
      </w:r>
      <w:r>
        <w:rPr>
          <w:spacing w:val="-3"/>
        </w:rPr>
        <w:t xml:space="preserve"> </w:t>
      </w:r>
      <w:r>
        <w:rPr>
          <w:spacing w:val="-1"/>
        </w:rPr>
        <w:t>Integrated Care</w:t>
      </w:r>
      <w:r>
        <w:rPr>
          <w:spacing w:val="1"/>
        </w:rPr>
        <w:t xml:space="preserve"> </w:t>
      </w:r>
      <w:r>
        <w:rPr>
          <w:spacing w:val="-1"/>
        </w:rPr>
        <w:t>System</w:t>
      </w:r>
      <w:r>
        <w:rPr>
          <w:spacing w:val="2"/>
        </w:rPr>
        <w:t xml:space="preserve"> </w:t>
      </w:r>
      <w:r>
        <w:rPr>
          <w:spacing w:val="-1"/>
        </w:rPr>
        <w:t>(ICS) NHS</w:t>
      </w:r>
      <w:r>
        <w:rPr>
          <w:spacing w:val="1"/>
        </w:rPr>
        <w:t xml:space="preserve"> </w:t>
      </w:r>
      <w:r>
        <w:rPr>
          <w:spacing w:val="-1"/>
        </w:rPr>
        <w:t xml:space="preserve">Body.  In March 2022, these policies were subsequently extended by the Board until 30 June 2022 as a result of the national decision to delay the establishment of ICBs by three months. </w:t>
      </w:r>
    </w:p>
    <w:p w14:paraId="0469AB9A" w14:textId="77777777" w:rsidR="00311273" w:rsidRDefault="00311273" w:rsidP="00311273">
      <w:pPr>
        <w:pStyle w:val="BodyText"/>
        <w:kinsoku w:val="0"/>
        <w:overflowPunct w:val="0"/>
        <w:ind w:right="267"/>
        <w:rPr>
          <w:spacing w:val="-1"/>
        </w:rPr>
      </w:pPr>
      <w:r>
        <w:t>The</w:t>
      </w:r>
      <w:r>
        <w:rPr>
          <w:spacing w:val="1"/>
        </w:rPr>
        <w:t xml:space="preserve"> </w:t>
      </w:r>
      <w:r>
        <w:rPr>
          <w:spacing w:val="-1"/>
        </w:rPr>
        <w:t>Audit</w:t>
      </w:r>
      <w:r>
        <w:t xml:space="preserve"> </w:t>
      </w:r>
      <w:r>
        <w:rPr>
          <w:spacing w:val="-1"/>
        </w:rPr>
        <w:t>Committee Chair received</w:t>
      </w:r>
      <w:r>
        <w:rPr>
          <w:spacing w:val="1"/>
        </w:rPr>
        <w:t xml:space="preserve"> </w:t>
      </w:r>
      <w:r>
        <w:rPr>
          <w:spacing w:val="-1"/>
        </w:rPr>
        <w:t>assurance</w:t>
      </w:r>
      <w:r>
        <w:rPr>
          <w:spacing w:val="1"/>
        </w:rPr>
        <w:t xml:space="preserve"> </w:t>
      </w:r>
      <w:r>
        <w:rPr>
          <w:spacing w:val="-1"/>
        </w:rPr>
        <w:t>that</w:t>
      </w:r>
      <w:r>
        <w:rPr>
          <w:spacing w:val="-2"/>
        </w:rPr>
        <w:t xml:space="preserve"> </w:t>
      </w:r>
      <w:r>
        <w:t>the</w:t>
      </w:r>
      <w:r>
        <w:rPr>
          <w:spacing w:val="-1"/>
        </w:rPr>
        <w:t xml:space="preserve"> CCG</w:t>
      </w:r>
      <w:r>
        <w:t xml:space="preserve"> </w:t>
      </w:r>
      <w:r>
        <w:rPr>
          <w:spacing w:val="-1"/>
        </w:rPr>
        <w:t>was</w:t>
      </w:r>
      <w:r>
        <w:t xml:space="preserve"> </w:t>
      </w:r>
      <w:r>
        <w:rPr>
          <w:spacing w:val="-1"/>
        </w:rPr>
        <w:t xml:space="preserve">adhering </w:t>
      </w:r>
      <w:r>
        <w:t>to</w:t>
      </w:r>
      <w:r>
        <w:rPr>
          <w:spacing w:val="1"/>
        </w:rPr>
        <w:t xml:space="preserve"> </w:t>
      </w:r>
      <w:r>
        <w:rPr>
          <w:spacing w:val="-1"/>
        </w:rPr>
        <w:t>NHS</w:t>
      </w:r>
      <w:r>
        <w:rPr>
          <w:spacing w:val="1"/>
        </w:rPr>
        <w:t xml:space="preserve"> </w:t>
      </w:r>
      <w:r>
        <w:rPr>
          <w:spacing w:val="-1"/>
        </w:rPr>
        <w:t>England</w:t>
      </w:r>
      <w:r>
        <w:rPr>
          <w:spacing w:val="55"/>
        </w:rPr>
        <w:t xml:space="preserve"> </w:t>
      </w:r>
      <w:r>
        <w:rPr>
          <w:spacing w:val="-1"/>
        </w:rPr>
        <w:t>mandatory</w:t>
      </w:r>
      <w:r>
        <w:rPr>
          <w:spacing w:val="-2"/>
        </w:rPr>
        <w:t xml:space="preserve"> </w:t>
      </w:r>
      <w:r>
        <w:rPr>
          <w:spacing w:val="-1"/>
        </w:rPr>
        <w:t>guidance</w:t>
      </w:r>
      <w:r>
        <w:rPr>
          <w:spacing w:val="1"/>
        </w:rPr>
        <w:t xml:space="preserve"> </w:t>
      </w:r>
      <w:r>
        <w:rPr>
          <w:spacing w:val="-1"/>
        </w:rPr>
        <w:t>on</w:t>
      </w:r>
      <w:r>
        <w:rPr>
          <w:spacing w:val="1"/>
        </w:rPr>
        <w:t xml:space="preserve"> </w:t>
      </w:r>
      <w:r>
        <w:rPr>
          <w:spacing w:val="-1"/>
        </w:rPr>
        <w:t>the</w:t>
      </w:r>
      <w:r>
        <w:rPr>
          <w:spacing w:val="1"/>
        </w:rPr>
        <w:t xml:space="preserve"> </w:t>
      </w:r>
      <w:r>
        <w:rPr>
          <w:spacing w:val="-1"/>
        </w:rPr>
        <w:t>management</w:t>
      </w:r>
      <w:r>
        <w:rPr>
          <w:spacing w:val="-2"/>
        </w:rPr>
        <w:t xml:space="preserve"> </w:t>
      </w:r>
      <w:r>
        <w:rPr>
          <w:spacing w:val="-1"/>
        </w:rPr>
        <w:t>of</w:t>
      </w:r>
      <w:r>
        <w:rPr>
          <w:spacing w:val="3"/>
        </w:rPr>
        <w:t xml:space="preserve"> </w:t>
      </w:r>
      <w:r>
        <w:rPr>
          <w:spacing w:val="-1"/>
        </w:rPr>
        <w:t>conflicts</w:t>
      </w:r>
      <w:r>
        <w:t xml:space="preserve"> </w:t>
      </w:r>
      <w:r>
        <w:rPr>
          <w:spacing w:val="-1"/>
        </w:rPr>
        <w:t>of</w:t>
      </w:r>
      <w:r>
        <w:t xml:space="preserve"> </w:t>
      </w:r>
      <w:r>
        <w:rPr>
          <w:spacing w:val="-1"/>
        </w:rPr>
        <w:t>interest</w:t>
      </w:r>
      <w:r>
        <w:t xml:space="preserve"> </w:t>
      </w:r>
      <w:r>
        <w:rPr>
          <w:spacing w:val="-2"/>
        </w:rPr>
        <w:t>via</w:t>
      </w:r>
      <w:r>
        <w:rPr>
          <w:spacing w:val="1"/>
        </w:rPr>
        <w:t xml:space="preserve"> </w:t>
      </w:r>
      <w:r>
        <w:rPr>
          <w:spacing w:val="-1"/>
        </w:rPr>
        <w:t>the</w:t>
      </w:r>
      <w:r>
        <w:rPr>
          <w:spacing w:val="1"/>
        </w:rPr>
        <w:t xml:space="preserve"> </w:t>
      </w:r>
      <w:r>
        <w:rPr>
          <w:spacing w:val="-1"/>
        </w:rPr>
        <w:t>annual</w:t>
      </w:r>
      <w:r>
        <w:t xml:space="preserve"> </w:t>
      </w:r>
      <w:r>
        <w:rPr>
          <w:spacing w:val="-1"/>
        </w:rPr>
        <w:t>internal</w:t>
      </w:r>
      <w:r>
        <w:t xml:space="preserve"> </w:t>
      </w:r>
      <w:r>
        <w:rPr>
          <w:spacing w:val="-1"/>
        </w:rPr>
        <w:t>audit</w:t>
      </w:r>
      <w:r>
        <w:t xml:space="preserve"> </w:t>
      </w:r>
      <w:r>
        <w:rPr>
          <w:spacing w:val="-1"/>
        </w:rPr>
        <w:t>of</w:t>
      </w:r>
      <w:r>
        <w:rPr>
          <w:spacing w:val="65"/>
        </w:rPr>
        <w:t xml:space="preserve"> </w:t>
      </w:r>
      <w:r>
        <w:rPr>
          <w:spacing w:val="-1"/>
        </w:rPr>
        <w:t>conflicts</w:t>
      </w:r>
      <w:r>
        <w:t xml:space="preserve"> </w:t>
      </w:r>
      <w:r>
        <w:rPr>
          <w:spacing w:val="-1"/>
        </w:rPr>
        <w:t>of</w:t>
      </w:r>
      <w:r>
        <w:t xml:space="preserve"> </w:t>
      </w:r>
      <w:r>
        <w:rPr>
          <w:spacing w:val="-1"/>
        </w:rPr>
        <w:t>interest</w:t>
      </w:r>
      <w:r>
        <w:t xml:space="preserve"> </w:t>
      </w:r>
      <w:r>
        <w:rPr>
          <w:spacing w:val="-1"/>
        </w:rPr>
        <w:t>which</w:t>
      </w:r>
      <w:r>
        <w:rPr>
          <w:spacing w:val="1"/>
        </w:rPr>
        <w:t xml:space="preserve"> </w:t>
      </w:r>
      <w:r>
        <w:rPr>
          <w:spacing w:val="-1"/>
        </w:rPr>
        <w:t>identified</w:t>
      </w:r>
      <w:r>
        <w:rPr>
          <w:spacing w:val="1"/>
        </w:rPr>
        <w:t xml:space="preserve"> </w:t>
      </w:r>
      <w:r w:rsidRPr="00AB577A">
        <w:rPr>
          <w:spacing w:val="-1"/>
        </w:rPr>
        <w:t>‘</w:t>
      </w:r>
      <w:r w:rsidRPr="002D2917">
        <w:rPr>
          <w:spacing w:val="-1"/>
        </w:rPr>
        <w:t>reasonable’</w:t>
      </w:r>
      <w:r>
        <w:t xml:space="preserve"> </w:t>
      </w:r>
      <w:r>
        <w:rPr>
          <w:spacing w:val="-1"/>
        </w:rPr>
        <w:t>assurance.</w:t>
      </w:r>
      <w:r>
        <w:t xml:space="preserve"> </w:t>
      </w:r>
      <w:r>
        <w:rPr>
          <w:spacing w:val="63"/>
        </w:rPr>
        <w:t xml:space="preserve"> </w:t>
      </w:r>
      <w:r>
        <w:t>The</w:t>
      </w:r>
      <w:r>
        <w:rPr>
          <w:spacing w:val="1"/>
        </w:rPr>
        <w:t xml:space="preserve"> </w:t>
      </w:r>
      <w:r>
        <w:rPr>
          <w:spacing w:val="-1"/>
        </w:rPr>
        <w:t>requirement</w:t>
      </w:r>
      <w:r>
        <w:rPr>
          <w:spacing w:val="-2"/>
        </w:rPr>
        <w:t xml:space="preserve"> </w:t>
      </w:r>
      <w:r>
        <w:t>to</w:t>
      </w:r>
      <w:r>
        <w:rPr>
          <w:spacing w:val="1"/>
        </w:rPr>
        <w:t xml:space="preserve"> </w:t>
      </w:r>
      <w:r>
        <w:rPr>
          <w:spacing w:val="-1"/>
        </w:rPr>
        <w:t>submit</w:t>
      </w:r>
      <w:r>
        <w:t xml:space="preserve"> </w:t>
      </w:r>
      <w:r>
        <w:rPr>
          <w:spacing w:val="-1"/>
        </w:rPr>
        <w:t>quarterly</w:t>
      </w:r>
      <w:r>
        <w:rPr>
          <w:spacing w:val="67"/>
        </w:rPr>
        <w:t xml:space="preserve"> </w:t>
      </w:r>
      <w:r>
        <w:rPr>
          <w:spacing w:val="-1"/>
        </w:rPr>
        <w:t>returns</w:t>
      </w:r>
      <w:r>
        <w:t xml:space="preserve"> </w:t>
      </w:r>
      <w:r>
        <w:rPr>
          <w:spacing w:val="-1"/>
        </w:rPr>
        <w:t>to</w:t>
      </w:r>
      <w:r>
        <w:rPr>
          <w:spacing w:val="1"/>
        </w:rPr>
        <w:t xml:space="preserve"> </w:t>
      </w:r>
      <w:r>
        <w:rPr>
          <w:spacing w:val="-1"/>
        </w:rPr>
        <w:t>NHS</w:t>
      </w:r>
      <w:r>
        <w:rPr>
          <w:spacing w:val="1"/>
        </w:rPr>
        <w:t xml:space="preserve"> </w:t>
      </w:r>
      <w:r>
        <w:rPr>
          <w:spacing w:val="-1"/>
        </w:rPr>
        <w:t>England</w:t>
      </w:r>
      <w:r>
        <w:rPr>
          <w:spacing w:val="1"/>
        </w:rPr>
        <w:t xml:space="preserve"> </w:t>
      </w:r>
      <w:r>
        <w:rPr>
          <w:spacing w:val="-1"/>
        </w:rPr>
        <w:t xml:space="preserve">regarding </w:t>
      </w:r>
      <w:r>
        <w:t>the</w:t>
      </w:r>
      <w:r>
        <w:rPr>
          <w:spacing w:val="1"/>
        </w:rPr>
        <w:t xml:space="preserve"> </w:t>
      </w:r>
      <w:r>
        <w:rPr>
          <w:spacing w:val="-1"/>
        </w:rPr>
        <w:t>CCG’s</w:t>
      </w:r>
      <w:r>
        <w:rPr>
          <w:spacing w:val="-2"/>
        </w:rPr>
        <w:t xml:space="preserve"> </w:t>
      </w:r>
      <w:r>
        <w:rPr>
          <w:spacing w:val="-1"/>
        </w:rPr>
        <w:t xml:space="preserve">adherence </w:t>
      </w:r>
      <w:r>
        <w:t>to</w:t>
      </w:r>
      <w:r>
        <w:rPr>
          <w:spacing w:val="-1"/>
        </w:rPr>
        <w:t xml:space="preserve"> </w:t>
      </w:r>
      <w:r>
        <w:t>the</w:t>
      </w:r>
      <w:r>
        <w:rPr>
          <w:spacing w:val="-1"/>
        </w:rPr>
        <w:t xml:space="preserve"> mandatory</w:t>
      </w:r>
      <w:r>
        <w:rPr>
          <w:spacing w:val="-2"/>
        </w:rPr>
        <w:t xml:space="preserve"> </w:t>
      </w:r>
      <w:r>
        <w:rPr>
          <w:spacing w:val="-1"/>
        </w:rPr>
        <w:t>guidance was</w:t>
      </w:r>
      <w:r>
        <w:rPr>
          <w:spacing w:val="61"/>
        </w:rPr>
        <w:t xml:space="preserve"> </w:t>
      </w:r>
      <w:r>
        <w:rPr>
          <w:spacing w:val="-1"/>
        </w:rPr>
        <w:t>suspended</w:t>
      </w:r>
      <w:r>
        <w:rPr>
          <w:spacing w:val="1"/>
        </w:rPr>
        <w:t xml:space="preserve"> </w:t>
      </w:r>
      <w:r>
        <w:rPr>
          <w:spacing w:val="-1"/>
        </w:rPr>
        <w:t>during 2021/22.</w:t>
      </w:r>
    </w:p>
    <w:p w14:paraId="7B03DFE2" w14:textId="77777777" w:rsidR="00780EF0" w:rsidRPr="008931E6" w:rsidRDefault="00780EF0" w:rsidP="008931E6">
      <w:pPr>
        <w:pStyle w:val="BodyText"/>
        <w:rPr>
          <w:b/>
          <w:bCs/>
          <w:lang w:val="en"/>
        </w:rPr>
      </w:pPr>
      <w:r w:rsidRPr="008931E6">
        <w:rPr>
          <w:b/>
          <w:bCs/>
          <w:lang w:val="en"/>
        </w:rPr>
        <w:t>Remuneration Committee</w:t>
      </w:r>
    </w:p>
    <w:p w14:paraId="7E339942" w14:textId="77777777" w:rsidR="00311273" w:rsidRDefault="00311273" w:rsidP="00311273">
      <w:pPr>
        <w:pStyle w:val="BodyText"/>
        <w:kinsoku w:val="0"/>
        <w:overflowPunct w:val="0"/>
        <w:spacing w:before="122"/>
        <w:ind w:right="115"/>
        <w:jc w:val="both"/>
        <w:rPr>
          <w:spacing w:val="-1"/>
        </w:rPr>
      </w:pPr>
      <w:r>
        <w:t>The</w:t>
      </w:r>
      <w:r>
        <w:rPr>
          <w:spacing w:val="58"/>
        </w:rPr>
        <w:t xml:space="preserve"> </w:t>
      </w:r>
      <w:r>
        <w:rPr>
          <w:spacing w:val="-1"/>
        </w:rPr>
        <w:t>Remuneration</w:t>
      </w:r>
      <w:r>
        <w:rPr>
          <w:spacing w:val="59"/>
        </w:rPr>
        <w:t xml:space="preserve"> </w:t>
      </w:r>
      <w:r>
        <w:rPr>
          <w:spacing w:val="-1"/>
        </w:rPr>
        <w:t>Committee</w:t>
      </w:r>
      <w:r>
        <w:rPr>
          <w:spacing w:val="59"/>
        </w:rPr>
        <w:t xml:space="preserve"> </w:t>
      </w:r>
      <w:r>
        <w:rPr>
          <w:spacing w:val="-1"/>
        </w:rPr>
        <w:t>is</w:t>
      </w:r>
      <w:r>
        <w:rPr>
          <w:spacing w:val="57"/>
        </w:rPr>
        <w:t xml:space="preserve"> </w:t>
      </w:r>
      <w:r>
        <w:t>a</w:t>
      </w:r>
      <w:r>
        <w:rPr>
          <w:spacing w:val="59"/>
        </w:rPr>
        <w:t xml:space="preserve"> </w:t>
      </w:r>
      <w:r>
        <w:rPr>
          <w:spacing w:val="-1"/>
        </w:rPr>
        <w:t>committee</w:t>
      </w:r>
      <w:r>
        <w:rPr>
          <w:spacing w:val="59"/>
        </w:rPr>
        <w:t xml:space="preserve"> </w:t>
      </w:r>
      <w:r>
        <w:rPr>
          <w:spacing w:val="-1"/>
        </w:rPr>
        <w:t>of</w:t>
      </w:r>
      <w:r>
        <w:rPr>
          <w:spacing w:val="60"/>
        </w:rPr>
        <w:t xml:space="preserve"> </w:t>
      </w:r>
      <w:r>
        <w:rPr>
          <w:spacing w:val="-1"/>
        </w:rPr>
        <w:t>the</w:t>
      </w:r>
      <w:r>
        <w:rPr>
          <w:spacing w:val="59"/>
        </w:rPr>
        <w:t xml:space="preserve"> </w:t>
      </w:r>
      <w:r>
        <w:rPr>
          <w:spacing w:val="-1"/>
        </w:rPr>
        <w:t>CCG</w:t>
      </w:r>
      <w:r>
        <w:rPr>
          <w:spacing w:val="58"/>
        </w:rPr>
        <w:t xml:space="preserve"> </w:t>
      </w:r>
      <w:r>
        <w:rPr>
          <w:spacing w:val="-1"/>
        </w:rPr>
        <w:t>Board</w:t>
      </w:r>
      <w:r>
        <w:rPr>
          <w:spacing w:val="59"/>
        </w:rPr>
        <w:t xml:space="preserve"> </w:t>
      </w:r>
      <w:r>
        <w:rPr>
          <w:spacing w:val="-1"/>
        </w:rPr>
        <w:t>with</w:t>
      </w:r>
      <w:r>
        <w:rPr>
          <w:spacing w:val="61"/>
        </w:rPr>
        <w:t xml:space="preserve"> </w:t>
      </w:r>
      <w:r>
        <w:rPr>
          <w:spacing w:val="-1"/>
        </w:rPr>
        <w:t>delegated</w:t>
      </w:r>
      <w:r>
        <w:rPr>
          <w:spacing w:val="13"/>
        </w:rPr>
        <w:t xml:space="preserve"> </w:t>
      </w:r>
      <w:r>
        <w:rPr>
          <w:spacing w:val="-1"/>
        </w:rPr>
        <w:t>responsibility</w:t>
      </w:r>
      <w:r>
        <w:rPr>
          <w:spacing w:val="10"/>
        </w:rPr>
        <w:t xml:space="preserve"> </w:t>
      </w:r>
      <w:r>
        <w:t>for</w:t>
      </w:r>
      <w:r>
        <w:rPr>
          <w:spacing w:val="9"/>
        </w:rPr>
        <w:t xml:space="preserve"> </w:t>
      </w:r>
      <w:r>
        <w:t>making</w:t>
      </w:r>
      <w:r>
        <w:rPr>
          <w:spacing w:val="11"/>
        </w:rPr>
        <w:t xml:space="preserve"> </w:t>
      </w:r>
      <w:r>
        <w:rPr>
          <w:spacing w:val="-1"/>
        </w:rPr>
        <w:t>recommendations</w:t>
      </w:r>
      <w:r>
        <w:rPr>
          <w:spacing w:val="12"/>
        </w:rPr>
        <w:t xml:space="preserve"> </w:t>
      </w:r>
      <w:r>
        <w:rPr>
          <w:spacing w:val="-1"/>
        </w:rPr>
        <w:t>to</w:t>
      </w:r>
      <w:r>
        <w:rPr>
          <w:spacing w:val="13"/>
        </w:rPr>
        <w:t xml:space="preserve"> </w:t>
      </w:r>
      <w:r>
        <w:rPr>
          <w:spacing w:val="-1"/>
        </w:rPr>
        <w:t>the</w:t>
      </w:r>
      <w:r>
        <w:rPr>
          <w:spacing w:val="11"/>
        </w:rPr>
        <w:t xml:space="preserve"> </w:t>
      </w:r>
      <w:r>
        <w:rPr>
          <w:spacing w:val="-1"/>
        </w:rPr>
        <w:t>Board</w:t>
      </w:r>
      <w:r>
        <w:rPr>
          <w:spacing w:val="11"/>
        </w:rPr>
        <w:t xml:space="preserve"> </w:t>
      </w:r>
      <w:r>
        <w:t>on</w:t>
      </w:r>
      <w:r>
        <w:rPr>
          <w:spacing w:val="13"/>
        </w:rPr>
        <w:t xml:space="preserve"> </w:t>
      </w:r>
      <w:r>
        <w:rPr>
          <w:spacing w:val="-1"/>
        </w:rPr>
        <w:t>all</w:t>
      </w:r>
      <w:r>
        <w:rPr>
          <w:spacing w:val="9"/>
        </w:rPr>
        <w:t xml:space="preserve"> </w:t>
      </w:r>
      <w:r>
        <w:rPr>
          <w:spacing w:val="-1"/>
        </w:rPr>
        <w:t>aspects</w:t>
      </w:r>
      <w:r>
        <w:rPr>
          <w:spacing w:val="12"/>
        </w:rPr>
        <w:t xml:space="preserve"> </w:t>
      </w:r>
      <w:r>
        <w:rPr>
          <w:spacing w:val="-1"/>
        </w:rPr>
        <w:t>of</w:t>
      </w:r>
      <w:r>
        <w:rPr>
          <w:spacing w:val="12"/>
        </w:rPr>
        <w:t xml:space="preserve"> </w:t>
      </w:r>
      <w:r>
        <w:rPr>
          <w:spacing w:val="-1"/>
        </w:rPr>
        <w:t>remuneration</w:t>
      </w:r>
      <w:r>
        <w:rPr>
          <w:spacing w:val="65"/>
        </w:rPr>
        <w:t xml:space="preserve"> </w:t>
      </w:r>
      <w:r>
        <w:t>and</w:t>
      </w:r>
      <w:r>
        <w:rPr>
          <w:spacing w:val="-1"/>
        </w:rPr>
        <w:t xml:space="preserve"> </w:t>
      </w:r>
      <w:r>
        <w:t>terms</w:t>
      </w:r>
      <w:r>
        <w:rPr>
          <w:spacing w:val="-2"/>
        </w:rPr>
        <w:t xml:space="preserve"> </w:t>
      </w:r>
      <w:r>
        <w:rPr>
          <w:spacing w:val="-1"/>
        </w:rPr>
        <w:t>of</w:t>
      </w:r>
      <w:r>
        <w:rPr>
          <w:spacing w:val="3"/>
        </w:rPr>
        <w:t xml:space="preserve"> </w:t>
      </w:r>
      <w:r>
        <w:rPr>
          <w:spacing w:val="-2"/>
        </w:rPr>
        <w:t>service</w:t>
      </w:r>
      <w:r>
        <w:rPr>
          <w:spacing w:val="1"/>
        </w:rPr>
        <w:t xml:space="preserve"> </w:t>
      </w:r>
      <w:r>
        <w:t xml:space="preserve">of </w:t>
      </w:r>
      <w:r>
        <w:rPr>
          <w:spacing w:val="-1"/>
        </w:rPr>
        <w:t>employees,</w:t>
      </w:r>
      <w:r>
        <w:t xml:space="preserve"> </w:t>
      </w:r>
      <w:r>
        <w:rPr>
          <w:spacing w:val="-1"/>
        </w:rPr>
        <w:t>including the</w:t>
      </w:r>
      <w:r>
        <w:rPr>
          <w:spacing w:val="1"/>
        </w:rPr>
        <w:t xml:space="preserve"> </w:t>
      </w:r>
      <w:r>
        <w:rPr>
          <w:spacing w:val="-1"/>
        </w:rPr>
        <w:t>Accountable</w:t>
      </w:r>
      <w:r>
        <w:rPr>
          <w:spacing w:val="1"/>
        </w:rPr>
        <w:t xml:space="preserve"> </w:t>
      </w:r>
      <w:r>
        <w:rPr>
          <w:spacing w:val="-1"/>
        </w:rPr>
        <w:t>Officer,</w:t>
      </w:r>
      <w:r>
        <w:t xml:space="preserve"> </w:t>
      </w:r>
      <w:r>
        <w:rPr>
          <w:spacing w:val="-1"/>
        </w:rPr>
        <w:t>Directors</w:t>
      </w:r>
      <w:r>
        <w:t xml:space="preserve"> </w:t>
      </w:r>
      <w:r>
        <w:rPr>
          <w:spacing w:val="-1"/>
        </w:rPr>
        <w:t>and</w:t>
      </w:r>
      <w:r>
        <w:rPr>
          <w:spacing w:val="1"/>
        </w:rPr>
        <w:t xml:space="preserve"> </w:t>
      </w:r>
      <w:r>
        <w:rPr>
          <w:spacing w:val="-1"/>
        </w:rPr>
        <w:t>Lay</w:t>
      </w:r>
      <w:r>
        <w:rPr>
          <w:spacing w:val="-2"/>
        </w:rPr>
        <w:t xml:space="preserve"> </w:t>
      </w:r>
      <w:r>
        <w:rPr>
          <w:spacing w:val="-1"/>
        </w:rPr>
        <w:t>Members.</w:t>
      </w:r>
    </w:p>
    <w:p w14:paraId="2B39681E" w14:textId="77777777" w:rsidR="00311273" w:rsidRDefault="00311273" w:rsidP="00311273">
      <w:pPr>
        <w:pStyle w:val="BodyText"/>
        <w:kinsoku w:val="0"/>
        <w:overflowPunct w:val="0"/>
        <w:ind w:right="114"/>
        <w:jc w:val="both"/>
        <w:rPr>
          <w:spacing w:val="-1"/>
        </w:rPr>
      </w:pPr>
      <w:r>
        <w:t>In</w:t>
      </w:r>
      <w:r>
        <w:rPr>
          <w:spacing w:val="-4"/>
        </w:rPr>
        <w:t xml:space="preserve"> </w:t>
      </w:r>
      <w:r>
        <w:rPr>
          <w:spacing w:val="-1"/>
        </w:rPr>
        <w:t>addition,</w:t>
      </w:r>
      <w:r>
        <w:rPr>
          <w:spacing w:val="-4"/>
        </w:rPr>
        <w:t xml:space="preserve"> </w:t>
      </w:r>
      <w:r>
        <w:rPr>
          <w:spacing w:val="-1"/>
        </w:rPr>
        <w:t>the</w:t>
      </w:r>
      <w:r>
        <w:rPr>
          <w:spacing w:val="-4"/>
        </w:rPr>
        <w:t xml:space="preserve"> </w:t>
      </w:r>
      <w:r>
        <w:rPr>
          <w:spacing w:val="-1"/>
        </w:rPr>
        <w:t>Committee</w:t>
      </w:r>
      <w:r>
        <w:rPr>
          <w:spacing w:val="-4"/>
        </w:rPr>
        <w:t xml:space="preserve"> </w:t>
      </w:r>
      <w:r>
        <w:rPr>
          <w:spacing w:val="-1"/>
        </w:rPr>
        <w:t>is</w:t>
      </w:r>
      <w:r>
        <w:rPr>
          <w:spacing w:val="-2"/>
        </w:rPr>
        <w:t xml:space="preserve"> </w:t>
      </w:r>
      <w:r>
        <w:rPr>
          <w:spacing w:val="-1"/>
        </w:rPr>
        <w:t>responsible</w:t>
      </w:r>
      <w:r>
        <w:rPr>
          <w:spacing w:val="-6"/>
        </w:rPr>
        <w:t xml:space="preserve"> </w:t>
      </w:r>
      <w:r>
        <w:t>for</w:t>
      </w:r>
      <w:r>
        <w:rPr>
          <w:spacing w:val="-8"/>
        </w:rPr>
        <w:t xml:space="preserve"> </w:t>
      </w:r>
      <w:r>
        <w:t>making</w:t>
      </w:r>
      <w:r>
        <w:rPr>
          <w:spacing w:val="-4"/>
        </w:rPr>
        <w:t xml:space="preserve"> </w:t>
      </w:r>
      <w:r>
        <w:rPr>
          <w:spacing w:val="-1"/>
        </w:rPr>
        <w:t>recommendations</w:t>
      </w:r>
      <w:r>
        <w:rPr>
          <w:spacing w:val="-5"/>
        </w:rPr>
        <w:t xml:space="preserve"> </w:t>
      </w:r>
      <w:r>
        <w:t>to</w:t>
      </w:r>
      <w:r>
        <w:rPr>
          <w:spacing w:val="-4"/>
        </w:rPr>
        <w:t xml:space="preserve"> </w:t>
      </w:r>
      <w:r>
        <w:rPr>
          <w:spacing w:val="-1"/>
        </w:rPr>
        <w:t>the</w:t>
      </w:r>
      <w:r>
        <w:rPr>
          <w:spacing w:val="-4"/>
        </w:rPr>
        <w:t xml:space="preserve"> </w:t>
      </w:r>
      <w:r>
        <w:rPr>
          <w:spacing w:val="-1"/>
        </w:rPr>
        <w:t>Board concerning</w:t>
      </w:r>
      <w:r>
        <w:rPr>
          <w:spacing w:val="-4"/>
        </w:rPr>
        <w:t xml:space="preserve"> </w:t>
      </w:r>
      <w:r>
        <w:t>the</w:t>
      </w:r>
      <w:r>
        <w:rPr>
          <w:spacing w:val="53"/>
        </w:rPr>
        <w:t xml:space="preserve"> </w:t>
      </w:r>
      <w:r>
        <w:rPr>
          <w:spacing w:val="-1"/>
        </w:rPr>
        <w:t>remuneration</w:t>
      </w:r>
      <w:r>
        <w:rPr>
          <w:spacing w:val="-4"/>
        </w:rPr>
        <w:t xml:space="preserve"> </w:t>
      </w:r>
      <w:r>
        <w:t>and</w:t>
      </w:r>
      <w:r>
        <w:rPr>
          <w:spacing w:val="-4"/>
        </w:rPr>
        <w:t xml:space="preserve"> </w:t>
      </w:r>
      <w:r>
        <w:rPr>
          <w:spacing w:val="-1"/>
        </w:rPr>
        <w:t>terms</w:t>
      </w:r>
      <w:r>
        <w:rPr>
          <w:spacing w:val="-2"/>
        </w:rPr>
        <w:t xml:space="preserve"> </w:t>
      </w:r>
      <w:r>
        <w:rPr>
          <w:spacing w:val="-1"/>
        </w:rPr>
        <w:t>of</w:t>
      </w:r>
      <w:r>
        <w:rPr>
          <w:spacing w:val="-2"/>
        </w:rPr>
        <w:t xml:space="preserve"> </w:t>
      </w:r>
      <w:r>
        <w:rPr>
          <w:spacing w:val="-1"/>
        </w:rPr>
        <w:t>service</w:t>
      </w:r>
      <w:r>
        <w:rPr>
          <w:spacing w:val="-4"/>
        </w:rPr>
        <w:t xml:space="preserve"> </w:t>
      </w:r>
      <w:r>
        <w:t>for</w:t>
      </w:r>
      <w:r>
        <w:rPr>
          <w:spacing w:val="-6"/>
        </w:rPr>
        <w:t xml:space="preserve"> </w:t>
      </w:r>
      <w:r>
        <w:rPr>
          <w:spacing w:val="-1"/>
        </w:rPr>
        <w:t>Elected</w:t>
      </w:r>
      <w:r>
        <w:rPr>
          <w:spacing w:val="-4"/>
        </w:rPr>
        <w:t xml:space="preserve"> </w:t>
      </w:r>
      <w:r>
        <w:t>GP</w:t>
      </w:r>
      <w:r>
        <w:rPr>
          <w:spacing w:val="-4"/>
        </w:rPr>
        <w:t xml:space="preserve"> </w:t>
      </w:r>
      <w:r>
        <w:rPr>
          <w:spacing w:val="-1"/>
        </w:rPr>
        <w:t>members</w:t>
      </w:r>
      <w:r>
        <w:rPr>
          <w:spacing w:val="-5"/>
        </w:rPr>
        <w:t xml:space="preserve"> </w:t>
      </w:r>
      <w:r>
        <w:rPr>
          <w:spacing w:val="-1"/>
        </w:rPr>
        <w:t>and</w:t>
      </w:r>
      <w:r>
        <w:rPr>
          <w:spacing w:val="-4"/>
        </w:rPr>
        <w:t xml:space="preserve"> </w:t>
      </w:r>
      <w:r>
        <w:rPr>
          <w:spacing w:val="-1"/>
        </w:rPr>
        <w:t>other</w:t>
      </w:r>
      <w:r>
        <w:rPr>
          <w:spacing w:val="-3"/>
        </w:rPr>
        <w:t xml:space="preserve"> </w:t>
      </w:r>
      <w:r>
        <w:rPr>
          <w:spacing w:val="-1"/>
        </w:rPr>
        <w:t>people</w:t>
      </w:r>
      <w:r>
        <w:rPr>
          <w:spacing w:val="-4"/>
        </w:rPr>
        <w:t xml:space="preserve"> </w:t>
      </w:r>
      <w:r>
        <w:rPr>
          <w:spacing w:val="-1"/>
        </w:rPr>
        <w:t>who provide</w:t>
      </w:r>
      <w:r>
        <w:rPr>
          <w:spacing w:val="-6"/>
        </w:rPr>
        <w:t xml:space="preserve"> </w:t>
      </w:r>
      <w:r>
        <w:rPr>
          <w:spacing w:val="-1"/>
        </w:rPr>
        <w:t>services</w:t>
      </w:r>
      <w:r>
        <w:rPr>
          <w:spacing w:val="63"/>
        </w:rPr>
        <w:t xml:space="preserve"> </w:t>
      </w:r>
      <w:r>
        <w:t>to</w:t>
      </w:r>
      <w:r>
        <w:rPr>
          <w:spacing w:val="6"/>
        </w:rPr>
        <w:t xml:space="preserve"> </w:t>
      </w:r>
      <w:r>
        <w:t>the</w:t>
      </w:r>
      <w:r>
        <w:rPr>
          <w:spacing w:val="6"/>
        </w:rPr>
        <w:t xml:space="preserve"> </w:t>
      </w:r>
      <w:r>
        <w:rPr>
          <w:spacing w:val="-1"/>
        </w:rPr>
        <w:t>CCG</w:t>
      </w:r>
      <w:r>
        <w:rPr>
          <w:spacing w:val="8"/>
        </w:rPr>
        <w:t xml:space="preserve"> </w:t>
      </w:r>
      <w:r>
        <w:rPr>
          <w:spacing w:val="-2"/>
        </w:rPr>
        <w:t>(all</w:t>
      </w:r>
      <w:r>
        <w:rPr>
          <w:spacing w:val="7"/>
        </w:rPr>
        <w:t xml:space="preserve"> </w:t>
      </w:r>
      <w:r>
        <w:rPr>
          <w:spacing w:val="-1"/>
        </w:rPr>
        <w:t>of</w:t>
      </w:r>
      <w:r>
        <w:rPr>
          <w:spacing w:val="8"/>
        </w:rPr>
        <w:t xml:space="preserve"> </w:t>
      </w:r>
      <w:r>
        <w:rPr>
          <w:spacing w:val="-2"/>
        </w:rPr>
        <w:t>whom</w:t>
      </w:r>
      <w:r>
        <w:rPr>
          <w:spacing w:val="6"/>
        </w:rPr>
        <w:t xml:space="preserve"> </w:t>
      </w:r>
      <w:r>
        <w:rPr>
          <w:spacing w:val="-1"/>
        </w:rPr>
        <w:t>are</w:t>
      </w:r>
      <w:r>
        <w:rPr>
          <w:spacing w:val="6"/>
        </w:rPr>
        <w:t xml:space="preserve"> </w:t>
      </w:r>
      <w:r>
        <w:rPr>
          <w:spacing w:val="-1"/>
        </w:rPr>
        <w:t>not</w:t>
      </w:r>
      <w:r>
        <w:rPr>
          <w:spacing w:val="5"/>
        </w:rPr>
        <w:t xml:space="preserve"> </w:t>
      </w:r>
      <w:r>
        <w:rPr>
          <w:spacing w:val="-1"/>
        </w:rPr>
        <w:t>employees</w:t>
      </w:r>
      <w:r>
        <w:rPr>
          <w:spacing w:val="5"/>
        </w:rPr>
        <w:t xml:space="preserve"> </w:t>
      </w:r>
      <w:r>
        <w:rPr>
          <w:spacing w:val="-1"/>
        </w:rPr>
        <w:t>of</w:t>
      </w:r>
      <w:r>
        <w:rPr>
          <w:spacing w:val="8"/>
        </w:rPr>
        <w:t xml:space="preserve"> </w:t>
      </w:r>
      <w:r>
        <w:t>the</w:t>
      </w:r>
      <w:r>
        <w:rPr>
          <w:spacing w:val="6"/>
        </w:rPr>
        <w:t xml:space="preserve"> </w:t>
      </w:r>
      <w:r>
        <w:rPr>
          <w:spacing w:val="-1"/>
        </w:rPr>
        <w:t>CCG),</w:t>
      </w:r>
      <w:r>
        <w:rPr>
          <w:spacing w:val="5"/>
        </w:rPr>
        <w:t xml:space="preserve"> </w:t>
      </w:r>
      <w:r>
        <w:rPr>
          <w:spacing w:val="-1"/>
        </w:rPr>
        <w:t>taking</w:t>
      </w:r>
      <w:r>
        <w:rPr>
          <w:spacing w:val="6"/>
        </w:rPr>
        <w:t xml:space="preserve"> </w:t>
      </w:r>
      <w:r>
        <w:rPr>
          <w:spacing w:val="-1"/>
        </w:rPr>
        <w:t>in</w:t>
      </w:r>
      <w:r>
        <w:rPr>
          <w:spacing w:val="3"/>
        </w:rPr>
        <w:t xml:space="preserve"> </w:t>
      </w:r>
      <w:r>
        <w:t>to</w:t>
      </w:r>
      <w:r>
        <w:rPr>
          <w:spacing w:val="6"/>
        </w:rPr>
        <w:t xml:space="preserve"> </w:t>
      </w:r>
      <w:r>
        <w:rPr>
          <w:spacing w:val="-1"/>
        </w:rPr>
        <w:t>account</w:t>
      </w:r>
      <w:r>
        <w:rPr>
          <w:spacing w:val="5"/>
        </w:rPr>
        <w:t xml:space="preserve"> </w:t>
      </w:r>
      <w:r>
        <w:rPr>
          <w:spacing w:val="-1"/>
        </w:rPr>
        <w:t>any</w:t>
      </w:r>
      <w:r>
        <w:rPr>
          <w:spacing w:val="5"/>
        </w:rPr>
        <w:t xml:space="preserve"> </w:t>
      </w:r>
      <w:r>
        <w:rPr>
          <w:spacing w:val="-1"/>
        </w:rPr>
        <w:t>national</w:t>
      </w:r>
      <w:r>
        <w:rPr>
          <w:spacing w:val="7"/>
        </w:rPr>
        <w:t xml:space="preserve"> </w:t>
      </w:r>
      <w:r>
        <w:t>or</w:t>
      </w:r>
      <w:r>
        <w:rPr>
          <w:spacing w:val="6"/>
        </w:rPr>
        <w:t xml:space="preserve"> </w:t>
      </w:r>
      <w:r>
        <w:rPr>
          <w:spacing w:val="-1"/>
        </w:rPr>
        <w:t>local</w:t>
      </w:r>
      <w:r>
        <w:rPr>
          <w:spacing w:val="65"/>
        </w:rPr>
        <w:t xml:space="preserve"> </w:t>
      </w:r>
      <w:r>
        <w:rPr>
          <w:spacing w:val="-1"/>
        </w:rPr>
        <w:t>guidance</w:t>
      </w:r>
      <w:r>
        <w:rPr>
          <w:spacing w:val="-4"/>
        </w:rPr>
        <w:t xml:space="preserve"> </w:t>
      </w:r>
      <w:r>
        <w:t>as</w:t>
      </w:r>
      <w:r>
        <w:rPr>
          <w:spacing w:val="-5"/>
        </w:rPr>
        <w:t xml:space="preserve"> </w:t>
      </w:r>
      <w:r>
        <w:rPr>
          <w:spacing w:val="-1"/>
        </w:rPr>
        <w:t>appropriate,</w:t>
      </w:r>
      <w:r>
        <w:rPr>
          <w:spacing w:val="-2"/>
        </w:rPr>
        <w:t xml:space="preserve"> </w:t>
      </w:r>
      <w:r>
        <w:t>so</w:t>
      </w:r>
      <w:r>
        <w:rPr>
          <w:spacing w:val="-4"/>
        </w:rPr>
        <w:t xml:space="preserve"> </w:t>
      </w:r>
      <w:r>
        <w:t>as</w:t>
      </w:r>
      <w:r>
        <w:rPr>
          <w:spacing w:val="-5"/>
        </w:rPr>
        <w:t xml:space="preserve"> </w:t>
      </w:r>
      <w:r>
        <w:t>to</w:t>
      </w:r>
      <w:r>
        <w:rPr>
          <w:spacing w:val="-4"/>
        </w:rPr>
        <w:t xml:space="preserve"> </w:t>
      </w:r>
      <w:r>
        <w:rPr>
          <w:spacing w:val="-1"/>
        </w:rPr>
        <w:t>ensure</w:t>
      </w:r>
      <w:r>
        <w:rPr>
          <w:spacing w:val="-4"/>
        </w:rPr>
        <w:t xml:space="preserve"> </w:t>
      </w:r>
      <w:r>
        <w:rPr>
          <w:spacing w:val="-1"/>
        </w:rPr>
        <w:t>that</w:t>
      </w:r>
      <w:r>
        <w:rPr>
          <w:spacing w:val="-4"/>
        </w:rPr>
        <w:t xml:space="preserve"> </w:t>
      </w:r>
      <w:r>
        <w:rPr>
          <w:spacing w:val="-1"/>
        </w:rPr>
        <w:t>individuals</w:t>
      </w:r>
      <w:r>
        <w:rPr>
          <w:spacing w:val="-2"/>
        </w:rPr>
        <w:t xml:space="preserve"> </w:t>
      </w:r>
      <w:r>
        <w:rPr>
          <w:spacing w:val="-1"/>
        </w:rPr>
        <w:t>are</w:t>
      </w:r>
      <w:r>
        <w:rPr>
          <w:spacing w:val="-4"/>
        </w:rPr>
        <w:t xml:space="preserve"> </w:t>
      </w:r>
      <w:r>
        <w:rPr>
          <w:spacing w:val="-1"/>
        </w:rPr>
        <w:t>fairly</w:t>
      </w:r>
      <w:r>
        <w:rPr>
          <w:spacing w:val="-5"/>
        </w:rPr>
        <w:t xml:space="preserve"> </w:t>
      </w:r>
      <w:r>
        <w:rPr>
          <w:spacing w:val="-1"/>
        </w:rPr>
        <w:t>rewarded</w:t>
      </w:r>
      <w:r>
        <w:rPr>
          <w:spacing w:val="-4"/>
        </w:rPr>
        <w:t xml:space="preserve"> </w:t>
      </w:r>
      <w:r>
        <w:t>for</w:t>
      </w:r>
      <w:r>
        <w:rPr>
          <w:spacing w:val="-6"/>
        </w:rPr>
        <w:t xml:space="preserve"> </w:t>
      </w:r>
      <w:r>
        <w:rPr>
          <w:spacing w:val="-1"/>
        </w:rPr>
        <w:t>their</w:t>
      </w:r>
      <w:r>
        <w:rPr>
          <w:spacing w:val="-3"/>
        </w:rPr>
        <w:t xml:space="preserve"> </w:t>
      </w:r>
      <w:r>
        <w:rPr>
          <w:spacing w:val="-1"/>
        </w:rPr>
        <w:t>contribution</w:t>
      </w:r>
      <w:r>
        <w:rPr>
          <w:spacing w:val="-4"/>
        </w:rPr>
        <w:t xml:space="preserve"> </w:t>
      </w:r>
      <w:r>
        <w:rPr>
          <w:spacing w:val="-1"/>
        </w:rPr>
        <w:t>to</w:t>
      </w:r>
      <w:r>
        <w:rPr>
          <w:spacing w:val="75"/>
        </w:rPr>
        <w:t xml:space="preserve"> </w:t>
      </w:r>
      <w:r>
        <w:t>the</w:t>
      </w:r>
      <w:r>
        <w:rPr>
          <w:spacing w:val="25"/>
        </w:rPr>
        <w:t xml:space="preserve"> </w:t>
      </w:r>
      <w:r>
        <w:rPr>
          <w:spacing w:val="-1"/>
        </w:rPr>
        <w:t>CCG.</w:t>
      </w:r>
      <w:r>
        <w:rPr>
          <w:spacing w:val="22"/>
        </w:rPr>
        <w:t xml:space="preserve"> </w:t>
      </w:r>
    </w:p>
    <w:p w14:paraId="68282077" w14:textId="3B926B4C" w:rsidR="00311273" w:rsidRDefault="00311273" w:rsidP="00311273">
      <w:pPr>
        <w:pStyle w:val="BodyText"/>
        <w:kinsoku w:val="0"/>
        <w:overflowPunct w:val="0"/>
        <w:ind w:right="178"/>
        <w:rPr>
          <w:spacing w:val="-1"/>
        </w:rPr>
      </w:pPr>
      <w:r>
        <w:t>The</w:t>
      </w:r>
      <w:r>
        <w:rPr>
          <w:spacing w:val="-1"/>
        </w:rPr>
        <w:t xml:space="preserve"> membership</w:t>
      </w:r>
      <w:r>
        <w:rPr>
          <w:spacing w:val="1"/>
        </w:rPr>
        <w:t xml:space="preserve"> </w:t>
      </w:r>
      <w:r>
        <w:rPr>
          <w:spacing w:val="-1"/>
        </w:rPr>
        <w:t>of</w:t>
      </w:r>
      <w:r>
        <w:t xml:space="preserve"> </w:t>
      </w:r>
      <w:r>
        <w:rPr>
          <w:spacing w:val="-1"/>
        </w:rPr>
        <w:t>the</w:t>
      </w:r>
      <w:r>
        <w:rPr>
          <w:spacing w:val="1"/>
        </w:rPr>
        <w:t xml:space="preserve"> </w:t>
      </w:r>
      <w:r>
        <w:rPr>
          <w:spacing w:val="-1"/>
        </w:rPr>
        <w:t>Remuneration Committee</w:t>
      </w:r>
      <w:r>
        <w:rPr>
          <w:spacing w:val="1"/>
        </w:rPr>
        <w:t xml:space="preserve"> </w:t>
      </w:r>
      <w:r>
        <w:t>as</w:t>
      </w:r>
      <w:r>
        <w:rPr>
          <w:spacing w:val="-2"/>
        </w:rPr>
        <w:t xml:space="preserve"> </w:t>
      </w:r>
      <w:r>
        <w:t>at</w:t>
      </w:r>
      <w:r>
        <w:rPr>
          <w:spacing w:val="-2"/>
        </w:rPr>
        <w:t xml:space="preserve"> </w:t>
      </w:r>
      <w:r>
        <w:t>31</w:t>
      </w:r>
      <w:r>
        <w:rPr>
          <w:spacing w:val="1"/>
        </w:rPr>
        <w:t xml:space="preserve"> </w:t>
      </w:r>
      <w:r>
        <w:rPr>
          <w:spacing w:val="-1"/>
        </w:rPr>
        <w:t>March</w:t>
      </w:r>
      <w:r>
        <w:rPr>
          <w:spacing w:val="-4"/>
        </w:rPr>
        <w:t xml:space="preserve"> </w:t>
      </w:r>
      <w:r>
        <w:rPr>
          <w:spacing w:val="-1"/>
        </w:rPr>
        <w:t>2022</w:t>
      </w:r>
      <w:r>
        <w:rPr>
          <w:spacing w:val="1"/>
        </w:rPr>
        <w:t xml:space="preserve"> </w:t>
      </w:r>
      <w:r>
        <w:rPr>
          <w:spacing w:val="-1"/>
        </w:rPr>
        <w:t>is</w:t>
      </w:r>
      <w:r>
        <w:t xml:space="preserve"> </w:t>
      </w:r>
      <w:r>
        <w:rPr>
          <w:spacing w:val="-1"/>
        </w:rPr>
        <w:t>two</w:t>
      </w:r>
      <w:r>
        <w:rPr>
          <w:spacing w:val="1"/>
        </w:rPr>
        <w:t xml:space="preserve"> </w:t>
      </w:r>
      <w:r>
        <w:rPr>
          <w:spacing w:val="-1"/>
        </w:rPr>
        <w:t>lay</w:t>
      </w:r>
      <w:r>
        <w:rPr>
          <w:spacing w:val="-2"/>
        </w:rPr>
        <w:t xml:space="preserve"> </w:t>
      </w:r>
      <w:r>
        <w:rPr>
          <w:spacing w:val="-1"/>
        </w:rPr>
        <w:t>members.</w:t>
      </w:r>
      <w:r>
        <w:t xml:space="preserve"> </w:t>
      </w:r>
      <w:r>
        <w:rPr>
          <w:spacing w:val="1"/>
        </w:rPr>
        <w:t xml:space="preserve"> </w:t>
      </w:r>
      <w:r>
        <w:rPr>
          <w:spacing w:val="-1"/>
        </w:rPr>
        <w:t>The</w:t>
      </w:r>
      <w:r>
        <w:rPr>
          <w:spacing w:val="67"/>
        </w:rPr>
        <w:t xml:space="preserve"> </w:t>
      </w:r>
      <w:r>
        <w:rPr>
          <w:spacing w:val="-1"/>
        </w:rPr>
        <w:t>committee</w:t>
      </w:r>
      <w:r>
        <w:rPr>
          <w:spacing w:val="1"/>
        </w:rPr>
        <w:t xml:space="preserve"> </w:t>
      </w:r>
      <w:r>
        <w:rPr>
          <w:spacing w:val="-1"/>
        </w:rPr>
        <w:t>is</w:t>
      </w:r>
      <w:r>
        <w:rPr>
          <w:spacing w:val="-2"/>
        </w:rPr>
        <w:t xml:space="preserve"> </w:t>
      </w:r>
      <w:r>
        <w:rPr>
          <w:spacing w:val="-1"/>
        </w:rPr>
        <w:t>chaired</w:t>
      </w:r>
      <w:r>
        <w:rPr>
          <w:spacing w:val="1"/>
        </w:rPr>
        <w:t xml:space="preserve"> </w:t>
      </w:r>
      <w:r>
        <w:t>by</w:t>
      </w:r>
      <w:r>
        <w:rPr>
          <w:spacing w:val="-2"/>
        </w:rPr>
        <w:t xml:space="preserve"> </w:t>
      </w:r>
      <w:r>
        <w:t>the</w:t>
      </w:r>
      <w:r>
        <w:rPr>
          <w:spacing w:val="-1"/>
        </w:rPr>
        <w:t xml:space="preserve"> </w:t>
      </w:r>
      <w:r>
        <w:t>Lay</w:t>
      </w:r>
      <w:r>
        <w:rPr>
          <w:spacing w:val="-2"/>
        </w:rPr>
        <w:t xml:space="preserve"> </w:t>
      </w:r>
      <w:r>
        <w:rPr>
          <w:spacing w:val="-1"/>
        </w:rPr>
        <w:t xml:space="preserve">Member </w:t>
      </w:r>
      <w:r w:rsidRPr="002D2917">
        <w:rPr>
          <w:spacing w:val="-1"/>
        </w:rPr>
        <w:t>(</w:t>
      </w:r>
      <w:r>
        <w:rPr>
          <w:spacing w:val="-1"/>
        </w:rPr>
        <w:t>Governance).</w:t>
      </w:r>
    </w:p>
    <w:p w14:paraId="4FB6D901" w14:textId="54338E6E" w:rsidR="00311273" w:rsidRDefault="00311273" w:rsidP="00311273">
      <w:pPr>
        <w:pStyle w:val="BodyText"/>
        <w:kinsoku w:val="0"/>
        <w:overflowPunct w:val="0"/>
        <w:ind w:right="267"/>
        <w:rPr>
          <w:spacing w:val="-1"/>
        </w:rPr>
      </w:pPr>
      <w:r>
        <w:t>The</w:t>
      </w:r>
      <w:r>
        <w:rPr>
          <w:spacing w:val="1"/>
        </w:rPr>
        <w:t xml:space="preserve"> </w:t>
      </w:r>
      <w:r>
        <w:rPr>
          <w:spacing w:val="-1"/>
        </w:rPr>
        <w:t>Remuneration</w:t>
      </w:r>
      <w:r>
        <w:rPr>
          <w:spacing w:val="1"/>
        </w:rPr>
        <w:t xml:space="preserve"> </w:t>
      </w:r>
      <w:r>
        <w:rPr>
          <w:spacing w:val="-1"/>
        </w:rPr>
        <w:t>Committee met</w:t>
      </w:r>
      <w:r>
        <w:t xml:space="preserve"> </w:t>
      </w:r>
      <w:r>
        <w:rPr>
          <w:spacing w:val="-1"/>
        </w:rPr>
        <w:t>in</w:t>
      </w:r>
      <w:r>
        <w:rPr>
          <w:spacing w:val="1"/>
        </w:rPr>
        <w:t xml:space="preserve"> </w:t>
      </w:r>
      <w:r>
        <w:rPr>
          <w:spacing w:val="-2"/>
        </w:rPr>
        <w:t>common</w:t>
      </w:r>
      <w:r>
        <w:rPr>
          <w:spacing w:val="1"/>
        </w:rPr>
        <w:t xml:space="preserve"> </w:t>
      </w:r>
      <w:r>
        <w:rPr>
          <w:spacing w:val="-1"/>
        </w:rPr>
        <w:t>with</w:t>
      </w:r>
      <w:r>
        <w:rPr>
          <w:spacing w:val="1"/>
        </w:rPr>
        <w:t xml:space="preserve"> </w:t>
      </w:r>
      <w:r>
        <w:t>the</w:t>
      </w:r>
      <w:r>
        <w:rPr>
          <w:spacing w:val="-1"/>
        </w:rPr>
        <w:t xml:space="preserve"> other MSE</w:t>
      </w:r>
      <w:r>
        <w:rPr>
          <w:spacing w:val="-2"/>
        </w:rPr>
        <w:t xml:space="preserve"> </w:t>
      </w:r>
      <w:r>
        <w:rPr>
          <w:spacing w:val="-1"/>
        </w:rPr>
        <w:t>CCG</w:t>
      </w:r>
      <w:r>
        <w:t xml:space="preserve"> </w:t>
      </w:r>
      <w:r>
        <w:rPr>
          <w:spacing w:val="-1"/>
        </w:rPr>
        <w:t>Remuneration</w:t>
      </w:r>
      <w:r>
        <w:rPr>
          <w:spacing w:val="61"/>
        </w:rPr>
        <w:t xml:space="preserve"> </w:t>
      </w:r>
      <w:r>
        <w:rPr>
          <w:spacing w:val="-1"/>
        </w:rPr>
        <w:t>Committees</w:t>
      </w:r>
      <w:r>
        <w:t xml:space="preserve"> </w:t>
      </w:r>
      <w:r>
        <w:rPr>
          <w:spacing w:val="-1"/>
        </w:rPr>
        <w:t>10</w:t>
      </w:r>
      <w:r>
        <w:rPr>
          <w:spacing w:val="1"/>
        </w:rPr>
        <w:t xml:space="preserve"> </w:t>
      </w:r>
      <w:r>
        <w:rPr>
          <w:spacing w:val="-1"/>
        </w:rPr>
        <w:t>times,</w:t>
      </w:r>
      <w:r>
        <w:t xml:space="preserve"> </w:t>
      </w:r>
      <w:r>
        <w:rPr>
          <w:spacing w:val="-1"/>
        </w:rPr>
        <w:t xml:space="preserve">either </w:t>
      </w:r>
      <w:r>
        <w:rPr>
          <w:spacing w:val="-2"/>
        </w:rPr>
        <w:t>via</w:t>
      </w:r>
      <w:r>
        <w:rPr>
          <w:spacing w:val="1"/>
        </w:rPr>
        <w:t xml:space="preserve"> </w:t>
      </w:r>
      <w:r>
        <w:rPr>
          <w:spacing w:val="-1"/>
        </w:rPr>
        <w:t>MS</w:t>
      </w:r>
      <w:r>
        <w:rPr>
          <w:spacing w:val="1"/>
        </w:rPr>
        <w:t xml:space="preserve"> </w:t>
      </w:r>
      <w:r>
        <w:t>Teams</w:t>
      </w:r>
      <w:r>
        <w:rPr>
          <w:spacing w:val="-5"/>
        </w:rPr>
        <w:t xml:space="preserve"> </w:t>
      </w:r>
      <w:r>
        <w:t>or</w:t>
      </w:r>
      <w:r>
        <w:rPr>
          <w:spacing w:val="-1"/>
        </w:rPr>
        <w:t xml:space="preserve"> </w:t>
      </w:r>
      <w:r>
        <w:t>by</w:t>
      </w:r>
      <w:r>
        <w:rPr>
          <w:spacing w:val="-2"/>
        </w:rPr>
        <w:t xml:space="preserve"> </w:t>
      </w:r>
      <w:r>
        <w:rPr>
          <w:spacing w:val="-1"/>
        </w:rPr>
        <w:t>conducting business</w:t>
      </w:r>
      <w:r>
        <w:t xml:space="preserve"> </w:t>
      </w:r>
      <w:r>
        <w:rPr>
          <w:spacing w:val="-1"/>
        </w:rPr>
        <w:t>‘virtually’</w:t>
      </w:r>
      <w:r>
        <w:t xml:space="preserve"> by</w:t>
      </w:r>
      <w:r>
        <w:rPr>
          <w:spacing w:val="-2"/>
        </w:rPr>
        <w:t xml:space="preserve"> </w:t>
      </w:r>
      <w:r>
        <w:rPr>
          <w:spacing w:val="-1"/>
        </w:rPr>
        <w:t>email,</w:t>
      </w:r>
      <w:r>
        <w:t xml:space="preserve"> </w:t>
      </w:r>
      <w:r>
        <w:rPr>
          <w:spacing w:val="-1"/>
        </w:rPr>
        <w:t>during</w:t>
      </w:r>
      <w:r>
        <w:rPr>
          <w:spacing w:val="75"/>
        </w:rPr>
        <w:t xml:space="preserve"> </w:t>
      </w:r>
      <w:r>
        <w:rPr>
          <w:spacing w:val="-1"/>
        </w:rPr>
        <w:t>2021/22.</w:t>
      </w:r>
    </w:p>
    <w:p w14:paraId="4A2E0C1D" w14:textId="77777777" w:rsidR="00780EF0" w:rsidRPr="009A77A0" w:rsidRDefault="00780EF0" w:rsidP="009A77A0">
      <w:pPr>
        <w:pStyle w:val="BodyText"/>
        <w:rPr>
          <w:b/>
          <w:bCs/>
          <w:lang w:val="en"/>
        </w:rPr>
      </w:pPr>
      <w:r w:rsidRPr="009A77A0">
        <w:rPr>
          <w:b/>
          <w:bCs/>
          <w:lang w:val="en"/>
        </w:rPr>
        <w:t>Clinical Executive Group (CEG)</w:t>
      </w:r>
    </w:p>
    <w:p w14:paraId="63937E6A" w14:textId="4C3465BC" w:rsidR="00780EF0" w:rsidRPr="007830C3" w:rsidRDefault="00780EF0" w:rsidP="00780EF0">
      <w:pPr>
        <w:spacing w:before="120"/>
        <w:rPr>
          <w:rFonts w:eastAsia="Calibri"/>
          <w:lang w:val="en"/>
        </w:rPr>
      </w:pPr>
      <w:r w:rsidRPr="007830C3">
        <w:rPr>
          <w:rFonts w:eastAsia="Calibri"/>
          <w:lang w:val="en"/>
        </w:rPr>
        <w:t>The CEG is a committee of the Board and provides a forum for the clinical leaders and senior officers to plan the clinical direction of the CCG and make recommendations to the Board. This was achieved through the review and evaluation of innovations, commissioning and decommissioning proposals and other schemes, projects and initiatives.</w:t>
      </w:r>
    </w:p>
    <w:p w14:paraId="59D6648D" w14:textId="77777777" w:rsidR="00780EF0" w:rsidRPr="009A77A0" w:rsidRDefault="00780EF0" w:rsidP="009A77A0">
      <w:pPr>
        <w:pStyle w:val="BodyText"/>
        <w:rPr>
          <w:b/>
          <w:bCs/>
          <w:lang w:val="en"/>
        </w:rPr>
      </w:pPr>
      <w:r w:rsidRPr="009A77A0">
        <w:rPr>
          <w:b/>
          <w:bCs/>
          <w:lang w:val="en"/>
        </w:rPr>
        <w:t>Finance and Performance Committee</w:t>
      </w:r>
    </w:p>
    <w:p w14:paraId="00C52002" w14:textId="7ADE140C" w:rsidR="00311273" w:rsidRDefault="00311273" w:rsidP="00311273">
      <w:pPr>
        <w:pStyle w:val="BodyText"/>
        <w:kinsoku w:val="0"/>
        <w:overflowPunct w:val="0"/>
        <w:spacing w:before="120"/>
        <w:ind w:right="548"/>
        <w:rPr>
          <w:spacing w:val="-1"/>
        </w:rPr>
      </w:pPr>
      <w:r>
        <w:t xml:space="preserve">This </w:t>
      </w:r>
      <w:r>
        <w:rPr>
          <w:spacing w:val="-1"/>
        </w:rPr>
        <w:t>Committee</w:t>
      </w:r>
      <w:r>
        <w:rPr>
          <w:spacing w:val="1"/>
        </w:rPr>
        <w:t xml:space="preserve"> </w:t>
      </w:r>
      <w:r>
        <w:rPr>
          <w:spacing w:val="-1"/>
        </w:rPr>
        <w:t>scrutinises</w:t>
      </w:r>
      <w:r>
        <w:t xml:space="preserve"> </w:t>
      </w:r>
      <w:r>
        <w:rPr>
          <w:spacing w:val="-1"/>
        </w:rPr>
        <w:t>and</w:t>
      </w:r>
      <w:r>
        <w:rPr>
          <w:spacing w:val="1"/>
        </w:rPr>
        <w:t xml:space="preserve"> </w:t>
      </w:r>
      <w:r>
        <w:rPr>
          <w:spacing w:val="-1"/>
        </w:rPr>
        <w:t>provides</w:t>
      </w:r>
      <w:r>
        <w:t xml:space="preserve"> </w:t>
      </w:r>
      <w:r>
        <w:rPr>
          <w:spacing w:val="-1"/>
        </w:rPr>
        <w:t>the CCG</w:t>
      </w:r>
      <w:r>
        <w:t xml:space="preserve"> </w:t>
      </w:r>
      <w:r>
        <w:rPr>
          <w:spacing w:val="-1"/>
        </w:rPr>
        <w:t>Board</w:t>
      </w:r>
      <w:r>
        <w:rPr>
          <w:spacing w:val="1"/>
        </w:rPr>
        <w:t xml:space="preserve"> </w:t>
      </w:r>
      <w:r>
        <w:rPr>
          <w:spacing w:val="-1"/>
        </w:rPr>
        <w:t>with</w:t>
      </w:r>
      <w:r>
        <w:rPr>
          <w:spacing w:val="1"/>
        </w:rPr>
        <w:t xml:space="preserve"> </w:t>
      </w:r>
      <w:r>
        <w:rPr>
          <w:spacing w:val="-1"/>
        </w:rPr>
        <w:t xml:space="preserve">assurance </w:t>
      </w:r>
      <w:r>
        <w:t>on</w:t>
      </w:r>
      <w:r>
        <w:rPr>
          <w:spacing w:val="-1"/>
        </w:rPr>
        <w:t xml:space="preserve"> </w:t>
      </w:r>
      <w:r>
        <w:t>the</w:t>
      </w:r>
      <w:r>
        <w:rPr>
          <w:spacing w:val="-1"/>
        </w:rPr>
        <w:t xml:space="preserve"> delivery</w:t>
      </w:r>
      <w:r>
        <w:rPr>
          <w:spacing w:val="-2"/>
        </w:rPr>
        <w:t xml:space="preserve"> </w:t>
      </w:r>
      <w:r>
        <w:t>of the</w:t>
      </w:r>
      <w:r>
        <w:rPr>
          <w:spacing w:val="55"/>
        </w:rPr>
        <w:t xml:space="preserve"> </w:t>
      </w:r>
      <w:r>
        <w:rPr>
          <w:spacing w:val="-1"/>
        </w:rPr>
        <w:t>CCG’s</w:t>
      </w:r>
      <w:r>
        <w:t xml:space="preserve"> </w:t>
      </w:r>
      <w:r>
        <w:rPr>
          <w:spacing w:val="-1"/>
        </w:rPr>
        <w:t>remit</w:t>
      </w:r>
      <w:r>
        <w:t xml:space="preserve"> </w:t>
      </w:r>
      <w:r>
        <w:rPr>
          <w:spacing w:val="-1"/>
        </w:rPr>
        <w:t>in</w:t>
      </w:r>
      <w:r>
        <w:rPr>
          <w:spacing w:val="1"/>
        </w:rPr>
        <w:t xml:space="preserve"> </w:t>
      </w:r>
      <w:r>
        <w:rPr>
          <w:spacing w:val="-1"/>
        </w:rPr>
        <w:t>respect</w:t>
      </w:r>
      <w:r>
        <w:rPr>
          <w:spacing w:val="-2"/>
        </w:rPr>
        <w:t xml:space="preserve"> </w:t>
      </w:r>
      <w:r>
        <w:rPr>
          <w:spacing w:val="-1"/>
        </w:rPr>
        <w:t>of</w:t>
      </w:r>
      <w:r>
        <w:rPr>
          <w:spacing w:val="3"/>
        </w:rPr>
        <w:t xml:space="preserve"> </w:t>
      </w:r>
      <w:r>
        <w:rPr>
          <w:spacing w:val="-1"/>
        </w:rPr>
        <w:t>the</w:t>
      </w:r>
      <w:r>
        <w:rPr>
          <w:spacing w:val="1"/>
        </w:rPr>
        <w:t xml:space="preserve"> </w:t>
      </w:r>
      <w:r>
        <w:rPr>
          <w:spacing w:val="-1"/>
        </w:rPr>
        <w:t>CCG’s</w:t>
      </w:r>
      <w:r>
        <w:t xml:space="preserve"> </w:t>
      </w:r>
      <w:r>
        <w:rPr>
          <w:spacing w:val="-1"/>
        </w:rPr>
        <w:t>overall</w:t>
      </w:r>
      <w:r>
        <w:rPr>
          <w:spacing w:val="-3"/>
        </w:rPr>
        <w:t xml:space="preserve"> </w:t>
      </w:r>
      <w:r>
        <w:rPr>
          <w:spacing w:val="-1"/>
        </w:rPr>
        <w:t>financial</w:t>
      </w:r>
      <w:r>
        <w:rPr>
          <w:spacing w:val="-3"/>
        </w:rPr>
        <w:t xml:space="preserve"> </w:t>
      </w:r>
      <w:r>
        <w:rPr>
          <w:spacing w:val="-1"/>
        </w:rPr>
        <w:t>position</w:t>
      </w:r>
      <w:r>
        <w:rPr>
          <w:spacing w:val="1"/>
        </w:rPr>
        <w:t xml:space="preserve"> </w:t>
      </w:r>
      <w:r>
        <w:rPr>
          <w:spacing w:val="-1"/>
        </w:rPr>
        <w:t xml:space="preserve">(including running </w:t>
      </w:r>
      <w:r>
        <w:t>costs)</w:t>
      </w:r>
      <w:r>
        <w:rPr>
          <w:spacing w:val="-1"/>
        </w:rPr>
        <w:t xml:space="preserve"> and </w:t>
      </w:r>
      <w:r>
        <w:t>for</w:t>
      </w:r>
      <w:r>
        <w:rPr>
          <w:spacing w:val="73"/>
        </w:rPr>
        <w:t xml:space="preserve"> </w:t>
      </w:r>
      <w:r>
        <w:rPr>
          <w:spacing w:val="-1"/>
        </w:rPr>
        <w:t>service</w:t>
      </w:r>
      <w:r>
        <w:rPr>
          <w:spacing w:val="1"/>
        </w:rPr>
        <w:t xml:space="preserve"> </w:t>
      </w:r>
      <w:r>
        <w:rPr>
          <w:spacing w:val="-1"/>
        </w:rPr>
        <w:t>performance for commissioned</w:t>
      </w:r>
      <w:r>
        <w:rPr>
          <w:spacing w:val="1"/>
        </w:rPr>
        <w:t xml:space="preserve"> </w:t>
      </w:r>
      <w:r>
        <w:rPr>
          <w:spacing w:val="-1"/>
        </w:rPr>
        <w:t>services</w:t>
      </w:r>
      <w:r>
        <w:t xml:space="preserve"> </w:t>
      </w:r>
      <w:r>
        <w:rPr>
          <w:spacing w:val="-1"/>
        </w:rPr>
        <w:t>not</w:t>
      </w:r>
      <w:r>
        <w:t xml:space="preserve"> </w:t>
      </w:r>
      <w:r>
        <w:rPr>
          <w:spacing w:val="-1"/>
        </w:rPr>
        <w:t xml:space="preserve">delegated </w:t>
      </w:r>
      <w:r>
        <w:t>to</w:t>
      </w:r>
      <w:r>
        <w:rPr>
          <w:spacing w:val="-1"/>
        </w:rPr>
        <w:t xml:space="preserve"> </w:t>
      </w:r>
      <w:r>
        <w:t>the</w:t>
      </w:r>
      <w:r>
        <w:rPr>
          <w:spacing w:val="-1"/>
        </w:rPr>
        <w:t xml:space="preserve"> </w:t>
      </w:r>
      <w:r w:rsidR="005351E8">
        <w:rPr>
          <w:spacing w:val="-1"/>
        </w:rPr>
        <w:t>Joint Committee (</w:t>
      </w:r>
      <w:r>
        <w:rPr>
          <w:spacing w:val="-1"/>
        </w:rPr>
        <w:t>JC</w:t>
      </w:r>
      <w:r w:rsidR="005351E8">
        <w:rPr>
          <w:spacing w:val="-1"/>
        </w:rPr>
        <w:t>)</w:t>
      </w:r>
      <w:r>
        <w:rPr>
          <w:spacing w:val="-1"/>
        </w:rPr>
        <w:t>.</w:t>
      </w:r>
    </w:p>
    <w:p w14:paraId="575009D8" w14:textId="0F23C813" w:rsidR="00311273" w:rsidRDefault="00311273" w:rsidP="00311273">
      <w:pPr>
        <w:pStyle w:val="BodyText"/>
        <w:kinsoku w:val="0"/>
        <w:overflowPunct w:val="0"/>
        <w:ind w:right="153"/>
        <w:rPr>
          <w:spacing w:val="-1"/>
        </w:rPr>
      </w:pPr>
      <w:r>
        <w:t>The</w:t>
      </w:r>
      <w:r>
        <w:rPr>
          <w:spacing w:val="1"/>
        </w:rPr>
        <w:t xml:space="preserve"> </w:t>
      </w:r>
      <w:r>
        <w:rPr>
          <w:spacing w:val="-1"/>
        </w:rPr>
        <w:t>Committee also maintains</w:t>
      </w:r>
      <w:r>
        <w:rPr>
          <w:spacing w:val="-2"/>
        </w:rPr>
        <w:t xml:space="preserve"> </w:t>
      </w:r>
      <w:r>
        <w:rPr>
          <w:spacing w:val="-1"/>
        </w:rPr>
        <w:t>local</w:t>
      </w:r>
      <w:r>
        <w:t xml:space="preserve"> </w:t>
      </w:r>
      <w:r>
        <w:rPr>
          <w:spacing w:val="-1"/>
        </w:rPr>
        <w:t>oversight</w:t>
      </w:r>
      <w:r>
        <w:t xml:space="preserve"> </w:t>
      </w:r>
      <w:r>
        <w:rPr>
          <w:spacing w:val="-1"/>
        </w:rPr>
        <w:t>of</w:t>
      </w:r>
      <w:r>
        <w:rPr>
          <w:spacing w:val="3"/>
        </w:rPr>
        <w:t xml:space="preserve"> </w:t>
      </w:r>
      <w:r>
        <w:rPr>
          <w:spacing w:val="-1"/>
        </w:rPr>
        <w:t>information management</w:t>
      </w:r>
      <w:r>
        <w:t xml:space="preserve"> </w:t>
      </w:r>
      <w:r>
        <w:rPr>
          <w:spacing w:val="-1"/>
        </w:rPr>
        <w:t>and</w:t>
      </w:r>
      <w:r>
        <w:rPr>
          <w:spacing w:val="1"/>
        </w:rPr>
        <w:t xml:space="preserve"> </w:t>
      </w:r>
      <w:r>
        <w:rPr>
          <w:spacing w:val="-1"/>
        </w:rPr>
        <w:t>technology,</w:t>
      </w:r>
      <w:r>
        <w:t xml:space="preserve"> </w:t>
      </w:r>
      <w:r>
        <w:rPr>
          <w:spacing w:val="-1"/>
        </w:rPr>
        <w:t>estates</w:t>
      </w:r>
      <w:r>
        <w:rPr>
          <w:spacing w:val="73"/>
        </w:rPr>
        <w:t xml:space="preserve"> </w:t>
      </w:r>
      <w:r>
        <w:rPr>
          <w:spacing w:val="-1"/>
        </w:rPr>
        <w:t>developments</w:t>
      </w:r>
      <w:r w:rsidR="006F3A0B">
        <w:rPr>
          <w:spacing w:val="-2"/>
        </w:rPr>
        <w:t>,</w:t>
      </w:r>
      <w:r>
        <w:rPr>
          <w:spacing w:val="1"/>
        </w:rPr>
        <w:t xml:space="preserve"> </w:t>
      </w:r>
      <w:r w:rsidR="006F3A0B">
        <w:rPr>
          <w:spacing w:val="-1"/>
        </w:rPr>
        <w:t xml:space="preserve">and a role in the </w:t>
      </w:r>
      <w:r>
        <w:rPr>
          <w:spacing w:val="-1"/>
        </w:rPr>
        <w:t>scrutiny</w:t>
      </w:r>
      <w:r>
        <w:rPr>
          <w:spacing w:val="-2"/>
        </w:rPr>
        <w:t xml:space="preserve"> </w:t>
      </w:r>
      <w:r>
        <w:rPr>
          <w:spacing w:val="-1"/>
        </w:rPr>
        <w:t>and</w:t>
      </w:r>
      <w:r>
        <w:rPr>
          <w:spacing w:val="1"/>
        </w:rPr>
        <w:t xml:space="preserve"> </w:t>
      </w:r>
      <w:r>
        <w:rPr>
          <w:spacing w:val="-1"/>
        </w:rPr>
        <w:t>challenge</w:t>
      </w:r>
      <w:r>
        <w:rPr>
          <w:spacing w:val="1"/>
        </w:rPr>
        <w:t xml:space="preserve"> </w:t>
      </w:r>
      <w:r>
        <w:rPr>
          <w:spacing w:val="-1"/>
        </w:rPr>
        <w:t>to</w:t>
      </w:r>
      <w:r>
        <w:rPr>
          <w:spacing w:val="1"/>
        </w:rPr>
        <w:t xml:space="preserve"> </w:t>
      </w:r>
      <w:r>
        <w:rPr>
          <w:spacing w:val="-1"/>
        </w:rPr>
        <w:t>ensure delivery</w:t>
      </w:r>
      <w:r>
        <w:rPr>
          <w:spacing w:val="-2"/>
        </w:rPr>
        <w:t xml:space="preserve"> </w:t>
      </w:r>
      <w:r>
        <w:t>of the</w:t>
      </w:r>
      <w:r>
        <w:rPr>
          <w:spacing w:val="-1"/>
        </w:rPr>
        <w:t xml:space="preserve"> CCG’s</w:t>
      </w:r>
      <w:r>
        <w:t xml:space="preserve"> </w:t>
      </w:r>
      <w:r>
        <w:rPr>
          <w:spacing w:val="-1"/>
        </w:rPr>
        <w:t>programme</w:t>
      </w:r>
      <w:r>
        <w:rPr>
          <w:spacing w:val="1"/>
        </w:rPr>
        <w:t xml:space="preserve"> </w:t>
      </w:r>
      <w:r>
        <w:rPr>
          <w:spacing w:val="-1"/>
        </w:rPr>
        <w:t>of</w:t>
      </w:r>
      <w:r>
        <w:rPr>
          <w:spacing w:val="-2"/>
        </w:rPr>
        <w:t xml:space="preserve"> </w:t>
      </w:r>
      <w:r>
        <w:rPr>
          <w:spacing w:val="-1"/>
        </w:rPr>
        <w:t>financial</w:t>
      </w:r>
      <w:r>
        <w:rPr>
          <w:spacing w:val="-3"/>
        </w:rPr>
        <w:t xml:space="preserve"> </w:t>
      </w:r>
      <w:r>
        <w:rPr>
          <w:spacing w:val="-1"/>
        </w:rPr>
        <w:t>savings.</w:t>
      </w:r>
      <w:r>
        <w:t xml:space="preserve"> The</w:t>
      </w:r>
      <w:r>
        <w:rPr>
          <w:spacing w:val="1"/>
        </w:rPr>
        <w:t xml:space="preserve"> </w:t>
      </w:r>
      <w:r>
        <w:rPr>
          <w:spacing w:val="-1"/>
        </w:rPr>
        <w:t>Committee</w:t>
      </w:r>
      <w:r>
        <w:rPr>
          <w:spacing w:val="1"/>
        </w:rPr>
        <w:t xml:space="preserve"> </w:t>
      </w:r>
      <w:r>
        <w:rPr>
          <w:spacing w:val="-1"/>
        </w:rPr>
        <w:t>acts</w:t>
      </w:r>
      <w:r>
        <w:t xml:space="preserve"> as</w:t>
      </w:r>
      <w:r>
        <w:rPr>
          <w:spacing w:val="-2"/>
        </w:rPr>
        <w:t xml:space="preserve"> </w:t>
      </w:r>
      <w:r>
        <w:t>a</w:t>
      </w:r>
      <w:r>
        <w:rPr>
          <w:spacing w:val="1"/>
        </w:rPr>
        <w:t xml:space="preserve"> </w:t>
      </w:r>
      <w:r>
        <w:rPr>
          <w:spacing w:val="-1"/>
        </w:rPr>
        <w:t>point</w:t>
      </w:r>
      <w:r>
        <w:rPr>
          <w:spacing w:val="-2"/>
        </w:rPr>
        <w:t xml:space="preserve"> </w:t>
      </w:r>
      <w:r>
        <w:rPr>
          <w:spacing w:val="-1"/>
        </w:rPr>
        <w:t>of</w:t>
      </w:r>
      <w:r>
        <w:t xml:space="preserve"> </w:t>
      </w:r>
      <w:r>
        <w:rPr>
          <w:spacing w:val="-1"/>
        </w:rPr>
        <w:t>approval</w:t>
      </w:r>
      <w:r>
        <w:rPr>
          <w:spacing w:val="61"/>
        </w:rPr>
        <w:t xml:space="preserve"> </w:t>
      </w:r>
      <w:r>
        <w:t>for</w:t>
      </w:r>
      <w:r>
        <w:rPr>
          <w:spacing w:val="-1"/>
        </w:rPr>
        <w:t xml:space="preserve"> major changes</w:t>
      </w:r>
      <w:r>
        <w:t xml:space="preserve"> to</w:t>
      </w:r>
      <w:r>
        <w:rPr>
          <w:spacing w:val="-1"/>
        </w:rPr>
        <w:t xml:space="preserve"> existing projects</w:t>
      </w:r>
      <w:r>
        <w:t xml:space="preserve"> and</w:t>
      </w:r>
      <w:r>
        <w:rPr>
          <w:spacing w:val="-1"/>
        </w:rPr>
        <w:t xml:space="preserve"> plans,</w:t>
      </w:r>
      <w:r>
        <w:t xml:space="preserve"> </w:t>
      </w:r>
      <w:r>
        <w:rPr>
          <w:spacing w:val="-1"/>
        </w:rPr>
        <w:t>where</w:t>
      </w:r>
      <w:r>
        <w:rPr>
          <w:spacing w:val="1"/>
        </w:rPr>
        <w:t xml:space="preserve"> </w:t>
      </w:r>
      <w:r>
        <w:rPr>
          <w:spacing w:val="-1"/>
        </w:rPr>
        <w:t>these are</w:t>
      </w:r>
      <w:r>
        <w:rPr>
          <w:spacing w:val="1"/>
        </w:rPr>
        <w:t xml:space="preserve"> </w:t>
      </w:r>
      <w:r>
        <w:rPr>
          <w:spacing w:val="-1"/>
        </w:rPr>
        <w:t>based</w:t>
      </w:r>
      <w:r>
        <w:rPr>
          <w:spacing w:val="1"/>
        </w:rPr>
        <w:t xml:space="preserve"> </w:t>
      </w:r>
      <w:r>
        <w:rPr>
          <w:spacing w:val="-1"/>
        </w:rPr>
        <w:t>on</w:t>
      </w:r>
      <w:r>
        <w:rPr>
          <w:spacing w:val="1"/>
        </w:rPr>
        <w:t xml:space="preserve"> </w:t>
      </w:r>
      <w:r>
        <w:rPr>
          <w:spacing w:val="-1"/>
        </w:rPr>
        <w:t>considerations</w:t>
      </w:r>
      <w:r>
        <w:rPr>
          <w:spacing w:val="-2"/>
        </w:rPr>
        <w:t xml:space="preserve"> </w:t>
      </w:r>
      <w:r>
        <w:rPr>
          <w:spacing w:val="-1"/>
        </w:rPr>
        <w:t>related</w:t>
      </w:r>
      <w:r>
        <w:rPr>
          <w:spacing w:val="71"/>
        </w:rPr>
        <w:t xml:space="preserve"> </w:t>
      </w:r>
      <w:r>
        <w:t>to</w:t>
      </w:r>
      <w:r>
        <w:rPr>
          <w:spacing w:val="1"/>
        </w:rPr>
        <w:t xml:space="preserve"> </w:t>
      </w:r>
      <w:r>
        <w:rPr>
          <w:spacing w:val="-1"/>
        </w:rPr>
        <w:t>the</w:t>
      </w:r>
      <w:r>
        <w:rPr>
          <w:spacing w:val="1"/>
        </w:rPr>
        <w:t xml:space="preserve"> </w:t>
      </w:r>
      <w:r>
        <w:rPr>
          <w:spacing w:val="-1"/>
        </w:rPr>
        <w:t>achievement</w:t>
      </w:r>
      <w:r>
        <w:rPr>
          <w:spacing w:val="-2"/>
        </w:rPr>
        <w:t xml:space="preserve"> </w:t>
      </w:r>
      <w:r>
        <w:rPr>
          <w:spacing w:val="-1"/>
        </w:rPr>
        <w:t>of</w:t>
      </w:r>
      <w:r>
        <w:t xml:space="preserve"> </w:t>
      </w:r>
      <w:r>
        <w:rPr>
          <w:spacing w:val="-1"/>
        </w:rPr>
        <w:t>financial</w:t>
      </w:r>
      <w:r>
        <w:t xml:space="preserve"> or</w:t>
      </w:r>
      <w:r>
        <w:rPr>
          <w:spacing w:val="-3"/>
        </w:rPr>
        <w:t xml:space="preserve"> </w:t>
      </w:r>
      <w:r>
        <w:rPr>
          <w:spacing w:val="-1"/>
        </w:rPr>
        <w:t>other benefits.</w:t>
      </w:r>
      <w:r>
        <w:rPr>
          <w:spacing w:val="-2"/>
        </w:rPr>
        <w:t xml:space="preserve"> </w:t>
      </w:r>
      <w:r>
        <w:t>The</w:t>
      </w:r>
      <w:r>
        <w:rPr>
          <w:spacing w:val="-1"/>
        </w:rPr>
        <w:t xml:space="preserve"> Committee also</w:t>
      </w:r>
      <w:r>
        <w:rPr>
          <w:spacing w:val="1"/>
        </w:rPr>
        <w:t xml:space="preserve"> </w:t>
      </w:r>
      <w:r>
        <w:rPr>
          <w:spacing w:val="-1"/>
        </w:rPr>
        <w:t>assesses</w:t>
      </w:r>
      <w:r>
        <w:t xml:space="preserve"> </w:t>
      </w:r>
      <w:r>
        <w:rPr>
          <w:spacing w:val="-1"/>
        </w:rPr>
        <w:t>whether</w:t>
      </w:r>
      <w:r>
        <w:rPr>
          <w:spacing w:val="-3"/>
        </w:rPr>
        <w:t xml:space="preserve"> </w:t>
      </w:r>
      <w:r>
        <w:rPr>
          <w:spacing w:val="-1"/>
        </w:rPr>
        <w:t>there</w:t>
      </w:r>
      <w:r>
        <w:rPr>
          <w:spacing w:val="1"/>
        </w:rPr>
        <w:t xml:space="preserve"> </w:t>
      </w:r>
      <w:r>
        <w:rPr>
          <w:spacing w:val="-1"/>
        </w:rPr>
        <w:t>is continued business</w:t>
      </w:r>
      <w:r>
        <w:t xml:space="preserve"> </w:t>
      </w:r>
      <w:r>
        <w:rPr>
          <w:spacing w:val="-1"/>
        </w:rPr>
        <w:t xml:space="preserve">justification </w:t>
      </w:r>
      <w:r>
        <w:t>for</w:t>
      </w:r>
      <w:r>
        <w:rPr>
          <w:spacing w:val="-1"/>
        </w:rPr>
        <w:t xml:space="preserve"> existing projects</w:t>
      </w:r>
      <w:r>
        <w:t xml:space="preserve"> </w:t>
      </w:r>
      <w:r>
        <w:rPr>
          <w:spacing w:val="-1"/>
        </w:rPr>
        <w:t>and programmes</w:t>
      </w:r>
      <w:r>
        <w:t xml:space="preserve"> </w:t>
      </w:r>
      <w:r>
        <w:rPr>
          <w:spacing w:val="-1"/>
        </w:rPr>
        <w:t>where</w:t>
      </w:r>
      <w:r>
        <w:rPr>
          <w:spacing w:val="1"/>
        </w:rPr>
        <w:t xml:space="preserve"> </w:t>
      </w:r>
      <w:r>
        <w:t>the</w:t>
      </w:r>
      <w:r>
        <w:rPr>
          <w:spacing w:val="-1"/>
        </w:rPr>
        <w:t xml:space="preserve"> financial</w:t>
      </w:r>
      <w:r>
        <w:t xml:space="preserve"> </w:t>
      </w:r>
      <w:r>
        <w:rPr>
          <w:spacing w:val="-1"/>
        </w:rPr>
        <w:t xml:space="preserve">or </w:t>
      </w:r>
      <w:r>
        <w:t>other</w:t>
      </w:r>
      <w:r>
        <w:rPr>
          <w:spacing w:val="75"/>
        </w:rPr>
        <w:t xml:space="preserve"> </w:t>
      </w:r>
      <w:r>
        <w:rPr>
          <w:spacing w:val="-1"/>
        </w:rPr>
        <w:t>benefits</w:t>
      </w:r>
      <w:r>
        <w:t xml:space="preserve"> </w:t>
      </w:r>
      <w:r>
        <w:rPr>
          <w:spacing w:val="-2"/>
        </w:rPr>
        <w:t>have</w:t>
      </w:r>
      <w:r>
        <w:rPr>
          <w:spacing w:val="1"/>
        </w:rPr>
        <w:t xml:space="preserve"> </w:t>
      </w:r>
      <w:r>
        <w:rPr>
          <w:spacing w:val="-1"/>
        </w:rPr>
        <w:t>changed.</w:t>
      </w:r>
    </w:p>
    <w:p w14:paraId="0F854C84" w14:textId="6F5568D1" w:rsidR="00311273" w:rsidRPr="00084549" w:rsidRDefault="00311273" w:rsidP="00311273">
      <w:pPr>
        <w:pStyle w:val="BodyText"/>
        <w:kinsoku w:val="0"/>
        <w:overflowPunct w:val="0"/>
        <w:ind w:right="101"/>
        <w:rPr>
          <w:spacing w:val="-1"/>
        </w:rPr>
      </w:pPr>
      <w:r w:rsidRPr="00084549">
        <w:t>The</w:t>
      </w:r>
      <w:r w:rsidRPr="00084549">
        <w:rPr>
          <w:spacing w:val="1"/>
        </w:rPr>
        <w:t xml:space="preserve"> </w:t>
      </w:r>
      <w:r w:rsidRPr="00084549">
        <w:rPr>
          <w:spacing w:val="-1"/>
        </w:rPr>
        <w:t>Committee was</w:t>
      </w:r>
      <w:r w:rsidRPr="00084549">
        <w:t xml:space="preserve"> </w:t>
      </w:r>
      <w:r w:rsidRPr="00084549">
        <w:rPr>
          <w:spacing w:val="-1"/>
        </w:rPr>
        <w:t>chaired</w:t>
      </w:r>
      <w:r w:rsidRPr="00084549">
        <w:rPr>
          <w:spacing w:val="1"/>
        </w:rPr>
        <w:t xml:space="preserve"> </w:t>
      </w:r>
      <w:r w:rsidRPr="00084549">
        <w:t>by</w:t>
      </w:r>
      <w:r w:rsidRPr="00084549">
        <w:rPr>
          <w:spacing w:val="-2"/>
        </w:rPr>
        <w:t xml:space="preserve"> </w:t>
      </w:r>
      <w:r>
        <w:rPr>
          <w:spacing w:val="-1"/>
        </w:rPr>
        <w:t xml:space="preserve">a GP </w:t>
      </w:r>
      <w:r w:rsidR="006F3A0B">
        <w:rPr>
          <w:spacing w:val="-1"/>
        </w:rPr>
        <w:t>r</w:t>
      </w:r>
      <w:r>
        <w:rPr>
          <w:spacing w:val="-1"/>
        </w:rPr>
        <w:t xml:space="preserve">epresentative </w:t>
      </w:r>
      <w:r>
        <w:rPr>
          <w:spacing w:val="1"/>
        </w:rPr>
        <w:t xml:space="preserve">with the </w:t>
      </w:r>
      <w:r w:rsidRPr="00084549">
        <w:rPr>
          <w:spacing w:val="-1"/>
        </w:rPr>
        <w:t>membership</w:t>
      </w:r>
      <w:r>
        <w:rPr>
          <w:spacing w:val="59"/>
        </w:rPr>
        <w:t xml:space="preserve"> </w:t>
      </w:r>
      <w:r w:rsidRPr="00084549">
        <w:rPr>
          <w:spacing w:val="-1"/>
        </w:rPr>
        <w:t>compris</w:t>
      </w:r>
      <w:r>
        <w:rPr>
          <w:spacing w:val="-1"/>
        </w:rPr>
        <w:t xml:space="preserve">ing </w:t>
      </w:r>
      <w:r w:rsidRPr="00084549">
        <w:t>a</w:t>
      </w:r>
      <w:r w:rsidRPr="00084549">
        <w:rPr>
          <w:spacing w:val="-1"/>
        </w:rPr>
        <w:t xml:space="preserve"> </w:t>
      </w:r>
      <w:r>
        <w:rPr>
          <w:spacing w:val="-1"/>
        </w:rPr>
        <w:t xml:space="preserve">further </w:t>
      </w:r>
      <w:r w:rsidRPr="00084549">
        <w:t>GP</w:t>
      </w:r>
      <w:r w:rsidRPr="00084549">
        <w:rPr>
          <w:spacing w:val="1"/>
        </w:rPr>
        <w:t xml:space="preserve"> </w:t>
      </w:r>
      <w:r w:rsidRPr="00084549">
        <w:rPr>
          <w:spacing w:val="-1"/>
        </w:rPr>
        <w:t>Representative,</w:t>
      </w:r>
      <w:r>
        <w:rPr>
          <w:spacing w:val="-1"/>
        </w:rPr>
        <w:t xml:space="preserve"> the Lay Member (Audit Chair),</w:t>
      </w:r>
      <w:r w:rsidRPr="00084549">
        <w:t xml:space="preserve"> </w:t>
      </w:r>
      <w:r w:rsidRPr="00084549">
        <w:rPr>
          <w:spacing w:val="-1"/>
        </w:rPr>
        <w:t>Executive</w:t>
      </w:r>
      <w:r w:rsidRPr="00084549">
        <w:rPr>
          <w:spacing w:val="1"/>
        </w:rPr>
        <w:t xml:space="preserve"> </w:t>
      </w:r>
      <w:r w:rsidRPr="00084549">
        <w:rPr>
          <w:spacing w:val="-1"/>
        </w:rPr>
        <w:t>Chief</w:t>
      </w:r>
      <w:r w:rsidRPr="00084549">
        <w:rPr>
          <w:spacing w:val="3"/>
        </w:rPr>
        <w:t xml:space="preserve"> </w:t>
      </w:r>
      <w:r w:rsidRPr="00084549">
        <w:rPr>
          <w:spacing w:val="-1"/>
        </w:rPr>
        <w:t>Finance</w:t>
      </w:r>
      <w:r w:rsidRPr="00084549">
        <w:rPr>
          <w:spacing w:val="1"/>
        </w:rPr>
        <w:t xml:space="preserve"> </w:t>
      </w:r>
      <w:r w:rsidRPr="00084549">
        <w:rPr>
          <w:spacing w:val="-1"/>
        </w:rPr>
        <w:t>Officer</w:t>
      </w:r>
      <w:r>
        <w:rPr>
          <w:spacing w:val="-2"/>
        </w:rPr>
        <w:t xml:space="preserve"> and </w:t>
      </w:r>
      <w:r w:rsidRPr="00084549">
        <w:rPr>
          <w:spacing w:val="-1"/>
        </w:rPr>
        <w:t>Alliance Director</w:t>
      </w:r>
      <w:r w:rsidRPr="00084549">
        <w:rPr>
          <w:spacing w:val="-3"/>
        </w:rPr>
        <w:t xml:space="preserve"> </w:t>
      </w:r>
      <w:r>
        <w:rPr>
          <w:spacing w:val="-1"/>
        </w:rPr>
        <w:t>.</w:t>
      </w:r>
    </w:p>
    <w:p w14:paraId="1715AFEF" w14:textId="58EBF40A" w:rsidR="00311273" w:rsidRDefault="00311273" w:rsidP="00311273">
      <w:pPr>
        <w:pStyle w:val="BodyText"/>
        <w:kinsoku w:val="0"/>
        <w:overflowPunct w:val="0"/>
        <w:ind w:right="189"/>
        <w:rPr>
          <w:spacing w:val="-1"/>
        </w:rPr>
      </w:pPr>
      <w:r>
        <w:rPr>
          <w:spacing w:val="-1"/>
        </w:rPr>
        <w:t>Since May</w:t>
      </w:r>
      <w:r>
        <w:rPr>
          <w:spacing w:val="-2"/>
        </w:rPr>
        <w:t xml:space="preserve"> </w:t>
      </w:r>
      <w:r>
        <w:rPr>
          <w:spacing w:val="-1"/>
        </w:rPr>
        <w:t>2020,</w:t>
      </w:r>
      <w:r>
        <w:t xml:space="preserve"> </w:t>
      </w:r>
      <w:r>
        <w:rPr>
          <w:spacing w:val="-1"/>
        </w:rPr>
        <w:t>the</w:t>
      </w:r>
      <w:r>
        <w:rPr>
          <w:spacing w:val="1"/>
        </w:rPr>
        <w:t xml:space="preserve"> </w:t>
      </w:r>
      <w:r>
        <w:rPr>
          <w:spacing w:val="-1"/>
        </w:rPr>
        <w:t>Committee</w:t>
      </w:r>
      <w:r w:rsidR="006F3A0B">
        <w:rPr>
          <w:spacing w:val="-1"/>
        </w:rPr>
        <w:t xml:space="preserve"> has</w:t>
      </w:r>
      <w:r>
        <w:rPr>
          <w:spacing w:val="-1"/>
        </w:rPr>
        <w:t xml:space="preserve"> </w:t>
      </w:r>
      <w:r>
        <w:t>met</w:t>
      </w:r>
      <w:r>
        <w:rPr>
          <w:spacing w:val="-2"/>
        </w:rPr>
        <w:t xml:space="preserve"> </w:t>
      </w:r>
      <w:r>
        <w:rPr>
          <w:spacing w:val="-1"/>
        </w:rPr>
        <w:t>in</w:t>
      </w:r>
      <w:r>
        <w:rPr>
          <w:spacing w:val="1"/>
        </w:rPr>
        <w:t xml:space="preserve"> </w:t>
      </w:r>
      <w:r>
        <w:rPr>
          <w:spacing w:val="-1"/>
        </w:rPr>
        <w:t>common with</w:t>
      </w:r>
      <w:r>
        <w:rPr>
          <w:spacing w:val="1"/>
        </w:rPr>
        <w:t xml:space="preserve"> </w:t>
      </w:r>
      <w:r>
        <w:rPr>
          <w:spacing w:val="-1"/>
        </w:rPr>
        <w:t>the</w:t>
      </w:r>
      <w:r>
        <w:rPr>
          <w:spacing w:val="1"/>
        </w:rPr>
        <w:t xml:space="preserve"> </w:t>
      </w:r>
      <w:r>
        <w:rPr>
          <w:spacing w:val="-1"/>
        </w:rPr>
        <w:t>other</w:t>
      </w:r>
      <w:r>
        <w:rPr>
          <w:spacing w:val="67"/>
        </w:rPr>
        <w:t xml:space="preserve"> </w:t>
      </w:r>
      <w:r>
        <w:t>four</w:t>
      </w:r>
      <w:r>
        <w:rPr>
          <w:spacing w:val="-1"/>
        </w:rPr>
        <w:t xml:space="preserve"> MSE</w:t>
      </w:r>
      <w:r>
        <w:rPr>
          <w:spacing w:val="-2"/>
        </w:rPr>
        <w:t xml:space="preserve"> </w:t>
      </w:r>
      <w:r>
        <w:rPr>
          <w:spacing w:val="-1"/>
        </w:rPr>
        <w:t>CCGs’</w:t>
      </w:r>
      <w:r>
        <w:t xml:space="preserve"> </w:t>
      </w:r>
      <w:r>
        <w:rPr>
          <w:spacing w:val="-1"/>
        </w:rPr>
        <w:t xml:space="preserve">Finance </w:t>
      </w:r>
      <w:r>
        <w:t>and</w:t>
      </w:r>
      <w:r>
        <w:rPr>
          <w:spacing w:val="-1"/>
        </w:rPr>
        <w:t xml:space="preserve"> Performance Committees</w:t>
      </w:r>
      <w:r>
        <w:t xml:space="preserve">.  During 2021/22 it met on </w:t>
      </w:r>
      <w:r>
        <w:rPr>
          <w:spacing w:val="-1"/>
        </w:rPr>
        <w:t>8</w:t>
      </w:r>
      <w:r>
        <w:rPr>
          <w:spacing w:val="1"/>
        </w:rPr>
        <w:t xml:space="preserve"> </w:t>
      </w:r>
      <w:r>
        <w:rPr>
          <w:spacing w:val="-1"/>
        </w:rPr>
        <w:t>occasions</w:t>
      </w:r>
      <w:r>
        <w:t xml:space="preserve"> </w:t>
      </w:r>
      <w:r>
        <w:rPr>
          <w:spacing w:val="-1"/>
        </w:rPr>
        <w:t>to</w:t>
      </w:r>
      <w:r>
        <w:rPr>
          <w:spacing w:val="1"/>
        </w:rPr>
        <w:t xml:space="preserve"> </w:t>
      </w:r>
      <w:r>
        <w:rPr>
          <w:spacing w:val="-1"/>
        </w:rPr>
        <w:t>review</w:t>
      </w:r>
      <w:r>
        <w:rPr>
          <w:spacing w:val="-3"/>
        </w:rPr>
        <w:t xml:space="preserve"> </w:t>
      </w:r>
      <w:r>
        <w:rPr>
          <w:spacing w:val="-1"/>
        </w:rPr>
        <w:t>finance</w:t>
      </w:r>
      <w:r>
        <w:rPr>
          <w:spacing w:val="1"/>
        </w:rPr>
        <w:t xml:space="preserve"> </w:t>
      </w:r>
      <w:r>
        <w:rPr>
          <w:spacing w:val="-1"/>
        </w:rPr>
        <w:t>and</w:t>
      </w:r>
      <w:r>
        <w:rPr>
          <w:spacing w:val="71"/>
        </w:rPr>
        <w:t xml:space="preserve"> </w:t>
      </w:r>
      <w:r>
        <w:rPr>
          <w:spacing w:val="-1"/>
        </w:rPr>
        <w:t>performance</w:t>
      </w:r>
      <w:r>
        <w:rPr>
          <w:spacing w:val="1"/>
        </w:rPr>
        <w:t xml:space="preserve"> </w:t>
      </w:r>
      <w:r>
        <w:rPr>
          <w:spacing w:val="-1"/>
        </w:rPr>
        <w:t>issues</w:t>
      </w:r>
      <w:r>
        <w:rPr>
          <w:spacing w:val="-2"/>
        </w:rPr>
        <w:t xml:space="preserve"> </w:t>
      </w:r>
      <w:r>
        <w:rPr>
          <w:spacing w:val="-1"/>
        </w:rPr>
        <w:t>across</w:t>
      </w:r>
      <w:r>
        <w:t xml:space="preserve"> </w:t>
      </w:r>
      <w:r>
        <w:rPr>
          <w:spacing w:val="-1"/>
        </w:rPr>
        <w:t>all</w:t>
      </w:r>
      <w:r>
        <w:t xml:space="preserve"> </w:t>
      </w:r>
      <w:r>
        <w:rPr>
          <w:spacing w:val="-1"/>
        </w:rPr>
        <w:t>health</w:t>
      </w:r>
      <w:r>
        <w:rPr>
          <w:spacing w:val="1"/>
        </w:rPr>
        <w:t xml:space="preserve"> </w:t>
      </w:r>
      <w:r>
        <w:rPr>
          <w:spacing w:val="-1"/>
        </w:rPr>
        <w:t>care</w:t>
      </w:r>
      <w:r>
        <w:rPr>
          <w:spacing w:val="1"/>
        </w:rPr>
        <w:t xml:space="preserve"> </w:t>
      </w:r>
      <w:r>
        <w:rPr>
          <w:spacing w:val="-1"/>
        </w:rPr>
        <w:t>services,</w:t>
      </w:r>
      <w:r>
        <w:t xml:space="preserve"> </w:t>
      </w:r>
      <w:r>
        <w:rPr>
          <w:spacing w:val="-1"/>
        </w:rPr>
        <w:t xml:space="preserve">including </w:t>
      </w:r>
      <w:r>
        <w:t>those</w:t>
      </w:r>
      <w:r>
        <w:rPr>
          <w:spacing w:val="-4"/>
        </w:rPr>
        <w:t xml:space="preserve"> </w:t>
      </w:r>
      <w:r>
        <w:rPr>
          <w:spacing w:val="-1"/>
        </w:rPr>
        <w:t>ordinarily</w:t>
      </w:r>
      <w:r>
        <w:t xml:space="preserve"> </w:t>
      </w:r>
      <w:r>
        <w:rPr>
          <w:spacing w:val="-1"/>
        </w:rPr>
        <w:t>within</w:t>
      </w:r>
      <w:r>
        <w:rPr>
          <w:spacing w:val="1"/>
        </w:rPr>
        <w:t xml:space="preserve"> </w:t>
      </w:r>
      <w:r>
        <w:t>the</w:t>
      </w:r>
      <w:r>
        <w:rPr>
          <w:spacing w:val="1"/>
        </w:rPr>
        <w:t xml:space="preserve"> </w:t>
      </w:r>
      <w:r>
        <w:rPr>
          <w:spacing w:val="-1"/>
        </w:rPr>
        <w:t>remit</w:t>
      </w:r>
      <w:r>
        <w:t xml:space="preserve"> </w:t>
      </w:r>
      <w:r>
        <w:rPr>
          <w:spacing w:val="-1"/>
        </w:rPr>
        <w:t>of</w:t>
      </w:r>
      <w:r>
        <w:rPr>
          <w:spacing w:val="61"/>
        </w:rPr>
        <w:t xml:space="preserve"> </w:t>
      </w:r>
      <w:r>
        <w:t>the</w:t>
      </w:r>
      <w:r>
        <w:rPr>
          <w:spacing w:val="1"/>
        </w:rPr>
        <w:t xml:space="preserve"> </w:t>
      </w:r>
      <w:r>
        <w:rPr>
          <w:spacing w:val="-1"/>
        </w:rPr>
        <w:t xml:space="preserve">Mid </w:t>
      </w:r>
      <w:r>
        <w:t>and</w:t>
      </w:r>
      <w:r>
        <w:rPr>
          <w:spacing w:val="-1"/>
        </w:rPr>
        <w:t xml:space="preserve"> South Essex</w:t>
      </w:r>
      <w:r>
        <w:rPr>
          <w:spacing w:val="-2"/>
        </w:rPr>
        <w:t xml:space="preserve"> </w:t>
      </w:r>
      <w:r>
        <w:t>STP</w:t>
      </w:r>
      <w:r>
        <w:rPr>
          <w:spacing w:val="1"/>
        </w:rPr>
        <w:t xml:space="preserve"> </w:t>
      </w:r>
      <w:r>
        <w:rPr>
          <w:spacing w:val="-1"/>
        </w:rPr>
        <w:t>CCG</w:t>
      </w:r>
      <w:r>
        <w:t xml:space="preserve"> </w:t>
      </w:r>
      <w:r>
        <w:rPr>
          <w:spacing w:val="-1"/>
        </w:rPr>
        <w:t>Joint</w:t>
      </w:r>
      <w:r>
        <w:t xml:space="preserve"> </w:t>
      </w:r>
      <w:r>
        <w:rPr>
          <w:spacing w:val="-1"/>
        </w:rPr>
        <w:t>Commissioning Committee</w:t>
      </w:r>
      <w:r>
        <w:rPr>
          <w:spacing w:val="1"/>
        </w:rPr>
        <w:t xml:space="preserve"> </w:t>
      </w:r>
      <w:r>
        <w:rPr>
          <w:spacing w:val="-1"/>
        </w:rPr>
        <w:t>(JC). All meetings were quorate.</w:t>
      </w:r>
    </w:p>
    <w:p w14:paraId="287A60FC" w14:textId="22E6B921" w:rsidR="00311273" w:rsidRPr="0025255A" w:rsidRDefault="00311273" w:rsidP="00311273">
      <w:pPr>
        <w:pStyle w:val="BodyText"/>
        <w:kinsoku w:val="0"/>
        <w:overflowPunct w:val="0"/>
        <w:ind w:right="227"/>
        <w:rPr>
          <w:spacing w:val="-1"/>
        </w:rPr>
      </w:pPr>
      <w:r w:rsidRPr="0025255A">
        <w:rPr>
          <w:spacing w:val="-1"/>
        </w:rPr>
        <w:t xml:space="preserve">During 2021/22 </w:t>
      </w:r>
      <w:r w:rsidRPr="0025255A">
        <w:t>the</w:t>
      </w:r>
      <w:r w:rsidRPr="0025255A">
        <w:rPr>
          <w:spacing w:val="-1"/>
        </w:rPr>
        <w:t xml:space="preserve"> Committee particularly</w:t>
      </w:r>
      <w:r w:rsidRPr="0025255A">
        <w:rPr>
          <w:spacing w:val="-2"/>
        </w:rPr>
        <w:t xml:space="preserve"> </w:t>
      </w:r>
      <w:r w:rsidRPr="0025255A">
        <w:t>focused</w:t>
      </w:r>
      <w:r w:rsidRPr="0025255A">
        <w:rPr>
          <w:spacing w:val="-1"/>
        </w:rPr>
        <w:t xml:space="preserve"> upon </w:t>
      </w:r>
      <w:r>
        <w:rPr>
          <w:spacing w:val="-1"/>
        </w:rPr>
        <w:t>review of f</w:t>
      </w:r>
      <w:r w:rsidRPr="0025255A">
        <w:rPr>
          <w:spacing w:val="-1"/>
        </w:rPr>
        <w:t xml:space="preserve">inance &amp; </w:t>
      </w:r>
      <w:r>
        <w:rPr>
          <w:spacing w:val="-1"/>
        </w:rPr>
        <w:t>p</w:t>
      </w:r>
      <w:r w:rsidRPr="0025255A">
        <w:rPr>
          <w:spacing w:val="-1"/>
        </w:rPr>
        <w:t xml:space="preserve">erformance </w:t>
      </w:r>
      <w:r>
        <w:rPr>
          <w:spacing w:val="-1"/>
        </w:rPr>
        <w:t>r</w:t>
      </w:r>
      <w:r w:rsidRPr="0025255A">
        <w:rPr>
          <w:spacing w:val="-1"/>
        </w:rPr>
        <w:t>isks</w:t>
      </w:r>
      <w:r>
        <w:rPr>
          <w:spacing w:val="-1"/>
        </w:rPr>
        <w:t>, receipt of m</w:t>
      </w:r>
      <w:r w:rsidRPr="0025255A">
        <w:rPr>
          <w:spacing w:val="-1"/>
        </w:rPr>
        <w:t xml:space="preserve">onthly </w:t>
      </w:r>
      <w:r>
        <w:rPr>
          <w:spacing w:val="-1"/>
        </w:rPr>
        <w:t>f</w:t>
      </w:r>
      <w:r w:rsidRPr="0025255A">
        <w:rPr>
          <w:spacing w:val="-1"/>
        </w:rPr>
        <w:t xml:space="preserve">inance </w:t>
      </w:r>
      <w:r>
        <w:rPr>
          <w:spacing w:val="-1"/>
        </w:rPr>
        <w:t>r</w:t>
      </w:r>
      <w:r w:rsidRPr="0025255A">
        <w:rPr>
          <w:spacing w:val="-1"/>
        </w:rPr>
        <w:t>eports</w:t>
      </w:r>
      <w:r>
        <w:rPr>
          <w:spacing w:val="-1"/>
        </w:rPr>
        <w:t xml:space="preserve">, </w:t>
      </w:r>
      <w:r w:rsidRPr="0025255A">
        <w:rPr>
          <w:spacing w:val="-1"/>
        </w:rPr>
        <w:t xml:space="preserve">Joint Committee </w:t>
      </w:r>
      <w:r>
        <w:rPr>
          <w:spacing w:val="-1"/>
        </w:rPr>
        <w:t>f</w:t>
      </w:r>
      <w:r w:rsidRPr="0025255A">
        <w:rPr>
          <w:spacing w:val="-1"/>
        </w:rPr>
        <w:t xml:space="preserve">inance </w:t>
      </w:r>
      <w:r>
        <w:rPr>
          <w:spacing w:val="-1"/>
        </w:rPr>
        <w:t>r</w:t>
      </w:r>
      <w:r w:rsidRPr="0025255A">
        <w:rPr>
          <w:spacing w:val="-1"/>
        </w:rPr>
        <w:t>eports</w:t>
      </w:r>
      <w:r>
        <w:rPr>
          <w:spacing w:val="-1"/>
        </w:rPr>
        <w:t>, E</w:t>
      </w:r>
      <w:r w:rsidRPr="0025255A">
        <w:rPr>
          <w:spacing w:val="-1"/>
        </w:rPr>
        <w:t xml:space="preserve">lective Recovery Framework </w:t>
      </w:r>
      <w:r>
        <w:rPr>
          <w:spacing w:val="-1"/>
        </w:rPr>
        <w:t>u</w:t>
      </w:r>
      <w:r w:rsidRPr="0025255A">
        <w:rPr>
          <w:spacing w:val="-1"/>
        </w:rPr>
        <w:t>pdates</w:t>
      </w:r>
      <w:r>
        <w:rPr>
          <w:spacing w:val="-1"/>
        </w:rPr>
        <w:t xml:space="preserve">, </w:t>
      </w:r>
      <w:r w:rsidRPr="0025255A">
        <w:rPr>
          <w:spacing w:val="-1"/>
        </w:rPr>
        <w:t>Hospital Discharge Programme 2021/22</w:t>
      </w:r>
      <w:r>
        <w:rPr>
          <w:spacing w:val="-1"/>
        </w:rPr>
        <w:t>, c</w:t>
      </w:r>
      <w:r w:rsidRPr="0025255A">
        <w:rPr>
          <w:spacing w:val="-1"/>
        </w:rPr>
        <w:t xml:space="preserve">ontract </w:t>
      </w:r>
      <w:r>
        <w:rPr>
          <w:spacing w:val="-1"/>
        </w:rPr>
        <w:t>p</w:t>
      </w:r>
      <w:r w:rsidRPr="0025255A">
        <w:rPr>
          <w:spacing w:val="-1"/>
        </w:rPr>
        <w:t xml:space="preserve">lanning, </w:t>
      </w:r>
      <w:r>
        <w:rPr>
          <w:spacing w:val="-1"/>
        </w:rPr>
        <w:t>a</w:t>
      </w:r>
      <w:r w:rsidRPr="0025255A">
        <w:rPr>
          <w:spacing w:val="-1"/>
        </w:rPr>
        <w:t xml:space="preserve">wards and </w:t>
      </w:r>
      <w:r>
        <w:rPr>
          <w:spacing w:val="-1"/>
        </w:rPr>
        <w:t>p</w:t>
      </w:r>
      <w:r w:rsidRPr="0025255A">
        <w:rPr>
          <w:spacing w:val="-1"/>
        </w:rPr>
        <w:t>rocurement decisions</w:t>
      </w:r>
      <w:r>
        <w:rPr>
          <w:spacing w:val="-1"/>
        </w:rPr>
        <w:t>, p</w:t>
      </w:r>
      <w:r w:rsidRPr="0025255A">
        <w:rPr>
          <w:spacing w:val="-1"/>
        </w:rPr>
        <w:t xml:space="preserve">erformance </w:t>
      </w:r>
      <w:r>
        <w:rPr>
          <w:spacing w:val="-1"/>
        </w:rPr>
        <w:t>r</w:t>
      </w:r>
      <w:r w:rsidRPr="0025255A">
        <w:rPr>
          <w:spacing w:val="-1"/>
        </w:rPr>
        <w:t>eports from System Oversight and Assurance Group</w:t>
      </w:r>
      <w:r>
        <w:rPr>
          <w:spacing w:val="-1"/>
        </w:rPr>
        <w:t xml:space="preserve"> (SOAG), A</w:t>
      </w:r>
      <w:r w:rsidRPr="0025255A">
        <w:rPr>
          <w:spacing w:val="-1"/>
        </w:rPr>
        <w:t xml:space="preserve">dult </w:t>
      </w:r>
      <w:r>
        <w:rPr>
          <w:spacing w:val="-1"/>
        </w:rPr>
        <w:t>M</w:t>
      </w:r>
      <w:r w:rsidRPr="0025255A">
        <w:rPr>
          <w:spacing w:val="-1"/>
        </w:rPr>
        <w:t xml:space="preserve">ental Health Transformation Plan </w:t>
      </w:r>
      <w:r>
        <w:rPr>
          <w:spacing w:val="-1"/>
        </w:rPr>
        <w:t>c</w:t>
      </w:r>
      <w:r w:rsidRPr="0025255A">
        <w:rPr>
          <w:spacing w:val="-1"/>
        </w:rPr>
        <w:t>ontracts</w:t>
      </w:r>
      <w:r>
        <w:rPr>
          <w:spacing w:val="-1"/>
        </w:rPr>
        <w:t>, s</w:t>
      </w:r>
      <w:r w:rsidRPr="0025255A">
        <w:rPr>
          <w:spacing w:val="-1"/>
        </w:rPr>
        <w:t xml:space="preserve">ystem </w:t>
      </w:r>
      <w:r>
        <w:rPr>
          <w:spacing w:val="-1"/>
        </w:rPr>
        <w:t>f</w:t>
      </w:r>
      <w:r w:rsidRPr="0025255A">
        <w:rPr>
          <w:spacing w:val="-1"/>
        </w:rPr>
        <w:t xml:space="preserve">inancial </w:t>
      </w:r>
      <w:r>
        <w:rPr>
          <w:spacing w:val="-1"/>
        </w:rPr>
        <w:t>s</w:t>
      </w:r>
      <w:r w:rsidRPr="0025255A">
        <w:rPr>
          <w:spacing w:val="-1"/>
        </w:rPr>
        <w:t>ustainability</w:t>
      </w:r>
      <w:r>
        <w:rPr>
          <w:spacing w:val="-1"/>
        </w:rPr>
        <w:t>, 2</w:t>
      </w:r>
      <w:r w:rsidRPr="0025255A">
        <w:rPr>
          <w:spacing w:val="-1"/>
        </w:rPr>
        <w:t xml:space="preserve">021/22 Business Plan and CCG </w:t>
      </w:r>
      <w:r>
        <w:rPr>
          <w:spacing w:val="-1"/>
        </w:rPr>
        <w:t>b</w:t>
      </w:r>
      <w:r w:rsidRPr="0025255A">
        <w:rPr>
          <w:spacing w:val="-1"/>
        </w:rPr>
        <w:t>udgets</w:t>
      </w:r>
      <w:r>
        <w:rPr>
          <w:spacing w:val="-1"/>
        </w:rPr>
        <w:t>, a</w:t>
      </w:r>
      <w:r w:rsidRPr="0025255A">
        <w:rPr>
          <w:spacing w:val="-1"/>
        </w:rPr>
        <w:t>pproval of terms of reference/frequency of meetings</w:t>
      </w:r>
      <w:r>
        <w:rPr>
          <w:spacing w:val="-1"/>
        </w:rPr>
        <w:t>, receipt of S</w:t>
      </w:r>
      <w:r w:rsidRPr="0025255A">
        <w:rPr>
          <w:spacing w:val="-1"/>
        </w:rPr>
        <w:t xml:space="preserve">ystem Finance Leaders Group </w:t>
      </w:r>
      <w:r>
        <w:rPr>
          <w:spacing w:val="-1"/>
        </w:rPr>
        <w:t>(SFLG) m</w:t>
      </w:r>
      <w:r w:rsidRPr="0025255A">
        <w:rPr>
          <w:spacing w:val="-1"/>
        </w:rPr>
        <w:t>inutes</w:t>
      </w:r>
      <w:r>
        <w:rPr>
          <w:spacing w:val="-1"/>
        </w:rPr>
        <w:t xml:space="preserve">. </w:t>
      </w:r>
    </w:p>
    <w:p w14:paraId="7D19A1D6" w14:textId="77777777" w:rsidR="00780EF0" w:rsidRPr="009A77A0" w:rsidRDefault="00780EF0" w:rsidP="009A77A0">
      <w:pPr>
        <w:pStyle w:val="BodyText"/>
        <w:rPr>
          <w:b/>
          <w:bCs/>
          <w:lang w:val="en"/>
        </w:rPr>
      </w:pPr>
      <w:r w:rsidRPr="009A77A0">
        <w:rPr>
          <w:b/>
          <w:bCs/>
          <w:lang w:val="en"/>
        </w:rPr>
        <w:t>Patient Safety and Quality Committee</w:t>
      </w:r>
    </w:p>
    <w:p w14:paraId="14A90589" w14:textId="77777777" w:rsidR="003569D2" w:rsidRDefault="003569D2" w:rsidP="003569D2">
      <w:pPr>
        <w:pStyle w:val="BodyText"/>
      </w:pPr>
      <w:r>
        <w:t>This Committee provides assurance regarding the safety and quality of services directly commissioned by the CCG, i.e. acute, community, learning disability and mental health services, as well as the quality of services within primary care and the care home sector.</w:t>
      </w:r>
    </w:p>
    <w:p w14:paraId="33461C6E" w14:textId="77777777" w:rsidR="003569D2" w:rsidRDefault="003569D2" w:rsidP="003569D2">
      <w:pPr>
        <w:pStyle w:val="BodyText"/>
      </w:pPr>
      <w:r>
        <w:t xml:space="preserve">The committee also maintains oversight of safeguarding (adults and children) and medicines optimisation. </w:t>
      </w:r>
    </w:p>
    <w:p w14:paraId="23BD82A0" w14:textId="19D0B6ED" w:rsidR="003569D2" w:rsidRDefault="003569D2" w:rsidP="003569D2">
      <w:pPr>
        <w:pStyle w:val="BodyText"/>
      </w:pPr>
      <w:r>
        <w:t xml:space="preserve">At the start of the year the Committee was chaired by </w:t>
      </w:r>
      <w:r w:rsidR="004F3EBC">
        <w:t xml:space="preserve">a GP Board Member, </w:t>
      </w:r>
      <w:r>
        <w:t>and its core decision making membership comprised a</w:t>
      </w:r>
      <w:r w:rsidR="004F3EBC">
        <w:t xml:space="preserve"> further</w:t>
      </w:r>
      <w:r>
        <w:t xml:space="preserve"> GP </w:t>
      </w:r>
      <w:r w:rsidR="004F3EBC">
        <w:t>Board Member</w:t>
      </w:r>
      <w:r>
        <w:t xml:space="preserve">, </w:t>
      </w:r>
      <w:r w:rsidR="004F3EBC">
        <w:t xml:space="preserve">the Lay Member for Patient and Public Engagement and the </w:t>
      </w:r>
      <w:r w:rsidR="009F5CC1">
        <w:t xml:space="preserve">Executive </w:t>
      </w:r>
      <w:r>
        <w:t>Director of Nursing and Quality. Committee meetings were also attended by other senior managers with specific responsibility for areas within the remit of the committee.</w:t>
      </w:r>
    </w:p>
    <w:p w14:paraId="384905B9" w14:textId="198740CE" w:rsidR="003569D2" w:rsidRDefault="003569D2" w:rsidP="003569D2">
      <w:pPr>
        <w:pStyle w:val="BodyText"/>
      </w:pPr>
      <w:r>
        <w:t>In May 2020 the Committee commenced meeting in common with the other four MSE CCGs’ Patient Safety and Quality (or equivalent) Committees to review the safety and quality of all health care services</w:t>
      </w:r>
      <w:r w:rsidR="004F3EBC">
        <w:t xml:space="preserve"> across mid and south Essex</w:t>
      </w:r>
      <w:r>
        <w:t xml:space="preserve">. </w:t>
      </w:r>
    </w:p>
    <w:p w14:paraId="646D5CA0" w14:textId="770652CC" w:rsidR="003569D2" w:rsidRDefault="003569D2" w:rsidP="003569D2">
      <w:pPr>
        <w:pStyle w:val="BodyText"/>
      </w:pPr>
      <w:r>
        <w:t>The Committee meeting in common focused on arrangements to provide care for patients diagnosed with COVID-19 within acute, community and care home settings, the safety of staff and workforce capacity issues, and the effect that the pandemic was having on patients requiring routine and elective care.</w:t>
      </w:r>
    </w:p>
    <w:p w14:paraId="52875ED5" w14:textId="77777777" w:rsidR="003569D2" w:rsidRDefault="003569D2" w:rsidP="003569D2">
      <w:pPr>
        <w:pStyle w:val="BodyText"/>
      </w:pPr>
      <w:r>
        <w:t>Other key areas discussed included arrangements for monitoring the quality of provider contracts; review of NHS Patient Safety Updates; review of the Quality Accounts 2020/21 from Mid and South Essex Hospital NHS Foundation Trust, Essex Partnership University NHS Foundation Trust (EPUT); North East London NHS Foundation Trust; Barking, Havering and Redbridge NHS Foundation Trust; Provide Community Interest Company and Farleigh Hospice; and agreeing the CCGs’ responses to the Quality Accounts; serious incidents and never events; review of arrangements for the implementation of the Patient Safety Incident Response Framework; update on Special Educational Needs and Disabilities services; updates on Learning Disabilities Mortality Review (LeDeR) Programme; System Quality Strategy; Infection Prevention and Control Strategy; approval of policies; all age continuing care; personal health budgets; review of patient safety and quality risks; quality and equality impact assessments; complaints and a review of any virtual decisions taken since the last committee meeting.</w:t>
      </w:r>
    </w:p>
    <w:p w14:paraId="2E4E031F" w14:textId="77777777" w:rsidR="003569D2" w:rsidRDefault="003569D2" w:rsidP="003569D2">
      <w:pPr>
        <w:pStyle w:val="BodyText"/>
      </w:pPr>
      <w:r>
        <w:t>These meetings were attended by the minimum number of members required for each CCG committee to be considered quorate. Attendance was generally quorate in line with the Committees’ Terms of Reference. If a committee was inquorate due to one or more members being unavailable, their support for any decisions made was sought following the meeting.</w:t>
      </w:r>
    </w:p>
    <w:p w14:paraId="01DA8BC4" w14:textId="77777777" w:rsidR="003569D2" w:rsidRDefault="003569D2" w:rsidP="003569D2">
      <w:pPr>
        <w:pStyle w:val="BodyText"/>
      </w:pPr>
      <w:r>
        <w:t>Three ‘virtual’ meetings were held by email with update reports being circulated to members for information.</w:t>
      </w:r>
    </w:p>
    <w:p w14:paraId="4EAE2EA9" w14:textId="2260AAE9" w:rsidR="00780EF0" w:rsidRPr="007830C3" w:rsidRDefault="00780EF0" w:rsidP="00BC3673">
      <w:pPr>
        <w:spacing w:before="480"/>
        <w:jc w:val="both"/>
        <w:rPr>
          <w:rFonts w:eastAsia="MS Gothic"/>
          <w:b/>
          <w:lang w:val="en"/>
        </w:rPr>
      </w:pPr>
      <w:r w:rsidRPr="007830C3">
        <w:rPr>
          <w:rFonts w:eastAsia="MS Gothic"/>
          <w:b/>
          <w:lang w:val="en"/>
        </w:rPr>
        <w:t>Patient and Community Reference Group (PCRG)</w:t>
      </w:r>
    </w:p>
    <w:p w14:paraId="0B40E0EA" w14:textId="77777777" w:rsidR="00780EF0" w:rsidRPr="00D1360D" w:rsidRDefault="00780EF0" w:rsidP="00780EF0">
      <w:pPr>
        <w:spacing w:before="120"/>
        <w:rPr>
          <w:rFonts w:eastAsia="Calibri"/>
          <w:lang w:val="en"/>
        </w:rPr>
      </w:pPr>
      <w:r w:rsidRPr="007830C3">
        <w:rPr>
          <w:rFonts w:eastAsia="Calibri"/>
          <w:lang w:val="en"/>
        </w:rPr>
        <w:t xml:space="preserve">This PCRG provides the board with its view on a range of CCG activities and the views of the group are taken into account when considering commissioning proposals. Members are drawn from the population of the CCG, various patient and community groups </w:t>
      </w:r>
      <w:r w:rsidRPr="00D1360D">
        <w:rPr>
          <w:rFonts w:eastAsia="Calibri"/>
          <w:lang w:val="en"/>
        </w:rPr>
        <w:t>and</w:t>
      </w:r>
      <w:r w:rsidRPr="00D1360D">
        <w:rPr>
          <w:rFonts w:eastAsia="Calibri"/>
        </w:rPr>
        <w:t xml:space="preserve"> organisations</w:t>
      </w:r>
      <w:r w:rsidRPr="00D1360D">
        <w:rPr>
          <w:rFonts w:eastAsia="Calibri"/>
          <w:lang w:val="en"/>
        </w:rPr>
        <w:t xml:space="preserve"> representing local interest. </w:t>
      </w:r>
    </w:p>
    <w:p w14:paraId="57756397" w14:textId="7A2032CC" w:rsidR="009A77A0" w:rsidRDefault="00780EF0" w:rsidP="009A77A0">
      <w:pPr>
        <w:spacing w:before="120"/>
        <w:rPr>
          <w:rFonts w:eastAsia="Calibri"/>
        </w:rPr>
      </w:pPr>
      <w:r w:rsidRPr="00D1360D">
        <w:rPr>
          <w:rFonts w:eastAsia="Calibri"/>
        </w:rPr>
        <w:t xml:space="preserve">The work plan of PCRG is aligned to the CCG’s priorities and in order to ensure enough time is given to key issues, workshops focussing on a single topic are held. See the </w:t>
      </w:r>
      <w:r w:rsidRPr="00907E48">
        <w:rPr>
          <w:rFonts w:eastAsia="Calibri"/>
        </w:rPr>
        <w:t>section</w:t>
      </w:r>
      <w:r w:rsidRPr="00D1360D">
        <w:rPr>
          <w:rFonts w:eastAsia="Calibri"/>
        </w:rPr>
        <w:t xml:space="preserve"> on public and patient involvement for full details of engagement activities</w:t>
      </w:r>
      <w:r w:rsidR="00311273">
        <w:rPr>
          <w:rFonts w:eastAsia="Calibri"/>
        </w:rPr>
        <w:t xml:space="preserve"> on </w:t>
      </w:r>
      <w:r w:rsidR="00311273" w:rsidRPr="007B70C6">
        <w:rPr>
          <w:rFonts w:eastAsia="Calibri"/>
        </w:rPr>
        <w:t>page 2</w:t>
      </w:r>
      <w:r w:rsidR="00B32FE7">
        <w:rPr>
          <w:rFonts w:eastAsia="Calibri"/>
        </w:rPr>
        <w:t>4</w:t>
      </w:r>
      <w:r w:rsidR="00311273" w:rsidRPr="007B70C6">
        <w:rPr>
          <w:rFonts w:eastAsia="Calibri"/>
        </w:rPr>
        <w:t>.</w:t>
      </w:r>
    </w:p>
    <w:p w14:paraId="5B9FDC6F" w14:textId="77777777" w:rsidR="00295234" w:rsidRPr="002D2917" w:rsidRDefault="00295234" w:rsidP="00BC3673">
      <w:pPr>
        <w:spacing w:before="480"/>
        <w:rPr>
          <w:rFonts w:cs="Arial"/>
          <w:b/>
          <w:bCs/>
        </w:rPr>
      </w:pPr>
      <w:r w:rsidRPr="002D2917">
        <w:rPr>
          <w:rFonts w:cs="Arial"/>
          <w:b/>
          <w:bCs/>
        </w:rPr>
        <w:t>Basildon and Brentwood Alliance</w:t>
      </w:r>
    </w:p>
    <w:p w14:paraId="7306580D" w14:textId="77777777" w:rsidR="00295234" w:rsidRPr="007B5F33" w:rsidRDefault="00295234" w:rsidP="00295234">
      <w:pPr>
        <w:rPr>
          <w:rFonts w:cs="Arial"/>
        </w:rPr>
      </w:pPr>
      <w:r w:rsidRPr="007B5F33">
        <w:rPr>
          <w:rFonts w:cs="Arial"/>
        </w:rPr>
        <w:t>The aim of the Basildon and Brentwood Alliance is to bring together stakeholders from across Basildon and Brentwood who have a shared interest in improving the wellbeing of our local population. The Alliance partners work collaboratively to enable transformational change that improves outcomes for the population we serve.</w:t>
      </w:r>
    </w:p>
    <w:p w14:paraId="556CDFE9" w14:textId="3EFCC5AD" w:rsidR="00295234" w:rsidRPr="007B5F33" w:rsidRDefault="00295234" w:rsidP="00295234">
      <w:pPr>
        <w:rPr>
          <w:rFonts w:cs="Arial"/>
        </w:rPr>
      </w:pPr>
      <w:r w:rsidRPr="007B5F33">
        <w:rPr>
          <w:rFonts w:cs="Arial"/>
        </w:rPr>
        <w:t>The membership comprises of representation from the CCG, PCN Clinical Directors, the CCG Chair, representation from Essex County Council and Basildon and Brentwood Councils, Essex Partnership University NHSFT, North East London NHSFT, Mid and South Essex Foundation Trust, St Luke’s Hospice and Virgin Healthcare</w:t>
      </w:r>
    </w:p>
    <w:p w14:paraId="38B5894F" w14:textId="77777777" w:rsidR="00295234" w:rsidRDefault="00295234" w:rsidP="00295234">
      <w:pPr>
        <w:rPr>
          <w:rFonts w:cs="Arial"/>
        </w:rPr>
      </w:pPr>
      <w:r w:rsidRPr="007B5F33">
        <w:rPr>
          <w:rFonts w:cs="Arial"/>
        </w:rPr>
        <w:t xml:space="preserve">With the exception of January 2022, the Alliance has met monthly through 2021/22 with </w:t>
      </w:r>
      <w:r>
        <w:rPr>
          <w:rFonts w:cs="Arial"/>
        </w:rPr>
        <w:t>high  levels of</w:t>
      </w:r>
      <w:r w:rsidRPr="007B5F33">
        <w:rPr>
          <w:rFonts w:cs="Arial"/>
        </w:rPr>
        <w:t xml:space="preserve"> attendance and engagement from all stakeholders. The Alliance focussed on the delivery of the Basildon and Brentwood Alliance Plan. In addition, the Alliance has engaged an Organisation Development Agency called Collaborate to support the Alliance to consider it</w:t>
      </w:r>
      <w:r>
        <w:rPr>
          <w:rFonts w:cs="Arial"/>
        </w:rPr>
        <w:t>s</w:t>
      </w:r>
      <w:r w:rsidRPr="007B5F33">
        <w:rPr>
          <w:rFonts w:cs="Arial"/>
        </w:rPr>
        <w:t xml:space="preserve"> future function and form as we transition to the ICS. </w:t>
      </w:r>
      <w:bookmarkStart w:id="114" w:name="Joint_Primary_Care_Commissioning_Committ"/>
      <w:bookmarkEnd w:id="114"/>
    </w:p>
    <w:p w14:paraId="344E5E95" w14:textId="77777777" w:rsidR="00BC3673" w:rsidRDefault="00BC3673" w:rsidP="00295234">
      <w:pPr>
        <w:rPr>
          <w:b/>
          <w:bCs/>
          <w:spacing w:val="1"/>
        </w:rPr>
      </w:pPr>
    </w:p>
    <w:p w14:paraId="3E8D32C3" w14:textId="4AF501AE" w:rsidR="00295234" w:rsidRPr="00295234" w:rsidRDefault="00295234" w:rsidP="00295234">
      <w:pPr>
        <w:rPr>
          <w:rFonts w:cs="Arial"/>
          <w:b/>
          <w:bCs/>
        </w:rPr>
      </w:pPr>
      <w:r w:rsidRPr="00295234">
        <w:rPr>
          <w:b/>
          <w:bCs/>
          <w:spacing w:val="1"/>
        </w:rPr>
        <w:t>Primary</w:t>
      </w:r>
      <w:r w:rsidRPr="00295234">
        <w:rPr>
          <w:b/>
          <w:bCs/>
          <w:spacing w:val="-4"/>
        </w:rPr>
        <w:t xml:space="preserve"> </w:t>
      </w:r>
      <w:r w:rsidRPr="00295234">
        <w:rPr>
          <w:b/>
          <w:bCs/>
        </w:rPr>
        <w:t>Care</w:t>
      </w:r>
      <w:r w:rsidRPr="00295234">
        <w:rPr>
          <w:b/>
          <w:bCs/>
          <w:spacing w:val="3"/>
        </w:rPr>
        <w:t xml:space="preserve"> </w:t>
      </w:r>
      <w:r w:rsidRPr="00295234">
        <w:rPr>
          <w:b/>
          <w:bCs/>
        </w:rPr>
        <w:t>Commissioning</w:t>
      </w:r>
      <w:r w:rsidRPr="00295234">
        <w:rPr>
          <w:b/>
          <w:bCs/>
          <w:spacing w:val="2"/>
        </w:rPr>
        <w:t xml:space="preserve"> </w:t>
      </w:r>
      <w:r w:rsidRPr="00295234">
        <w:rPr>
          <w:b/>
          <w:bCs/>
        </w:rPr>
        <w:t>Committee</w:t>
      </w:r>
    </w:p>
    <w:p w14:paraId="417E4176" w14:textId="77777777" w:rsidR="00D43A59" w:rsidRDefault="00295234" w:rsidP="00295234">
      <w:pPr>
        <w:pStyle w:val="BodyText"/>
        <w:kinsoku w:val="0"/>
        <w:overflowPunct w:val="0"/>
        <w:spacing w:before="120"/>
        <w:ind w:right="173"/>
        <w:rPr>
          <w:spacing w:val="65"/>
        </w:rPr>
      </w:pPr>
      <w:r>
        <w:t>The</w:t>
      </w:r>
      <w:r>
        <w:rPr>
          <w:spacing w:val="1"/>
        </w:rPr>
        <w:t xml:space="preserve"> </w:t>
      </w:r>
      <w:r>
        <w:rPr>
          <w:spacing w:val="-1"/>
        </w:rPr>
        <w:t>Committee is</w:t>
      </w:r>
      <w:r>
        <w:t xml:space="preserve"> </w:t>
      </w:r>
      <w:r>
        <w:rPr>
          <w:spacing w:val="-1"/>
        </w:rPr>
        <w:t>attended</w:t>
      </w:r>
      <w:r>
        <w:rPr>
          <w:spacing w:val="1"/>
        </w:rPr>
        <w:t xml:space="preserve"> </w:t>
      </w:r>
      <w:r>
        <w:t>by</w:t>
      </w:r>
      <w:r>
        <w:rPr>
          <w:spacing w:val="-2"/>
        </w:rPr>
        <w:t xml:space="preserve"> </w:t>
      </w:r>
      <w:r>
        <w:rPr>
          <w:spacing w:val="-1"/>
        </w:rPr>
        <w:t>both</w:t>
      </w:r>
      <w:r>
        <w:rPr>
          <w:spacing w:val="1"/>
        </w:rPr>
        <w:t xml:space="preserve"> </w:t>
      </w:r>
      <w:r>
        <w:rPr>
          <w:spacing w:val="-1"/>
        </w:rPr>
        <w:t>the</w:t>
      </w:r>
      <w:r>
        <w:rPr>
          <w:spacing w:val="1"/>
        </w:rPr>
        <w:t xml:space="preserve"> </w:t>
      </w:r>
      <w:r>
        <w:rPr>
          <w:spacing w:val="-1"/>
        </w:rPr>
        <w:t>CCG</w:t>
      </w:r>
      <w:r>
        <w:rPr>
          <w:spacing w:val="-2"/>
        </w:rPr>
        <w:t xml:space="preserve"> </w:t>
      </w:r>
      <w:r>
        <w:t>and</w:t>
      </w:r>
      <w:r>
        <w:rPr>
          <w:spacing w:val="1"/>
        </w:rPr>
        <w:t xml:space="preserve"> </w:t>
      </w:r>
      <w:r>
        <w:rPr>
          <w:spacing w:val="-1"/>
        </w:rPr>
        <w:t>NHS</w:t>
      </w:r>
      <w:r>
        <w:rPr>
          <w:spacing w:val="-2"/>
        </w:rPr>
        <w:t xml:space="preserve"> </w:t>
      </w:r>
      <w:r>
        <w:rPr>
          <w:spacing w:val="-1"/>
        </w:rPr>
        <w:t>England/NHS</w:t>
      </w:r>
      <w:r>
        <w:rPr>
          <w:spacing w:val="1"/>
        </w:rPr>
        <w:t xml:space="preserve"> </w:t>
      </w:r>
      <w:r>
        <w:rPr>
          <w:spacing w:val="-1"/>
        </w:rPr>
        <w:t>Improvement.</w:t>
      </w:r>
      <w:r>
        <w:t xml:space="preserve"> </w:t>
      </w:r>
      <w:r>
        <w:rPr>
          <w:spacing w:val="-1"/>
        </w:rPr>
        <w:t>The</w:t>
      </w:r>
      <w:r>
        <w:rPr>
          <w:spacing w:val="1"/>
        </w:rPr>
        <w:t xml:space="preserve"> </w:t>
      </w:r>
      <w:r>
        <w:rPr>
          <w:spacing w:val="-1"/>
        </w:rPr>
        <w:t>committee</w:t>
      </w:r>
      <w:r>
        <w:rPr>
          <w:spacing w:val="1"/>
        </w:rPr>
        <w:t xml:space="preserve"> </w:t>
      </w:r>
      <w:r>
        <w:rPr>
          <w:spacing w:val="-1"/>
        </w:rPr>
        <w:t>is</w:t>
      </w:r>
      <w:r>
        <w:t xml:space="preserve"> </w:t>
      </w:r>
      <w:r>
        <w:rPr>
          <w:spacing w:val="-1"/>
        </w:rPr>
        <w:t>chaired</w:t>
      </w:r>
      <w:r>
        <w:rPr>
          <w:spacing w:val="1"/>
        </w:rPr>
        <w:t xml:space="preserve"> </w:t>
      </w:r>
      <w:r>
        <w:t>by</w:t>
      </w:r>
      <w:r>
        <w:rPr>
          <w:spacing w:val="-2"/>
        </w:rPr>
        <w:t xml:space="preserve"> </w:t>
      </w:r>
      <w:r>
        <w:t>the</w:t>
      </w:r>
      <w:r>
        <w:rPr>
          <w:spacing w:val="-1"/>
        </w:rPr>
        <w:t xml:space="preserve"> </w:t>
      </w:r>
      <w:r>
        <w:t>Lay</w:t>
      </w:r>
      <w:r>
        <w:rPr>
          <w:spacing w:val="-2"/>
        </w:rPr>
        <w:t xml:space="preserve"> </w:t>
      </w:r>
      <w:r>
        <w:rPr>
          <w:spacing w:val="-1"/>
        </w:rPr>
        <w:t xml:space="preserve">Member </w:t>
      </w:r>
      <w:r>
        <w:t>for Governance.</w:t>
      </w:r>
      <w:r>
        <w:rPr>
          <w:spacing w:val="65"/>
        </w:rPr>
        <w:t xml:space="preserve"> </w:t>
      </w:r>
    </w:p>
    <w:p w14:paraId="352B5883" w14:textId="78008226" w:rsidR="00295234" w:rsidRDefault="00295234" w:rsidP="00295234">
      <w:pPr>
        <w:pStyle w:val="BodyText"/>
        <w:kinsoku w:val="0"/>
        <w:overflowPunct w:val="0"/>
        <w:spacing w:before="120"/>
        <w:ind w:right="173"/>
        <w:rPr>
          <w:spacing w:val="65"/>
        </w:rPr>
      </w:pPr>
      <w:r>
        <w:t xml:space="preserve">From June 2021 the Committee met in common with the other MSE CCGs Primary Care Commissioning Committees.  </w:t>
      </w:r>
      <w:r>
        <w:rPr>
          <w:spacing w:val="-1"/>
        </w:rPr>
        <w:t>There</w:t>
      </w:r>
      <w:r>
        <w:rPr>
          <w:spacing w:val="1"/>
        </w:rPr>
        <w:t xml:space="preserve"> </w:t>
      </w:r>
      <w:r>
        <w:rPr>
          <w:spacing w:val="-1"/>
        </w:rPr>
        <w:t>were</w:t>
      </w:r>
      <w:r>
        <w:rPr>
          <w:spacing w:val="1"/>
        </w:rPr>
        <w:t xml:space="preserve"> </w:t>
      </w:r>
      <w:r>
        <w:rPr>
          <w:spacing w:val="-1"/>
        </w:rPr>
        <w:t>five</w:t>
      </w:r>
      <w:r>
        <w:rPr>
          <w:spacing w:val="-2"/>
        </w:rPr>
        <w:t xml:space="preserve"> </w:t>
      </w:r>
      <w:r>
        <w:rPr>
          <w:spacing w:val="-1"/>
        </w:rPr>
        <w:t>meetings</w:t>
      </w:r>
      <w:r>
        <w:t xml:space="preserve"> </w:t>
      </w:r>
      <w:r>
        <w:rPr>
          <w:spacing w:val="-1"/>
        </w:rPr>
        <w:t xml:space="preserve">held, with three further virtual meetings held to conduct urgent business that could not wait until the next scheduled meeting.  A review of committee </w:t>
      </w:r>
      <w:r w:rsidRPr="002D2917">
        <w:rPr>
          <w:spacing w:val="-1"/>
        </w:rPr>
        <w:t>effectiveness confirmed that the committee was generally quorate in line</w:t>
      </w:r>
      <w:r w:rsidRPr="002D2917">
        <w:rPr>
          <w:spacing w:val="1"/>
        </w:rPr>
        <w:t xml:space="preserve"> </w:t>
      </w:r>
      <w:r w:rsidRPr="002D2917">
        <w:rPr>
          <w:spacing w:val="-1"/>
        </w:rPr>
        <w:t>with</w:t>
      </w:r>
      <w:r w:rsidRPr="002D2917">
        <w:rPr>
          <w:spacing w:val="1"/>
        </w:rPr>
        <w:t xml:space="preserve"> </w:t>
      </w:r>
      <w:r w:rsidRPr="002D2917">
        <w:rPr>
          <w:spacing w:val="-1"/>
        </w:rPr>
        <w:t>the</w:t>
      </w:r>
      <w:r w:rsidRPr="002D2917">
        <w:rPr>
          <w:spacing w:val="1"/>
        </w:rPr>
        <w:t xml:space="preserve"> </w:t>
      </w:r>
      <w:r w:rsidRPr="002D2917">
        <w:rPr>
          <w:spacing w:val="-1"/>
        </w:rPr>
        <w:t>Committee’s</w:t>
      </w:r>
      <w:r w:rsidRPr="002D2917">
        <w:rPr>
          <w:spacing w:val="-2"/>
        </w:rPr>
        <w:t xml:space="preserve"> </w:t>
      </w:r>
      <w:r w:rsidRPr="002D2917">
        <w:rPr>
          <w:spacing w:val="-1"/>
        </w:rPr>
        <w:t>Terms</w:t>
      </w:r>
      <w:r w:rsidRPr="002D2917">
        <w:t xml:space="preserve"> </w:t>
      </w:r>
      <w:r w:rsidRPr="002D2917">
        <w:rPr>
          <w:spacing w:val="-1"/>
        </w:rPr>
        <w:t>of</w:t>
      </w:r>
      <w:r w:rsidRPr="002D2917">
        <w:t xml:space="preserve"> </w:t>
      </w:r>
      <w:r w:rsidRPr="002D2917">
        <w:rPr>
          <w:spacing w:val="-1"/>
        </w:rPr>
        <w:t>Reference.</w:t>
      </w:r>
      <w:r>
        <w:t xml:space="preserve"> </w:t>
      </w:r>
      <w:r>
        <w:rPr>
          <w:spacing w:val="65"/>
        </w:rPr>
        <w:t xml:space="preserve"> </w:t>
      </w:r>
    </w:p>
    <w:p w14:paraId="642C8A24" w14:textId="572CFDA6" w:rsidR="00D43A59" w:rsidRDefault="00295234" w:rsidP="00872CC0">
      <w:pPr>
        <w:pStyle w:val="BodyText"/>
        <w:kinsoku w:val="0"/>
        <w:overflowPunct w:val="0"/>
        <w:ind w:right="296"/>
        <w:rPr>
          <w:spacing w:val="-1"/>
        </w:rPr>
      </w:pPr>
      <w:r>
        <w:rPr>
          <w:spacing w:val="-1"/>
        </w:rPr>
        <w:t xml:space="preserve">During 2021/22 </w:t>
      </w:r>
      <w:r>
        <w:t>the</w:t>
      </w:r>
      <w:r>
        <w:rPr>
          <w:spacing w:val="-1"/>
        </w:rPr>
        <w:t xml:space="preserve"> Committee</w:t>
      </w:r>
      <w:r>
        <w:rPr>
          <w:spacing w:val="-4"/>
        </w:rPr>
        <w:t xml:space="preserve"> </w:t>
      </w:r>
      <w:r>
        <w:rPr>
          <w:spacing w:val="-1"/>
        </w:rPr>
        <w:t xml:space="preserve">focused </w:t>
      </w:r>
      <w:r>
        <w:t>on</w:t>
      </w:r>
      <w:r>
        <w:rPr>
          <w:spacing w:val="-1"/>
        </w:rPr>
        <w:t xml:space="preserve">, </w:t>
      </w:r>
      <w:r w:rsidRPr="00F91D00">
        <w:rPr>
          <w:spacing w:val="-1"/>
        </w:rPr>
        <w:t>Contractual</w:t>
      </w:r>
      <w:r w:rsidR="00872CC0">
        <w:rPr>
          <w:spacing w:val="-1"/>
        </w:rPr>
        <w:t xml:space="preserve"> u</w:t>
      </w:r>
      <w:r w:rsidRPr="00F91D00">
        <w:rPr>
          <w:spacing w:val="-1"/>
        </w:rPr>
        <w:t>pdates</w:t>
      </w:r>
      <w:r w:rsidR="00872CC0">
        <w:rPr>
          <w:spacing w:val="-1"/>
        </w:rPr>
        <w:t xml:space="preserve">, </w:t>
      </w:r>
      <w:r w:rsidRPr="00F91D00">
        <w:rPr>
          <w:spacing w:val="-1"/>
        </w:rPr>
        <w:t>breaches</w:t>
      </w:r>
      <w:r w:rsidR="00872CC0">
        <w:rPr>
          <w:spacing w:val="-1"/>
        </w:rPr>
        <w:t xml:space="preserve"> or </w:t>
      </w:r>
      <w:r w:rsidRPr="00F91D00">
        <w:rPr>
          <w:spacing w:val="-1"/>
        </w:rPr>
        <w:t>requests for contractual changes from general practices</w:t>
      </w:r>
      <w:r>
        <w:rPr>
          <w:spacing w:val="-1"/>
        </w:rPr>
        <w:t>; l</w:t>
      </w:r>
      <w:r w:rsidRPr="00F91D00">
        <w:rPr>
          <w:spacing w:val="-1"/>
        </w:rPr>
        <w:t xml:space="preserve">ocal contract decisions, e.g. </w:t>
      </w:r>
      <w:r>
        <w:rPr>
          <w:spacing w:val="-1"/>
        </w:rPr>
        <w:t>D</w:t>
      </w:r>
      <w:r w:rsidRPr="00F91D00">
        <w:rPr>
          <w:spacing w:val="-1"/>
        </w:rPr>
        <w:t>esignated Enhanced Services</w:t>
      </w:r>
      <w:r>
        <w:rPr>
          <w:spacing w:val="-1"/>
        </w:rPr>
        <w:t xml:space="preserve">; </w:t>
      </w:r>
      <w:r w:rsidRPr="00F91D00">
        <w:rPr>
          <w:spacing w:val="-1"/>
        </w:rPr>
        <w:t xml:space="preserve">GP </w:t>
      </w:r>
      <w:r>
        <w:rPr>
          <w:spacing w:val="-1"/>
        </w:rPr>
        <w:t>p</w:t>
      </w:r>
      <w:r w:rsidRPr="00F91D00">
        <w:rPr>
          <w:spacing w:val="-1"/>
        </w:rPr>
        <w:t xml:space="preserve">rimary </w:t>
      </w:r>
      <w:r>
        <w:rPr>
          <w:spacing w:val="-1"/>
        </w:rPr>
        <w:t>c</w:t>
      </w:r>
      <w:r w:rsidRPr="00F91D00">
        <w:rPr>
          <w:spacing w:val="-1"/>
        </w:rPr>
        <w:t xml:space="preserve">are </w:t>
      </w:r>
      <w:r>
        <w:rPr>
          <w:spacing w:val="-1"/>
        </w:rPr>
        <w:t>q</w:t>
      </w:r>
      <w:r w:rsidRPr="00F91D00">
        <w:rPr>
          <w:spacing w:val="-1"/>
        </w:rPr>
        <w:t xml:space="preserve">uality </w:t>
      </w:r>
      <w:r>
        <w:rPr>
          <w:spacing w:val="-1"/>
        </w:rPr>
        <w:t>and</w:t>
      </w:r>
      <w:r w:rsidRPr="00F91D00">
        <w:rPr>
          <w:spacing w:val="-1"/>
        </w:rPr>
        <w:t xml:space="preserve"> </w:t>
      </w:r>
      <w:r>
        <w:rPr>
          <w:spacing w:val="-1"/>
        </w:rPr>
        <w:t>s</w:t>
      </w:r>
      <w:r w:rsidRPr="00F91D00">
        <w:rPr>
          <w:spacing w:val="-1"/>
        </w:rPr>
        <w:t>afety reports</w:t>
      </w:r>
      <w:r>
        <w:rPr>
          <w:spacing w:val="-1"/>
        </w:rPr>
        <w:t xml:space="preserve">; </w:t>
      </w:r>
      <w:r w:rsidRPr="00F91D00">
        <w:rPr>
          <w:spacing w:val="-1"/>
        </w:rPr>
        <w:t>budget reports</w:t>
      </w:r>
      <w:r>
        <w:rPr>
          <w:spacing w:val="-1"/>
        </w:rPr>
        <w:t>; information technology and d</w:t>
      </w:r>
      <w:r w:rsidRPr="00F91D00">
        <w:rPr>
          <w:spacing w:val="-1"/>
        </w:rPr>
        <w:t>igital updates</w:t>
      </w:r>
      <w:r>
        <w:rPr>
          <w:spacing w:val="-1"/>
        </w:rPr>
        <w:t>; estates issues; primary care w</w:t>
      </w:r>
      <w:r w:rsidRPr="00F91D00">
        <w:rPr>
          <w:spacing w:val="-1"/>
        </w:rPr>
        <w:t>orkforce</w:t>
      </w:r>
      <w:r>
        <w:rPr>
          <w:spacing w:val="-1"/>
        </w:rPr>
        <w:t>; r</w:t>
      </w:r>
      <w:r w:rsidRPr="00F91D00">
        <w:rPr>
          <w:spacing w:val="-1"/>
        </w:rPr>
        <w:t>eview of Primary Care Risk Group minutes</w:t>
      </w:r>
      <w:r>
        <w:rPr>
          <w:spacing w:val="-1"/>
        </w:rPr>
        <w:t>; r</w:t>
      </w:r>
      <w:r w:rsidRPr="00F91D00">
        <w:rPr>
          <w:spacing w:val="-1"/>
        </w:rPr>
        <w:t xml:space="preserve">eview of </w:t>
      </w:r>
      <w:r>
        <w:rPr>
          <w:spacing w:val="-1"/>
        </w:rPr>
        <w:t>p</w:t>
      </w:r>
      <w:r w:rsidRPr="00F91D00">
        <w:rPr>
          <w:spacing w:val="-1"/>
        </w:rPr>
        <w:t xml:space="preserve">rimary </w:t>
      </w:r>
      <w:r>
        <w:rPr>
          <w:spacing w:val="-1"/>
        </w:rPr>
        <w:t>c</w:t>
      </w:r>
      <w:r w:rsidRPr="00F91D00">
        <w:rPr>
          <w:spacing w:val="-1"/>
        </w:rPr>
        <w:t xml:space="preserve">are </w:t>
      </w:r>
      <w:r>
        <w:rPr>
          <w:spacing w:val="-1"/>
        </w:rPr>
        <w:t xml:space="preserve">risks; and </w:t>
      </w:r>
      <w:r w:rsidRPr="00F91D00">
        <w:rPr>
          <w:spacing w:val="-1"/>
        </w:rPr>
        <w:t>GP Business Continuity and resilience arrangements</w:t>
      </w:r>
      <w:r>
        <w:rPr>
          <w:spacing w:val="-1"/>
        </w:rPr>
        <w:t xml:space="preserve">. </w:t>
      </w:r>
    </w:p>
    <w:p w14:paraId="71AC7D9C" w14:textId="1ED81F11" w:rsidR="00D43A59" w:rsidRPr="00D43A59" w:rsidRDefault="00D43A59" w:rsidP="00BC3673">
      <w:pPr>
        <w:pStyle w:val="BodyText"/>
        <w:kinsoku w:val="0"/>
        <w:overflowPunct w:val="0"/>
        <w:spacing w:before="360"/>
        <w:ind w:right="296"/>
        <w:rPr>
          <w:spacing w:val="-1"/>
        </w:rPr>
      </w:pPr>
      <w:r w:rsidRPr="00D43A59">
        <w:rPr>
          <w:rFonts w:eastAsia="Times New Roman" w:cs="Arial"/>
          <w:b/>
          <w:bCs/>
          <w:spacing w:val="-1"/>
          <w:szCs w:val="24"/>
          <w:lang w:eastAsia="en-GB"/>
        </w:rPr>
        <w:t>Better</w:t>
      </w:r>
      <w:r w:rsidRPr="00D43A59">
        <w:rPr>
          <w:rFonts w:eastAsia="Times New Roman" w:cs="Arial"/>
          <w:b/>
          <w:bCs/>
          <w:spacing w:val="3"/>
          <w:szCs w:val="24"/>
          <w:lang w:eastAsia="en-GB"/>
        </w:rPr>
        <w:t xml:space="preserve"> </w:t>
      </w:r>
      <w:r w:rsidRPr="00D43A59">
        <w:rPr>
          <w:rFonts w:eastAsia="Times New Roman" w:cs="Arial"/>
          <w:b/>
          <w:bCs/>
          <w:szCs w:val="24"/>
          <w:lang w:eastAsia="en-GB"/>
        </w:rPr>
        <w:t>Care</w:t>
      </w:r>
      <w:r w:rsidRPr="00D43A59">
        <w:rPr>
          <w:rFonts w:eastAsia="Times New Roman" w:cs="Arial"/>
          <w:b/>
          <w:bCs/>
          <w:spacing w:val="1"/>
          <w:szCs w:val="24"/>
          <w:lang w:eastAsia="en-GB"/>
        </w:rPr>
        <w:t xml:space="preserve"> </w:t>
      </w:r>
      <w:r w:rsidRPr="00D43A59">
        <w:rPr>
          <w:rFonts w:eastAsia="Times New Roman" w:cs="Arial"/>
          <w:b/>
          <w:bCs/>
          <w:szCs w:val="24"/>
          <w:lang w:eastAsia="en-GB"/>
        </w:rPr>
        <w:t>Fund</w:t>
      </w:r>
      <w:r w:rsidRPr="00D43A59">
        <w:rPr>
          <w:rFonts w:eastAsia="Times New Roman" w:cs="Arial"/>
          <w:b/>
          <w:bCs/>
          <w:spacing w:val="2"/>
          <w:szCs w:val="24"/>
          <w:lang w:eastAsia="en-GB"/>
        </w:rPr>
        <w:t xml:space="preserve"> </w:t>
      </w:r>
      <w:r w:rsidRPr="00D43A59">
        <w:rPr>
          <w:rFonts w:eastAsia="Times New Roman" w:cs="Arial"/>
          <w:b/>
          <w:bCs/>
          <w:szCs w:val="24"/>
          <w:lang w:eastAsia="en-GB"/>
        </w:rPr>
        <w:t>(including</w:t>
      </w:r>
      <w:r w:rsidRPr="00D43A59">
        <w:rPr>
          <w:rFonts w:eastAsia="Times New Roman" w:cs="Arial"/>
          <w:b/>
          <w:bCs/>
          <w:spacing w:val="2"/>
          <w:szCs w:val="24"/>
          <w:lang w:eastAsia="en-GB"/>
        </w:rPr>
        <w:t xml:space="preserve"> </w:t>
      </w:r>
      <w:r w:rsidRPr="00D43A59">
        <w:rPr>
          <w:rFonts w:eastAsia="Times New Roman" w:cs="Arial"/>
          <w:b/>
          <w:bCs/>
          <w:szCs w:val="24"/>
          <w:lang w:eastAsia="en-GB"/>
        </w:rPr>
        <w:t>Improved</w:t>
      </w:r>
      <w:r w:rsidRPr="00D43A59">
        <w:rPr>
          <w:rFonts w:eastAsia="Times New Roman" w:cs="Arial"/>
          <w:b/>
          <w:bCs/>
          <w:spacing w:val="2"/>
          <w:szCs w:val="24"/>
          <w:lang w:eastAsia="en-GB"/>
        </w:rPr>
        <w:t xml:space="preserve"> </w:t>
      </w:r>
      <w:r w:rsidRPr="00D43A59">
        <w:rPr>
          <w:rFonts w:eastAsia="Times New Roman" w:cs="Arial"/>
          <w:b/>
          <w:bCs/>
          <w:szCs w:val="24"/>
          <w:lang w:eastAsia="en-GB"/>
        </w:rPr>
        <w:t>Better</w:t>
      </w:r>
      <w:r w:rsidRPr="00D43A59">
        <w:rPr>
          <w:rFonts w:eastAsia="Times New Roman" w:cs="Arial"/>
          <w:b/>
          <w:bCs/>
          <w:spacing w:val="3"/>
          <w:szCs w:val="24"/>
          <w:lang w:eastAsia="en-GB"/>
        </w:rPr>
        <w:t xml:space="preserve"> </w:t>
      </w:r>
      <w:r w:rsidRPr="00D43A59">
        <w:rPr>
          <w:rFonts w:eastAsia="Times New Roman" w:cs="Arial"/>
          <w:b/>
          <w:bCs/>
          <w:spacing w:val="-1"/>
          <w:szCs w:val="24"/>
          <w:lang w:eastAsia="en-GB"/>
        </w:rPr>
        <w:t>Care</w:t>
      </w:r>
      <w:r w:rsidRPr="00D43A59">
        <w:rPr>
          <w:rFonts w:eastAsia="Times New Roman" w:cs="Arial"/>
          <w:b/>
          <w:bCs/>
          <w:spacing w:val="3"/>
          <w:szCs w:val="24"/>
          <w:lang w:eastAsia="en-GB"/>
        </w:rPr>
        <w:t xml:space="preserve"> </w:t>
      </w:r>
      <w:r w:rsidRPr="00D43A59">
        <w:rPr>
          <w:rFonts w:eastAsia="Times New Roman" w:cs="Arial"/>
          <w:b/>
          <w:bCs/>
          <w:szCs w:val="24"/>
          <w:lang w:eastAsia="en-GB"/>
        </w:rPr>
        <w:t>Fund)</w:t>
      </w:r>
      <w:r w:rsidRPr="00D43A59">
        <w:rPr>
          <w:rFonts w:eastAsia="Times New Roman" w:cs="Arial"/>
          <w:b/>
          <w:bCs/>
          <w:spacing w:val="-1"/>
          <w:szCs w:val="24"/>
          <w:lang w:eastAsia="en-GB"/>
        </w:rPr>
        <w:t xml:space="preserve"> </w:t>
      </w:r>
      <w:r w:rsidRPr="00D43A59">
        <w:rPr>
          <w:rFonts w:eastAsia="Times New Roman" w:cs="Arial"/>
          <w:b/>
          <w:bCs/>
          <w:szCs w:val="24"/>
          <w:lang w:eastAsia="en-GB"/>
        </w:rPr>
        <w:t>Governance</w:t>
      </w:r>
    </w:p>
    <w:p w14:paraId="015BCE86" w14:textId="77777777" w:rsidR="00D43A59" w:rsidRPr="00D43A59" w:rsidRDefault="00D43A59" w:rsidP="00D43A59">
      <w:pPr>
        <w:widowControl w:val="0"/>
        <w:kinsoku w:val="0"/>
        <w:overflowPunct w:val="0"/>
        <w:autoSpaceDE w:val="0"/>
        <w:autoSpaceDN w:val="0"/>
        <w:adjustRightInd w:val="0"/>
        <w:spacing w:before="120" w:after="0"/>
        <w:ind w:right="153"/>
        <w:rPr>
          <w:rFonts w:eastAsia="Times New Roman" w:cs="Arial"/>
          <w:spacing w:val="-1"/>
          <w:szCs w:val="24"/>
          <w:lang w:eastAsia="en-GB"/>
        </w:rPr>
      </w:pPr>
      <w:r w:rsidRPr="00D43A59">
        <w:rPr>
          <w:rFonts w:eastAsia="Times New Roman" w:cs="Arial"/>
          <w:szCs w:val="24"/>
          <w:lang w:eastAsia="en-GB"/>
        </w:rPr>
        <w:t>A</w:t>
      </w:r>
      <w:r w:rsidRPr="00D43A59">
        <w:rPr>
          <w:rFonts w:eastAsia="Times New Roman" w:cs="Arial"/>
          <w:spacing w:val="1"/>
          <w:szCs w:val="24"/>
          <w:lang w:eastAsia="en-GB"/>
        </w:rPr>
        <w:t xml:space="preserve"> </w:t>
      </w:r>
      <w:r w:rsidRPr="00D43A59">
        <w:rPr>
          <w:rFonts w:eastAsia="Times New Roman" w:cs="Arial"/>
          <w:spacing w:val="-1"/>
          <w:szCs w:val="24"/>
          <w:lang w:eastAsia="en-GB"/>
        </w:rPr>
        <w:t>Better Care</w:t>
      </w:r>
      <w:r w:rsidRPr="00D43A59">
        <w:rPr>
          <w:rFonts w:eastAsia="Times New Roman" w:cs="Arial"/>
          <w:spacing w:val="1"/>
          <w:szCs w:val="24"/>
          <w:lang w:eastAsia="en-GB"/>
        </w:rPr>
        <w:t xml:space="preserve"> </w:t>
      </w:r>
      <w:r w:rsidRPr="00D43A59">
        <w:rPr>
          <w:rFonts w:eastAsia="Times New Roman" w:cs="Arial"/>
          <w:spacing w:val="-1"/>
          <w:szCs w:val="24"/>
          <w:lang w:eastAsia="en-GB"/>
        </w:rPr>
        <w:t>Fund (BCF) Partnership Board meets</w:t>
      </w:r>
      <w:r w:rsidRPr="00D43A59">
        <w:rPr>
          <w:rFonts w:eastAsia="Times New Roman" w:cs="Arial"/>
          <w:szCs w:val="24"/>
          <w:lang w:eastAsia="en-GB"/>
        </w:rPr>
        <w:t xml:space="preserve"> </w:t>
      </w:r>
      <w:r w:rsidRPr="00D43A59">
        <w:rPr>
          <w:rFonts w:eastAsia="Times New Roman" w:cs="Arial"/>
          <w:spacing w:val="-1"/>
          <w:szCs w:val="24"/>
          <w:lang w:eastAsia="en-GB"/>
        </w:rPr>
        <w:t xml:space="preserve">to </w:t>
      </w:r>
      <w:r w:rsidRPr="00D43A59">
        <w:rPr>
          <w:rFonts w:eastAsia="Times New Roman" w:cs="Arial"/>
          <w:szCs w:val="24"/>
          <w:lang w:eastAsia="en-GB"/>
        </w:rPr>
        <w:t xml:space="preserve">fulfil </w:t>
      </w:r>
      <w:r w:rsidRPr="00D43A59">
        <w:rPr>
          <w:rFonts w:eastAsia="Times New Roman" w:cs="Arial"/>
          <w:spacing w:val="-1"/>
          <w:szCs w:val="24"/>
          <w:lang w:eastAsia="en-GB"/>
        </w:rPr>
        <w:t>the</w:t>
      </w:r>
      <w:r w:rsidRPr="00D43A59">
        <w:rPr>
          <w:rFonts w:eastAsia="Times New Roman" w:cs="Arial"/>
          <w:spacing w:val="1"/>
          <w:szCs w:val="24"/>
          <w:lang w:eastAsia="en-GB"/>
        </w:rPr>
        <w:t xml:space="preserve"> </w:t>
      </w:r>
      <w:r w:rsidRPr="00D43A59">
        <w:rPr>
          <w:rFonts w:eastAsia="Times New Roman" w:cs="Arial"/>
          <w:spacing w:val="-1"/>
          <w:szCs w:val="24"/>
          <w:lang w:eastAsia="en-GB"/>
        </w:rPr>
        <w:t>governance</w:t>
      </w:r>
      <w:r w:rsidRPr="00D43A59">
        <w:rPr>
          <w:rFonts w:eastAsia="Times New Roman" w:cs="Arial"/>
          <w:spacing w:val="1"/>
          <w:szCs w:val="24"/>
          <w:lang w:eastAsia="en-GB"/>
        </w:rPr>
        <w:t xml:space="preserve"> </w:t>
      </w:r>
      <w:r w:rsidRPr="00D43A59">
        <w:rPr>
          <w:rFonts w:eastAsia="Times New Roman" w:cs="Arial"/>
          <w:spacing w:val="-1"/>
          <w:szCs w:val="24"/>
          <w:lang w:eastAsia="en-GB"/>
        </w:rPr>
        <w:t>requirements</w:t>
      </w:r>
      <w:r w:rsidRPr="00D43A59">
        <w:rPr>
          <w:rFonts w:eastAsia="Times New Roman" w:cs="Arial"/>
          <w:spacing w:val="-2"/>
          <w:szCs w:val="24"/>
          <w:lang w:eastAsia="en-GB"/>
        </w:rPr>
        <w:t xml:space="preserve"> </w:t>
      </w:r>
      <w:r w:rsidRPr="00D43A59">
        <w:rPr>
          <w:rFonts w:eastAsia="Times New Roman" w:cs="Arial"/>
          <w:spacing w:val="-1"/>
          <w:szCs w:val="24"/>
          <w:lang w:eastAsia="en-GB"/>
        </w:rPr>
        <w:t>with</w:t>
      </w:r>
      <w:r w:rsidRPr="00D43A59">
        <w:rPr>
          <w:rFonts w:eastAsia="Times New Roman" w:cs="Arial"/>
          <w:spacing w:val="57"/>
          <w:szCs w:val="24"/>
          <w:lang w:eastAsia="en-GB"/>
        </w:rPr>
        <w:t xml:space="preserve"> </w:t>
      </w:r>
      <w:r w:rsidRPr="00D43A59">
        <w:rPr>
          <w:rFonts w:eastAsia="Times New Roman" w:cs="Arial"/>
          <w:szCs w:val="24"/>
          <w:lang w:eastAsia="en-GB"/>
        </w:rPr>
        <w:t>Essex</w:t>
      </w:r>
      <w:r w:rsidRPr="00D43A59">
        <w:rPr>
          <w:rFonts w:eastAsia="Times New Roman" w:cs="Arial"/>
          <w:spacing w:val="-2"/>
          <w:szCs w:val="24"/>
          <w:lang w:eastAsia="en-GB"/>
        </w:rPr>
        <w:t xml:space="preserve"> </w:t>
      </w:r>
      <w:r w:rsidRPr="00D43A59">
        <w:rPr>
          <w:rFonts w:eastAsia="Times New Roman" w:cs="Arial"/>
          <w:spacing w:val="-1"/>
          <w:szCs w:val="24"/>
          <w:lang w:eastAsia="en-GB"/>
        </w:rPr>
        <w:t>County</w:t>
      </w:r>
      <w:r w:rsidRPr="00D43A59">
        <w:rPr>
          <w:rFonts w:eastAsia="Times New Roman" w:cs="Arial"/>
          <w:spacing w:val="-2"/>
          <w:szCs w:val="24"/>
          <w:lang w:eastAsia="en-GB"/>
        </w:rPr>
        <w:t xml:space="preserve"> </w:t>
      </w:r>
      <w:r w:rsidRPr="00D43A59">
        <w:rPr>
          <w:rFonts w:eastAsia="Times New Roman" w:cs="Arial"/>
          <w:spacing w:val="-1"/>
          <w:szCs w:val="24"/>
          <w:lang w:eastAsia="en-GB"/>
        </w:rPr>
        <w:t>Council.</w:t>
      </w:r>
    </w:p>
    <w:p w14:paraId="3A0EA01B" w14:textId="77777777" w:rsidR="00D43A59" w:rsidRPr="00D43A59" w:rsidRDefault="00D43A59" w:rsidP="00D43A59">
      <w:pPr>
        <w:widowControl w:val="0"/>
        <w:kinsoku w:val="0"/>
        <w:overflowPunct w:val="0"/>
        <w:autoSpaceDE w:val="0"/>
        <w:autoSpaceDN w:val="0"/>
        <w:adjustRightInd w:val="0"/>
        <w:spacing w:before="0" w:after="0"/>
        <w:rPr>
          <w:rFonts w:eastAsia="Times New Roman" w:cs="Arial"/>
          <w:szCs w:val="24"/>
          <w:lang w:eastAsia="en-GB"/>
        </w:rPr>
      </w:pPr>
    </w:p>
    <w:p w14:paraId="5E20F2D7" w14:textId="77777777" w:rsidR="00D43A59" w:rsidRPr="00D43A59" w:rsidRDefault="00D43A59" w:rsidP="00D43A59">
      <w:pPr>
        <w:widowControl w:val="0"/>
        <w:kinsoku w:val="0"/>
        <w:overflowPunct w:val="0"/>
        <w:autoSpaceDE w:val="0"/>
        <w:autoSpaceDN w:val="0"/>
        <w:adjustRightInd w:val="0"/>
        <w:spacing w:before="0" w:after="0"/>
        <w:ind w:right="301"/>
        <w:rPr>
          <w:rFonts w:eastAsia="Times New Roman" w:cs="Arial"/>
          <w:spacing w:val="-1"/>
          <w:szCs w:val="24"/>
          <w:lang w:eastAsia="en-GB"/>
        </w:rPr>
      </w:pPr>
      <w:r w:rsidRPr="00D43A59">
        <w:rPr>
          <w:rFonts w:eastAsia="Times New Roman" w:cs="Arial"/>
          <w:szCs w:val="24"/>
          <w:lang w:eastAsia="en-GB"/>
        </w:rPr>
        <w:t>In</w:t>
      </w:r>
      <w:r w:rsidRPr="00D43A59">
        <w:rPr>
          <w:rFonts w:eastAsia="Times New Roman" w:cs="Arial"/>
          <w:spacing w:val="1"/>
          <w:szCs w:val="24"/>
          <w:lang w:eastAsia="en-GB"/>
        </w:rPr>
        <w:t xml:space="preserve"> </w:t>
      </w:r>
      <w:r w:rsidRPr="00D43A59">
        <w:rPr>
          <w:rFonts w:eastAsia="Times New Roman" w:cs="Arial"/>
          <w:spacing w:val="-1"/>
          <w:szCs w:val="24"/>
          <w:lang w:eastAsia="en-GB"/>
        </w:rPr>
        <w:t>line</w:t>
      </w:r>
      <w:r w:rsidRPr="00D43A59">
        <w:rPr>
          <w:rFonts w:eastAsia="Times New Roman" w:cs="Arial"/>
          <w:spacing w:val="1"/>
          <w:szCs w:val="24"/>
          <w:lang w:eastAsia="en-GB"/>
        </w:rPr>
        <w:t xml:space="preserve"> </w:t>
      </w:r>
      <w:r w:rsidRPr="00D43A59">
        <w:rPr>
          <w:rFonts w:eastAsia="Times New Roman" w:cs="Arial"/>
          <w:spacing w:val="-1"/>
          <w:szCs w:val="24"/>
          <w:lang w:eastAsia="en-GB"/>
        </w:rPr>
        <w:t>with</w:t>
      </w:r>
      <w:r w:rsidRPr="00D43A59">
        <w:rPr>
          <w:rFonts w:eastAsia="Times New Roman" w:cs="Arial"/>
          <w:spacing w:val="1"/>
          <w:szCs w:val="24"/>
          <w:lang w:eastAsia="en-GB"/>
        </w:rPr>
        <w:t xml:space="preserve"> </w:t>
      </w:r>
      <w:r w:rsidRPr="00D43A59">
        <w:rPr>
          <w:rFonts w:eastAsia="Times New Roman" w:cs="Arial"/>
          <w:spacing w:val="-1"/>
          <w:szCs w:val="24"/>
          <w:lang w:eastAsia="en-GB"/>
        </w:rPr>
        <w:t>the</w:t>
      </w:r>
      <w:r w:rsidRPr="00D43A59">
        <w:rPr>
          <w:rFonts w:eastAsia="Times New Roman" w:cs="Arial"/>
          <w:spacing w:val="1"/>
          <w:szCs w:val="24"/>
          <w:lang w:eastAsia="en-GB"/>
        </w:rPr>
        <w:t xml:space="preserve"> </w:t>
      </w:r>
      <w:r w:rsidRPr="00D43A59">
        <w:rPr>
          <w:rFonts w:eastAsia="Times New Roman" w:cs="Arial"/>
          <w:spacing w:val="-1"/>
          <w:szCs w:val="24"/>
          <w:lang w:eastAsia="en-GB"/>
        </w:rPr>
        <w:t>terms</w:t>
      </w:r>
      <w:r w:rsidRPr="00D43A59">
        <w:rPr>
          <w:rFonts w:eastAsia="Times New Roman" w:cs="Arial"/>
          <w:szCs w:val="24"/>
          <w:lang w:eastAsia="en-GB"/>
        </w:rPr>
        <w:t xml:space="preserve"> </w:t>
      </w:r>
      <w:r w:rsidRPr="00D43A59">
        <w:rPr>
          <w:rFonts w:eastAsia="Times New Roman" w:cs="Arial"/>
          <w:spacing w:val="-1"/>
          <w:szCs w:val="24"/>
          <w:lang w:eastAsia="en-GB"/>
        </w:rPr>
        <w:t>of</w:t>
      </w:r>
      <w:r w:rsidRPr="00D43A59">
        <w:rPr>
          <w:rFonts w:eastAsia="Times New Roman" w:cs="Arial"/>
          <w:szCs w:val="24"/>
          <w:lang w:eastAsia="en-GB"/>
        </w:rPr>
        <w:t xml:space="preserve"> the</w:t>
      </w:r>
      <w:r w:rsidRPr="00D43A59">
        <w:rPr>
          <w:rFonts w:eastAsia="Times New Roman" w:cs="Arial"/>
          <w:spacing w:val="-1"/>
          <w:szCs w:val="24"/>
          <w:lang w:eastAsia="en-GB"/>
        </w:rPr>
        <w:t xml:space="preserve"> Section </w:t>
      </w:r>
      <w:r w:rsidRPr="00D43A59">
        <w:rPr>
          <w:rFonts w:eastAsia="Times New Roman" w:cs="Arial"/>
          <w:szCs w:val="24"/>
          <w:lang w:eastAsia="en-GB"/>
        </w:rPr>
        <w:t>75</w:t>
      </w:r>
      <w:r w:rsidRPr="00D43A59">
        <w:rPr>
          <w:rFonts w:eastAsia="Times New Roman" w:cs="Arial"/>
          <w:spacing w:val="-1"/>
          <w:szCs w:val="24"/>
          <w:lang w:eastAsia="en-GB"/>
        </w:rPr>
        <w:t xml:space="preserve"> Better</w:t>
      </w:r>
      <w:r w:rsidRPr="00D43A59">
        <w:rPr>
          <w:rFonts w:eastAsia="Times New Roman" w:cs="Arial"/>
          <w:spacing w:val="-3"/>
          <w:szCs w:val="24"/>
          <w:lang w:eastAsia="en-GB"/>
        </w:rPr>
        <w:t xml:space="preserve"> </w:t>
      </w:r>
      <w:r w:rsidRPr="00D43A59">
        <w:rPr>
          <w:rFonts w:eastAsia="Times New Roman" w:cs="Arial"/>
          <w:spacing w:val="-1"/>
          <w:szCs w:val="24"/>
          <w:lang w:eastAsia="en-GB"/>
        </w:rPr>
        <w:t>Care</w:t>
      </w:r>
      <w:r w:rsidRPr="00D43A59">
        <w:rPr>
          <w:rFonts w:eastAsia="Times New Roman" w:cs="Arial"/>
          <w:spacing w:val="1"/>
          <w:szCs w:val="24"/>
          <w:lang w:eastAsia="en-GB"/>
        </w:rPr>
        <w:t xml:space="preserve"> </w:t>
      </w:r>
      <w:r w:rsidRPr="00D43A59">
        <w:rPr>
          <w:rFonts w:eastAsia="Times New Roman" w:cs="Arial"/>
          <w:spacing w:val="-1"/>
          <w:szCs w:val="24"/>
          <w:lang w:eastAsia="en-GB"/>
        </w:rPr>
        <w:t>Fund</w:t>
      </w:r>
      <w:r w:rsidRPr="00D43A59">
        <w:rPr>
          <w:rFonts w:eastAsia="Times New Roman" w:cs="Arial"/>
          <w:spacing w:val="1"/>
          <w:szCs w:val="24"/>
          <w:lang w:eastAsia="en-GB"/>
        </w:rPr>
        <w:t xml:space="preserve"> </w:t>
      </w:r>
      <w:r w:rsidRPr="00D43A59">
        <w:rPr>
          <w:rFonts w:eastAsia="Times New Roman" w:cs="Arial"/>
          <w:spacing w:val="-1"/>
          <w:szCs w:val="24"/>
          <w:lang w:eastAsia="en-GB"/>
        </w:rPr>
        <w:t>Agreement,</w:t>
      </w:r>
      <w:r w:rsidRPr="00D43A59">
        <w:rPr>
          <w:rFonts w:eastAsia="Times New Roman" w:cs="Arial"/>
          <w:spacing w:val="-2"/>
          <w:szCs w:val="24"/>
          <w:lang w:eastAsia="en-GB"/>
        </w:rPr>
        <w:t xml:space="preserve"> </w:t>
      </w:r>
      <w:r w:rsidRPr="00D43A59">
        <w:rPr>
          <w:rFonts w:eastAsia="Times New Roman" w:cs="Arial"/>
          <w:spacing w:val="-1"/>
          <w:szCs w:val="24"/>
          <w:lang w:eastAsia="en-GB"/>
        </w:rPr>
        <w:t xml:space="preserve">decision-making relating </w:t>
      </w:r>
      <w:r w:rsidRPr="00D43A59">
        <w:rPr>
          <w:rFonts w:eastAsia="Times New Roman" w:cs="Arial"/>
          <w:szCs w:val="24"/>
          <w:lang w:eastAsia="en-GB"/>
        </w:rPr>
        <w:t>to</w:t>
      </w:r>
      <w:r w:rsidRPr="00D43A59">
        <w:rPr>
          <w:rFonts w:eastAsia="Times New Roman" w:cs="Arial"/>
          <w:spacing w:val="65"/>
          <w:szCs w:val="24"/>
          <w:lang w:eastAsia="en-GB"/>
        </w:rPr>
        <w:t xml:space="preserve"> </w:t>
      </w:r>
      <w:r w:rsidRPr="00D43A59">
        <w:rPr>
          <w:rFonts w:eastAsia="Times New Roman" w:cs="Arial"/>
          <w:szCs w:val="24"/>
          <w:lang w:eastAsia="en-GB"/>
        </w:rPr>
        <w:t>the</w:t>
      </w:r>
      <w:r w:rsidRPr="00D43A59">
        <w:rPr>
          <w:rFonts w:eastAsia="Times New Roman" w:cs="Arial"/>
          <w:spacing w:val="1"/>
          <w:szCs w:val="24"/>
          <w:lang w:eastAsia="en-GB"/>
        </w:rPr>
        <w:t xml:space="preserve"> </w:t>
      </w:r>
      <w:r w:rsidRPr="00D43A59">
        <w:rPr>
          <w:rFonts w:eastAsia="Times New Roman" w:cs="Arial"/>
          <w:spacing w:val="-1"/>
          <w:szCs w:val="24"/>
          <w:lang w:eastAsia="en-GB"/>
        </w:rPr>
        <w:t>BCF</w:t>
      </w:r>
      <w:r w:rsidRPr="00D43A59">
        <w:rPr>
          <w:rFonts w:eastAsia="Times New Roman" w:cs="Arial"/>
          <w:szCs w:val="24"/>
          <w:lang w:eastAsia="en-GB"/>
        </w:rPr>
        <w:t xml:space="preserve"> </w:t>
      </w:r>
      <w:r w:rsidRPr="00D43A59">
        <w:rPr>
          <w:rFonts w:eastAsia="Times New Roman" w:cs="Arial"/>
          <w:spacing w:val="-1"/>
          <w:szCs w:val="24"/>
          <w:lang w:eastAsia="en-GB"/>
        </w:rPr>
        <w:t>is</w:t>
      </w:r>
      <w:r w:rsidRPr="00D43A59">
        <w:rPr>
          <w:rFonts w:eastAsia="Times New Roman" w:cs="Arial"/>
          <w:spacing w:val="-2"/>
          <w:szCs w:val="24"/>
          <w:lang w:eastAsia="en-GB"/>
        </w:rPr>
        <w:t xml:space="preserve"> </w:t>
      </w:r>
      <w:r w:rsidRPr="00D43A59">
        <w:rPr>
          <w:rFonts w:eastAsia="Times New Roman" w:cs="Arial"/>
          <w:spacing w:val="-1"/>
          <w:szCs w:val="24"/>
          <w:lang w:eastAsia="en-GB"/>
        </w:rPr>
        <w:t>delegated</w:t>
      </w:r>
      <w:r w:rsidRPr="00D43A59">
        <w:rPr>
          <w:rFonts w:eastAsia="Times New Roman" w:cs="Arial"/>
          <w:spacing w:val="1"/>
          <w:szCs w:val="24"/>
          <w:lang w:eastAsia="en-GB"/>
        </w:rPr>
        <w:t xml:space="preserve"> </w:t>
      </w:r>
      <w:r w:rsidRPr="00D43A59">
        <w:rPr>
          <w:rFonts w:eastAsia="Times New Roman" w:cs="Arial"/>
          <w:spacing w:val="-1"/>
          <w:szCs w:val="24"/>
          <w:lang w:eastAsia="en-GB"/>
        </w:rPr>
        <w:t>to</w:t>
      </w:r>
      <w:r w:rsidRPr="00D43A59">
        <w:rPr>
          <w:rFonts w:eastAsia="Times New Roman" w:cs="Arial"/>
          <w:spacing w:val="1"/>
          <w:szCs w:val="24"/>
          <w:lang w:eastAsia="en-GB"/>
        </w:rPr>
        <w:t xml:space="preserve"> </w:t>
      </w:r>
      <w:r w:rsidRPr="00D43A59">
        <w:rPr>
          <w:rFonts w:eastAsia="Times New Roman" w:cs="Arial"/>
          <w:spacing w:val="-1"/>
          <w:szCs w:val="24"/>
          <w:lang w:eastAsia="en-GB"/>
        </w:rPr>
        <w:t>two</w:t>
      </w:r>
      <w:r w:rsidRPr="00D43A59">
        <w:rPr>
          <w:rFonts w:eastAsia="Times New Roman" w:cs="Arial"/>
          <w:spacing w:val="1"/>
          <w:szCs w:val="24"/>
          <w:lang w:eastAsia="en-GB"/>
        </w:rPr>
        <w:t xml:space="preserve"> </w:t>
      </w:r>
      <w:r w:rsidRPr="00D43A59">
        <w:rPr>
          <w:rFonts w:eastAsia="Times New Roman" w:cs="Arial"/>
          <w:spacing w:val="-1"/>
          <w:szCs w:val="24"/>
          <w:lang w:eastAsia="en-GB"/>
        </w:rPr>
        <w:t>nominated</w:t>
      </w:r>
      <w:r w:rsidRPr="00D43A59">
        <w:rPr>
          <w:rFonts w:eastAsia="Times New Roman" w:cs="Arial"/>
          <w:spacing w:val="1"/>
          <w:szCs w:val="24"/>
          <w:lang w:eastAsia="en-GB"/>
        </w:rPr>
        <w:t xml:space="preserve"> </w:t>
      </w:r>
      <w:r w:rsidRPr="00D43A59">
        <w:rPr>
          <w:rFonts w:eastAsia="Times New Roman" w:cs="Arial"/>
          <w:spacing w:val="-1"/>
          <w:szCs w:val="24"/>
          <w:lang w:eastAsia="en-GB"/>
        </w:rPr>
        <w:t>representatives</w:t>
      </w:r>
      <w:r w:rsidRPr="00D43A59">
        <w:rPr>
          <w:rFonts w:eastAsia="Times New Roman" w:cs="Arial"/>
          <w:szCs w:val="24"/>
          <w:lang w:eastAsia="en-GB"/>
        </w:rPr>
        <w:t xml:space="preserve"> </w:t>
      </w:r>
      <w:r w:rsidRPr="00D43A59">
        <w:rPr>
          <w:rFonts w:eastAsia="Times New Roman" w:cs="Arial"/>
          <w:spacing w:val="-1"/>
          <w:szCs w:val="24"/>
          <w:lang w:eastAsia="en-GB"/>
        </w:rPr>
        <w:t>of</w:t>
      </w:r>
      <w:r w:rsidRPr="00D43A59">
        <w:rPr>
          <w:rFonts w:eastAsia="Times New Roman" w:cs="Arial"/>
          <w:spacing w:val="3"/>
          <w:szCs w:val="24"/>
          <w:lang w:eastAsia="en-GB"/>
        </w:rPr>
        <w:t xml:space="preserve"> </w:t>
      </w:r>
      <w:r w:rsidRPr="00D43A59">
        <w:rPr>
          <w:rFonts w:eastAsia="Times New Roman" w:cs="Arial"/>
          <w:spacing w:val="-1"/>
          <w:szCs w:val="24"/>
          <w:lang w:eastAsia="en-GB"/>
        </w:rPr>
        <w:t>the</w:t>
      </w:r>
      <w:r w:rsidRPr="00D43A59">
        <w:rPr>
          <w:rFonts w:eastAsia="Times New Roman" w:cs="Arial"/>
          <w:spacing w:val="1"/>
          <w:szCs w:val="24"/>
          <w:lang w:eastAsia="en-GB"/>
        </w:rPr>
        <w:t xml:space="preserve"> </w:t>
      </w:r>
      <w:r w:rsidRPr="00D43A59">
        <w:rPr>
          <w:rFonts w:eastAsia="Times New Roman" w:cs="Arial"/>
          <w:spacing w:val="-1"/>
          <w:szCs w:val="24"/>
          <w:lang w:eastAsia="en-GB"/>
        </w:rPr>
        <w:t>CCG</w:t>
      </w:r>
      <w:r w:rsidRPr="00D43A59">
        <w:rPr>
          <w:rFonts w:eastAsia="Times New Roman" w:cs="Arial"/>
          <w:spacing w:val="-2"/>
          <w:szCs w:val="24"/>
          <w:lang w:eastAsia="en-GB"/>
        </w:rPr>
        <w:t xml:space="preserve"> </w:t>
      </w:r>
      <w:r w:rsidRPr="00D43A59">
        <w:rPr>
          <w:rFonts w:eastAsia="Times New Roman" w:cs="Arial"/>
          <w:szCs w:val="24"/>
          <w:lang w:eastAsia="en-GB"/>
        </w:rPr>
        <w:t>and</w:t>
      </w:r>
      <w:r w:rsidRPr="00D43A59">
        <w:rPr>
          <w:rFonts w:eastAsia="Times New Roman" w:cs="Arial"/>
          <w:spacing w:val="-1"/>
          <w:szCs w:val="24"/>
          <w:lang w:eastAsia="en-GB"/>
        </w:rPr>
        <w:t xml:space="preserve"> two</w:t>
      </w:r>
      <w:r w:rsidRPr="00D43A59">
        <w:rPr>
          <w:rFonts w:eastAsia="Times New Roman" w:cs="Arial"/>
          <w:spacing w:val="1"/>
          <w:szCs w:val="24"/>
          <w:lang w:eastAsia="en-GB"/>
        </w:rPr>
        <w:t xml:space="preserve"> </w:t>
      </w:r>
      <w:r w:rsidRPr="00D43A59">
        <w:rPr>
          <w:rFonts w:eastAsia="Times New Roman" w:cs="Arial"/>
          <w:spacing w:val="-1"/>
          <w:szCs w:val="24"/>
          <w:lang w:eastAsia="en-GB"/>
        </w:rPr>
        <w:t>representatives</w:t>
      </w:r>
      <w:r w:rsidRPr="00D43A59">
        <w:rPr>
          <w:rFonts w:eastAsia="Times New Roman" w:cs="Arial"/>
          <w:szCs w:val="24"/>
          <w:lang w:eastAsia="en-GB"/>
        </w:rPr>
        <w:t xml:space="preserve"> </w:t>
      </w:r>
      <w:r w:rsidRPr="00D43A59">
        <w:rPr>
          <w:rFonts w:eastAsia="Times New Roman" w:cs="Arial"/>
          <w:spacing w:val="-1"/>
          <w:szCs w:val="24"/>
          <w:lang w:eastAsia="en-GB"/>
        </w:rPr>
        <w:t>of</w:t>
      </w:r>
      <w:r w:rsidRPr="00D43A59">
        <w:rPr>
          <w:rFonts w:eastAsia="Times New Roman" w:cs="Arial"/>
          <w:spacing w:val="49"/>
          <w:szCs w:val="24"/>
          <w:lang w:eastAsia="en-GB"/>
        </w:rPr>
        <w:t xml:space="preserve"> </w:t>
      </w:r>
      <w:r w:rsidRPr="00D43A59">
        <w:rPr>
          <w:rFonts w:eastAsia="Times New Roman" w:cs="Arial"/>
          <w:szCs w:val="24"/>
          <w:lang w:eastAsia="en-GB"/>
        </w:rPr>
        <w:t>Essex</w:t>
      </w:r>
      <w:r w:rsidRPr="00D43A59">
        <w:rPr>
          <w:rFonts w:eastAsia="Times New Roman" w:cs="Arial"/>
          <w:spacing w:val="-2"/>
          <w:szCs w:val="24"/>
          <w:lang w:eastAsia="en-GB"/>
        </w:rPr>
        <w:t xml:space="preserve"> </w:t>
      </w:r>
      <w:r w:rsidRPr="00D43A59">
        <w:rPr>
          <w:rFonts w:eastAsia="Times New Roman" w:cs="Arial"/>
          <w:spacing w:val="-1"/>
          <w:szCs w:val="24"/>
          <w:lang w:eastAsia="en-GB"/>
        </w:rPr>
        <w:t>County</w:t>
      </w:r>
      <w:r w:rsidRPr="00D43A59">
        <w:rPr>
          <w:rFonts w:eastAsia="Times New Roman" w:cs="Arial"/>
          <w:spacing w:val="-2"/>
          <w:szCs w:val="24"/>
          <w:lang w:eastAsia="en-GB"/>
        </w:rPr>
        <w:t xml:space="preserve"> </w:t>
      </w:r>
      <w:r w:rsidRPr="00D43A59">
        <w:rPr>
          <w:rFonts w:eastAsia="Times New Roman" w:cs="Arial"/>
          <w:spacing w:val="-1"/>
          <w:szCs w:val="24"/>
          <w:lang w:eastAsia="en-GB"/>
        </w:rPr>
        <w:t>Council.</w:t>
      </w:r>
      <w:r w:rsidRPr="00D43A59">
        <w:rPr>
          <w:rFonts w:eastAsia="Times New Roman" w:cs="Arial"/>
          <w:spacing w:val="-2"/>
          <w:szCs w:val="24"/>
          <w:lang w:eastAsia="en-GB"/>
        </w:rPr>
        <w:t xml:space="preserve"> </w:t>
      </w:r>
      <w:r w:rsidRPr="00D43A59">
        <w:rPr>
          <w:rFonts w:eastAsia="Times New Roman" w:cs="Arial"/>
          <w:spacing w:val="-1"/>
          <w:szCs w:val="24"/>
          <w:lang w:eastAsia="en-GB"/>
        </w:rPr>
        <w:t>Utilisation</w:t>
      </w:r>
      <w:r w:rsidRPr="00D43A59">
        <w:rPr>
          <w:rFonts w:eastAsia="Times New Roman" w:cs="Arial"/>
          <w:spacing w:val="1"/>
          <w:szCs w:val="24"/>
          <w:lang w:eastAsia="en-GB"/>
        </w:rPr>
        <w:t xml:space="preserve"> </w:t>
      </w:r>
      <w:r w:rsidRPr="00D43A59">
        <w:rPr>
          <w:rFonts w:eastAsia="Times New Roman" w:cs="Arial"/>
          <w:spacing w:val="-1"/>
          <w:szCs w:val="24"/>
          <w:lang w:eastAsia="en-GB"/>
        </w:rPr>
        <w:t>of</w:t>
      </w:r>
      <w:r w:rsidRPr="00D43A59">
        <w:rPr>
          <w:rFonts w:eastAsia="Times New Roman" w:cs="Arial"/>
          <w:szCs w:val="24"/>
          <w:lang w:eastAsia="en-GB"/>
        </w:rPr>
        <w:t xml:space="preserve"> </w:t>
      </w:r>
      <w:r w:rsidRPr="00D43A59">
        <w:rPr>
          <w:rFonts w:eastAsia="Times New Roman" w:cs="Arial"/>
          <w:spacing w:val="-1"/>
          <w:szCs w:val="24"/>
          <w:lang w:eastAsia="en-GB"/>
        </w:rPr>
        <w:t>the</w:t>
      </w:r>
      <w:r w:rsidRPr="00D43A59">
        <w:rPr>
          <w:rFonts w:eastAsia="Times New Roman" w:cs="Arial"/>
          <w:spacing w:val="1"/>
          <w:szCs w:val="24"/>
          <w:lang w:eastAsia="en-GB"/>
        </w:rPr>
        <w:t xml:space="preserve"> </w:t>
      </w:r>
      <w:r w:rsidRPr="00D43A59">
        <w:rPr>
          <w:rFonts w:eastAsia="Times New Roman" w:cs="Arial"/>
          <w:spacing w:val="-1"/>
          <w:szCs w:val="24"/>
          <w:lang w:eastAsia="en-GB"/>
        </w:rPr>
        <w:t>BCF</w:t>
      </w:r>
      <w:r w:rsidRPr="00D43A59">
        <w:rPr>
          <w:rFonts w:eastAsia="Times New Roman" w:cs="Arial"/>
          <w:spacing w:val="-3"/>
          <w:szCs w:val="24"/>
          <w:lang w:eastAsia="en-GB"/>
        </w:rPr>
        <w:t xml:space="preserve"> </w:t>
      </w:r>
      <w:r w:rsidRPr="00D43A59">
        <w:rPr>
          <w:rFonts w:eastAsia="Times New Roman" w:cs="Arial"/>
          <w:szCs w:val="24"/>
          <w:lang w:eastAsia="en-GB"/>
        </w:rPr>
        <w:t xml:space="preserve">funds </w:t>
      </w:r>
      <w:r w:rsidRPr="00D43A59">
        <w:rPr>
          <w:rFonts w:eastAsia="Times New Roman" w:cs="Arial"/>
          <w:spacing w:val="-1"/>
          <w:szCs w:val="24"/>
          <w:lang w:eastAsia="en-GB"/>
        </w:rPr>
        <w:t>was</w:t>
      </w:r>
      <w:r w:rsidRPr="00D43A59">
        <w:rPr>
          <w:rFonts w:eastAsia="Times New Roman" w:cs="Arial"/>
          <w:szCs w:val="24"/>
          <w:lang w:eastAsia="en-GB"/>
        </w:rPr>
        <w:t xml:space="preserve"> </w:t>
      </w:r>
      <w:r w:rsidRPr="00D43A59">
        <w:rPr>
          <w:rFonts w:eastAsia="Times New Roman" w:cs="Arial"/>
          <w:spacing w:val="-1"/>
          <w:szCs w:val="24"/>
          <w:lang w:eastAsia="en-GB"/>
        </w:rPr>
        <w:t>agreed in</w:t>
      </w:r>
      <w:r w:rsidRPr="00D43A59">
        <w:rPr>
          <w:rFonts w:eastAsia="Times New Roman" w:cs="Arial"/>
          <w:spacing w:val="1"/>
          <w:szCs w:val="24"/>
          <w:lang w:eastAsia="en-GB"/>
        </w:rPr>
        <w:t xml:space="preserve"> </w:t>
      </w:r>
      <w:r w:rsidRPr="00D43A59">
        <w:rPr>
          <w:rFonts w:eastAsia="Times New Roman" w:cs="Arial"/>
          <w:spacing w:val="-2"/>
          <w:szCs w:val="24"/>
          <w:lang w:eastAsia="en-GB"/>
        </w:rPr>
        <w:t>the</w:t>
      </w:r>
      <w:r w:rsidRPr="00D43A59">
        <w:rPr>
          <w:rFonts w:eastAsia="Times New Roman" w:cs="Arial"/>
          <w:spacing w:val="1"/>
          <w:szCs w:val="24"/>
          <w:lang w:eastAsia="en-GB"/>
        </w:rPr>
        <w:t xml:space="preserve"> </w:t>
      </w:r>
      <w:r w:rsidRPr="00D43A59">
        <w:rPr>
          <w:rFonts w:eastAsia="Times New Roman" w:cs="Arial"/>
          <w:spacing w:val="-1"/>
          <w:szCs w:val="24"/>
          <w:lang w:eastAsia="en-GB"/>
        </w:rPr>
        <w:t xml:space="preserve">Section </w:t>
      </w:r>
      <w:r w:rsidRPr="00D43A59">
        <w:rPr>
          <w:rFonts w:eastAsia="Times New Roman" w:cs="Arial"/>
          <w:szCs w:val="24"/>
          <w:lang w:eastAsia="en-GB"/>
        </w:rPr>
        <w:t>75</w:t>
      </w:r>
      <w:r w:rsidRPr="00D43A59">
        <w:rPr>
          <w:rFonts w:eastAsia="Times New Roman" w:cs="Arial"/>
          <w:spacing w:val="-1"/>
          <w:szCs w:val="24"/>
          <w:lang w:eastAsia="en-GB"/>
        </w:rPr>
        <w:t xml:space="preserve"> Agreement</w:t>
      </w:r>
      <w:r w:rsidRPr="00D43A59">
        <w:rPr>
          <w:rFonts w:eastAsia="Times New Roman" w:cs="Arial"/>
          <w:szCs w:val="24"/>
          <w:lang w:eastAsia="en-GB"/>
        </w:rPr>
        <w:t xml:space="preserve"> </w:t>
      </w:r>
      <w:r w:rsidRPr="00D43A59">
        <w:rPr>
          <w:rFonts w:eastAsia="Times New Roman" w:cs="Arial"/>
          <w:spacing w:val="-1"/>
          <w:szCs w:val="24"/>
          <w:lang w:eastAsia="en-GB"/>
        </w:rPr>
        <w:t>and</w:t>
      </w:r>
      <w:r w:rsidRPr="00D43A59">
        <w:rPr>
          <w:rFonts w:eastAsia="Times New Roman" w:cs="Arial"/>
          <w:spacing w:val="71"/>
          <w:szCs w:val="24"/>
          <w:lang w:eastAsia="en-GB"/>
        </w:rPr>
        <w:t xml:space="preserve"> </w:t>
      </w:r>
      <w:r w:rsidRPr="00D43A59">
        <w:rPr>
          <w:rFonts w:eastAsia="Times New Roman" w:cs="Arial"/>
          <w:spacing w:val="-1"/>
          <w:szCs w:val="24"/>
          <w:lang w:eastAsia="en-GB"/>
        </w:rPr>
        <w:t>in-year reporting focused</w:t>
      </w:r>
      <w:r w:rsidRPr="00D43A59">
        <w:rPr>
          <w:rFonts w:eastAsia="Times New Roman" w:cs="Arial"/>
          <w:spacing w:val="1"/>
          <w:szCs w:val="24"/>
          <w:lang w:eastAsia="en-GB"/>
        </w:rPr>
        <w:t xml:space="preserve"> </w:t>
      </w:r>
      <w:r w:rsidRPr="00D43A59">
        <w:rPr>
          <w:rFonts w:eastAsia="Times New Roman" w:cs="Arial"/>
          <w:spacing w:val="-1"/>
          <w:szCs w:val="24"/>
          <w:lang w:eastAsia="en-GB"/>
        </w:rPr>
        <w:t>upon expenditure on</w:t>
      </w:r>
      <w:r w:rsidRPr="00D43A59">
        <w:rPr>
          <w:rFonts w:eastAsia="Times New Roman" w:cs="Arial"/>
          <w:spacing w:val="1"/>
          <w:szCs w:val="24"/>
          <w:lang w:eastAsia="en-GB"/>
        </w:rPr>
        <w:t xml:space="preserve"> </w:t>
      </w:r>
      <w:r w:rsidRPr="00D43A59">
        <w:rPr>
          <w:rFonts w:eastAsia="Times New Roman" w:cs="Arial"/>
          <w:spacing w:val="-1"/>
          <w:szCs w:val="24"/>
          <w:lang w:eastAsia="en-GB"/>
        </w:rPr>
        <w:t>the</w:t>
      </w:r>
      <w:r w:rsidRPr="00D43A59">
        <w:rPr>
          <w:rFonts w:eastAsia="Times New Roman" w:cs="Arial"/>
          <w:spacing w:val="1"/>
          <w:szCs w:val="24"/>
          <w:lang w:eastAsia="en-GB"/>
        </w:rPr>
        <w:t xml:space="preserve"> </w:t>
      </w:r>
      <w:r w:rsidRPr="00D43A59">
        <w:rPr>
          <w:rFonts w:eastAsia="Times New Roman" w:cs="Arial"/>
          <w:spacing w:val="-1"/>
          <w:szCs w:val="24"/>
          <w:lang w:eastAsia="en-GB"/>
        </w:rPr>
        <w:t>approved</w:t>
      </w:r>
      <w:r w:rsidRPr="00D43A59">
        <w:rPr>
          <w:rFonts w:eastAsia="Times New Roman" w:cs="Arial"/>
          <w:spacing w:val="1"/>
          <w:szCs w:val="24"/>
          <w:lang w:eastAsia="en-GB"/>
        </w:rPr>
        <w:t xml:space="preserve"> </w:t>
      </w:r>
      <w:r w:rsidRPr="00D43A59">
        <w:rPr>
          <w:rFonts w:eastAsia="Times New Roman" w:cs="Arial"/>
          <w:spacing w:val="-1"/>
          <w:szCs w:val="24"/>
          <w:lang w:eastAsia="en-GB"/>
        </w:rPr>
        <w:t>services</w:t>
      </w:r>
      <w:r w:rsidRPr="00D43A59">
        <w:rPr>
          <w:rFonts w:eastAsia="Times New Roman" w:cs="Arial"/>
          <w:szCs w:val="24"/>
          <w:lang w:eastAsia="en-GB"/>
        </w:rPr>
        <w:t xml:space="preserve"> and</w:t>
      </w:r>
      <w:r w:rsidRPr="00D43A59">
        <w:rPr>
          <w:rFonts w:eastAsia="Times New Roman" w:cs="Arial"/>
          <w:spacing w:val="-1"/>
          <w:szCs w:val="24"/>
          <w:lang w:eastAsia="en-GB"/>
        </w:rPr>
        <w:t xml:space="preserve"> monitoring against</w:t>
      </w:r>
      <w:r w:rsidRPr="00D43A59">
        <w:rPr>
          <w:rFonts w:eastAsia="Times New Roman" w:cs="Arial"/>
          <w:spacing w:val="65"/>
          <w:szCs w:val="24"/>
          <w:lang w:eastAsia="en-GB"/>
        </w:rPr>
        <w:t xml:space="preserve"> </w:t>
      </w:r>
      <w:bookmarkStart w:id="115" w:name="Mid_and_South_Essex_STP_CCG_Joint_Commis"/>
      <w:bookmarkEnd w:id="115"/>
      <w:r w:rsidRPr="00D43A59">
        <w:rPr>
          <w:rFonts w:eastAsia="Times New Roman" w:cs="Arial"/>
          <w:spacing w:val="-1"/>
          <w:szCs w:val="24"/>
          <w:lang w:eastAsia="en-GB"/>
        </w:rPr>
        <w:t>agreed</w:t>
      </w:r>
      <w:r w:rsidRPr="00D43A59">
        <w:rPr>
          <w:rFonts w:eastAsia="Times New Roman" w:cs="Arial"/>
          <w:spacing w:val="1"/>
          <w:szCs w:val="24"/>
          <w:lang w:eastAsia="en-GB"/>
        </w:rPr>
        <w:t xml:space="preserve"> </w:t>
      </w:r>
      <w:r w:rsidRPr="00D43A59">
        <w:rPr>
          <w:rFonts w:eastAsia="Times New Roman" w:cs="Arial"/>
          <w:spacing w:val="-1"/>
          <w:szCs w:val="24"/>
          <w:lang w:eastAsia="en-GB"/>
        </w:rPr>
        <w:t>performance targets.</w:t>
      </w:r>
    </w:p>
    <w:p w14:paraId="1550AE39" w14:textId="1BBC8569" w:rsidR="00D43A59" w:rsidRPr="00D43A59" w:rsidRDefault="00D43A59" w:rsidP="00BC3673">
      <w:pPr>
        <w:pStyle w:val="BodyText"/>
        <w:spacing w:before="360" w:after="360"/>
        <w:rPr>
          <w:b/>
          <w:bCs/>
          <w:lang w:eastAsia="en-GB"/>
        </w:rPr>
      </w:pPr>
      <w:r w:rsidRPr="00D43A59">
        <w:rPr>
          <w:b/>
          <w:bCs/>
          <w:spacing w:val="-1"/>
          <w:lang w:eastAsia="en-GB"/>
        </w:rPr>
        <w:t>Mid</w:t>
      </w:r>
      <w:r w:rsidRPr="00D43A59">
        <w:rPr>
          <w:b/>
          <w:bCs/>
          <w:spacing w:val="2"/>
          <w:lang w:eastAsia="en-GB"/>
        </w:rPr>
        <w:t xml:space="preserve"> </w:t>
      </w:r>
      <w:r w:rsidRPr="00D43A59">
        <w:rPr>
          <w:b/>
          <w:bCs/>
          <w:lang w:eastAsia="en-GB"/>
        </w:rPr>
        <w:t>and South</w:t>
      </w:r>
      <w:r w:rsidRPr="00D43A59">
        <w:rPr>
          <w:b/>
          <w:bCs/>
          <w:spacing w:val="2"/>
          <w:lang w:eastAsia="en-GB"/>
        </w:rPr>
        <w:t xml:space="preserve"> </w:t>
      </w:r>
      <w:r w:rsidRPr="00D43A59">
        <w:rPr>
          <w:b/>
          <w:bCs/>
          <w:lang w:eastAsia="en-GB"/>
        </w:rPr>
        <w:t>Essex</w:t>
      </w:r>
      <w:r w:rsidRPr="00D43A59">
        <w:rPr>
          <w:b/>
          <w:bCs/>
          <w:spacing w:val="3"/>
          <w:lang w:eastAsia="en-GB"/>
        </w:rPr>
        <w:t xml:space="preserve"> </w:t>
      </w:r>
      <w:r w:rsidRPr="00D43A59">
        <w:rPr>
          <w:b/>
          <w:bCs/>
          <w:spacing w:val="-1"/>
          <w:lang w:eastAsia="en-GB"/>
        </w:rPr>
        <w:t>STP</w:t>
      </w:r>
      <w:r w:rsidRPr="00D43A59">
        <w:rPr>
          <w:b/>
          <w:bCs/>
          <w:spacing w:val="3"/>
          <w:lang w:eastAsia="en-GB"/>
        </w:rPr>
        <w:t xml:space="preserve"> </w:t>
      </w:r>
      <w:r w:rsidRPr="00D43A59">
        <w:rPr>
          <w:b/>
          <w:bCs/>
          <w:lang w:eastAsia="en-GB"/>
        </w:rPr>
        <w:t>CCG</w:t>
      </w:r>
      <w:r w:rsidRPr="00D43A59">
        <w:rPr>
          <w:b/>
          <w:bCs/>
          <w:spacing w:val="1"/>
          <w:lang w:eastAsia="en-GB"/>
        </w:rPr>
        <w:t xml:space="preserve"> </w:t>
      </w:r>
      <w:r w:rsidRPr="00D43A59">
        <w:rPr>
          <w:b/>
          <w:bCs/>
          <w:lang w:eastAsia="en-GB"/>
        </w:rPr>
        <w:t>Joint</w:t>
      </w:r>
      <w:r w:rsidRPr="00D43A59">
        <w:rPr>
          <w:b/>
          <w:bCs/>
          <w:spacing w:val="2"/>
          <w:lang w:eastAsia="en-GB"/>
        </w:rPr>
        <w:t xml:space="preserve"> </w:t>
      </w:r>
      <w:r w:rsidRPr="00D43A59">
        <w:rPr>
          <w:b/>
          <w:bCs/>
          <w:lang w:eastAsia="en-GB"/>
        </w:rPr>
        <w:t>Commissioning</w:t>
      </w:r>
      <w:r w:rsidRPr="00D43A59">
        <w:rPr>
          <w:b/>
          <w:bCs/>
          <w:spacing w:val="2"/>
          <w:lang w:eastAsia="en-GB"/>
        </w:rPr>
        <w:t xml:space="preserve"> </w:t>
      </w:r>
      <w:r w:rsidRPr="00D43A59">
        <w:rPr>
          <w:b/>
          <w:bCs/>
          <w:lang w:eastAsia="en-GB"/>
        </w:rPr>
        <w:t>Committee</w:t>
      </w:r>
    </w:p>
    <w:p w14:paraId="53387AC7" w14:textId="77777777" w:rsidR="00D43A59" w:rsidRPr="00D43A59" w:rsidRDefault="00D43A59" w:rsidP="00BC3673">
      <w:pPr>
        <w:widowControl w:val="0"/>
        <w:kinsoku w:val="0"/>
        <w:overflowPunct w:val="0"/>
        <w:autoSpaceDE w:val="0"/>
        <w:autoSpaceDN w:val="0"/>
        <w:adjustRightInd w:val="0"/>
        <w:spacing w:after="0"/>
        <w:ind w:right="203"/>
        <w:rPr>
          <w:rFonts w:eastAsia="Times New Roman" w:cs="Arial"/>
          <w:spacing w:val="-1"/>
          <w:szCs w:val="24"/>
          <w:lang w:eastAsia="en-GB"/>
        </w:rPr>
      </w:pPr>
      <w:r w:rsidRPr="00D43A59">
        <w:rPr>
          <w:rFonts w:eastAsia="Times New Roman" w:cs="Arial"/>
          <w:szCs w:val="24"/>
          <w:lang w:eastAsia="en-GB"/>
        </w:rPr>
        <w:t xml:space="preserve">As </w:t>
      </w:r>
      <w:r w:rsidRPr="00D43A59">
        <w:rPr>
          <w:rFonts w:eastAsia="Times New Roman" w:cs="Arial"/>
          <w:spacing w:val="-1"/>
          <w:szCs w:val="24"/>
          <w:lang w:eastAsia="en-GB"/>
        </w:rPr>
        <w:t>outlined</w:t>
      </w:r>
      <w:r w:rsidRPr="00D43A59">
        <w:rPr>
          <w:rFonts w:eastAsia="Times New Roman" w:cs="Arial"/>
          <w:spacing w:val="1"/>
          <w:szCs w:val="24"/>
          <w:lang w:eastAsia="en-GB"/>
        </w:rPr>
        <w:t xml:space="preserve"> </w:t>
      </w:r>
      <w:r w:rsidRPr="00D43A59">
        <w:rPr>
          <w:rFonts w:eastAsia="Times New Roman" w:cs="Arial"/>
          <w:spacing w:val="-2"/>
          <w:szCs w:val="24"/>
          <w:lang w:eastAsia="en-GB"/>
        </w:rPr>
        <w:t>in</w:t>
      </w:r>
      <w:r w:rsidRPr="00D43A59">
        <w:rPr>
          <w:rFonts w:eastAsia="Times New Roman" w:cs="Arial"/>
          <w:spacing w:val="1"/>
          <w:szCs w:val="24"/>
          <w:lang w:eastAsia="en-GB"/>
        </w:rPr>
        <w:t xml:space="preserve"> </w:t>
      </w:r>
      <w:r w:rsidRPr="00D43A59">
        <w:rPr>
          <w:rFonts w:eastAsia="Times New Roman" w:cs="Arial"/>
          <w:spacing w:val="-1"/>
          <w:szCs w:val="24"/>
          <w:lang w:eastAsia="en-GB"/>
        </w:rPr>
        <w:t>the</w:t>
      </w:r>
      <w:r w:rsidRPr="00D43A59">
        <w:rPr>
          <w:rFonts w:eastAsia="Times New Roman" w:cs="Arial"/>
          <w:spacing w:val="1"/>
          <w:szCs w:val="24"/>
          <w:lang w:eastAsia="en-GB"/>
        </w:rPr>
        <w:t xml:space="preserve"> </w:t>
      </w:r>
      <w:r w:rsidRPr="00D43A59">
        <w:rPr>
          <w:rFonts w:eastAsia="Times New Roman" w:cs="Arial"/>
          <w:spacing w:val="-1"/>
          <w:szCs w:val="24"/>
          <w:lang w:eastAsia="en-GB"/>
        </w:rPr>
        <w:t>introduction,</w:t>
      </w:r>
      <w:r w:rsidRPr="00D43A59">
        <w:rPr>
          <w:rFonts w:eastAsia="Times New Roman" w:cs="Arial"/>
          <w:szCs w:val="24"/>
          <w:lang w:eastAsia="en-GB"/>
        </w:rPr>
        <w:t xml:space="preserve"> </w:t>
      </w:r>
      <w:r w:rsidRPr="00D43A59">
        <w:rPr>
          <w:rFonts w:eastAsia="Times New Roman" w:cs="Arial"/>
          <w:spacing w:val="-1"/>
          <w:szCs w:val="24"/>
          <w:lang w:eastAsia="en-GB"/>
        </w:rPr>
        <w:t>the five</w:t>
      </w:r>
      <w:r w:rsidRPr="00D43A59">
        <w:rPr>
          <w:rFonts w:eastAsia="Times New Roman" w:cs="Arial"/>
          <w:spacing w:val="1"/>
          <w:szCs w:val="24"/>
          <w:lang w:eastAsia="en-GB"/>
        </w:rPr>
        <w:t xml:space="preserve"> </w:t>
      </w:r>
      <w:r w:rsidRPr="00D43A59">
        <w:rPr>
          <w:rFonts w:eastAsia="Times New Roman" w:cs="Arial"/>
          <w:spacing w:val="-1"/>
          <w:szCs w:val="24"/>
          <w:lang w:eastAsia="en-GB"/>
        </w:rPr>
        <w:t>mid</w:t>
      </w:r>
      <w:r w:rsidRPr="00D43A59">
        <w:rPr>
          <w:rFonts w:eastAsia="Times New Roman" w:cs="Arial"/>
          <w:spacing w:val="1"/>
          <w:szCs w:val="24"/>
          <w:lang w:eastAsia="en-GB"/>
        </w:rPr>
        <w:t xml:space="preserve"> </w:t>
      </w:r>
      <w:r w:rsidRPr="00D43A59">
        <w:rPr>
          <w:rFonts w:eastAsia="Times New Roman" w:cs="Arial"/>
          <w:spacing w:val="-1"/>
          <w:szCs w:val="24"/>
          <w:lang w:eastAsia="en-GB"/>
        </w:rPr>
        <w:t>and</w:t>
      </w:r>
      <w:r w:rsidRPr="00D43A59">
        <w:rPr>
          <w:rFonts w:eastAsia="Times New Roman" w:cs="Arial"/>
          <w:spacing w:val="1"/>
          <w:szCs w:val="24"/>
          <w:lang w:eastAsia="en-GB"/>
        </w:rPr>
        <w:t xml:space="preserve"> </w:t>
      </w:r>
      <w:r w:rsidRPr="00D43A59">
        <w:rPr>
          <w:rFonts w:eastAsia="Times New Roman" w:cs="Arial"/>
          <w:spacing w:val="-1"/>
          <w:szCs w:val="24"/>
          <w:lang w:eastAsia="en-GB"/>
        </w:rPr>
        <w:t xml:space="preserve">south </w:t>
      </w:r>
      <w:r w:rsidRPr="00D43A59">
        <w:rPr>
          <w:rFonts w:eastAsia="Times New Roman" w:cs="Arial"/>
          <w:szCs w:val="24"/>
          <w:lang w:eastAsia="en-GB"/>
        </w:rPr>
        <w:t>Essex</w:t>
      </w:r>
      <w:r w:rsidRPr="00D43A59">
        <w:rPr>
          <w:rFonts w:eastAsia="Times New Roman" w:cs="Arial"/>
          <w:spacing w:val="-2"/>
          <w:szCs w:val="24"/>
          <w:lang w:eastAsia="en-GB"/>
        </w:rPr>
        <w:t xml:space="preserve"> </w:t>
      </w:r>
      <w:r w:rsidRPr="00D43A59">
        <w:rPr>
          <w:rFonts w:eastAsia="Times New Roman" w:cs="Arial"/>
          <w:spacing w:val="-1"/>
          <w:szCs w:val="24"/>
          <w:lang w:eastAsia="en-GB"/>
        </w:rPr>
        <w:t>CCGs</w:t>
      </w:r>
      <w:r w:rsidRPr="00D43A59">
        <w:rPr>
          <w:rFonts w:eastAsia="Times New Roman" w:cs="Arial"/>
          <w:szCs w:val="24"/>
          <w:lang w:eastAsia="en-GB"/>
        </w:rPr>
        <w:t xml:space="preserve"> </w:t>
      </w:r>
      <w:r w:rsidRPr="00D43A59">
        <w:rPr>
          <w:rFonts w:eastAsia="Times New Roman" w:cs="Arial"/>
          <w:spacing w:val="-1"/>
          <w:szCs w:val="24"/>
          <w:lang w:eastAsia="en-GB"/>
        </w:rPr>
        <w:t>formally</w:t>
      </w:r>
      <w:r w:rsidRPr="00D43A59">
        <w:rPr>
          <w:rFonts w:eastAsia="Times New Roman" w:cs="Arial"/>
          <w:spacing w:val="-2"/>
          <w:szCs w:val="24"/>
          <w:lang w:eastAsia="en-GB"/>
        </w:rPr>
        <w:t xml:space="preserve"> </w:t>
      </w:r>
      <w:r w:rsidRPr="00D43A59">
        <w:rPr>
          <w:rFonts w:eastAsia="Times New Roman" w:cs="Arial"/>
          <w:spacing w:val="-1"/>
          <w:szCs w:val="24"/>
          <w:lang w:eastAsia="en-GB"/>
        </w:rPr>
        <w:t xml:space="preserve">established </w:t>
      </w:r>
      <w:r w:rsidRPr="00D43A59">
        <w:rPr>
          <w:rFonts w:eastAsia="Times New Roman" w:cs="Arial"/>
          <w:szCs w:val="24"/>
          <w:lang w:eastAsia="en-GB"/>
        </w:rPr>
        <w:t>a</w:t>
      </w:r>
      <w:r w:rsidRPr="00D43A59">
        <w:rPr>
          <w:rFonts w:eastAsia="Times New Roman" w:cs="Arial"/>
          <w:spacing w:val="-1"/>
          <w:szCs w:val="24"/>
          <w:lang w:eastAsia="en-GB"/>
        </w:rPr>
        <w:t xml:space="preserve"> CCG</w:t>
      </w:r>
      <w:r w:rsidRPr="00D43A59">
        <w:rPr>
          <w:rFonts w:eastAsia="Times New Roman" w:cs="Arial"/>
          <w:spacing w:val="71"/>
          <w:szCs w:val="24"/>
          <w:lang w:eastAsia="en-GB"/>
        </w:rPr>
        <w:t xml:space="preserve"> </w:t>
      </w:r>
      <w:r w:rsidRPr="00D43A59">
        <w:rPr>
          <w:rFonts w:eastAsia="Times New Roman" w:cs="Arial"/>
          <w:spacing w:val="-1"/>
          <w:szCs w:val="24"/>
          <w:lang w:eastAsia="en-GB"/>
        </w:rPr>
        <w:t>Joint</w:t>
      </w:r>
      <w:r w:rsidRPr="00D43A59">
        <w:rPr>
          <w:rFonts w:eastAsia="Times New Roman" w:cs="Arial"/>
          <w:szCs w:val="24"/>
          <w:lang w:eastAsia="en-GB"/>
        </w:rPr>
        <w:t xml:space="preserve"> </w:t>
      </w:r>
      <w:r w:rsidRPr="00D43A59">
        <w:rPr>
          <w:rFonts w:eastAsia="Times New Roman" w:cs="Arial"/>
          <w:spacing w:val="-1"/>
          <w:szCs w:val="24"/>
          <w:lang w:eastAsia="en-GB"/>
        </w:rPr>
        <w:t xml:space="preserve">Committee (JC) </w:t>
      </w:r>
      <w:r w:rsidRPr="00D43A59">
        <w:rPr>
          <w:rFonts w:eastAsia="Times New Roman" w:cs="Arial"/>
          <w:szCs w:val="24"/>
          <w:lang w:eastAsia="en-GB"/>
        </w:rPr>
        <w:t>to</w:t>
      </w:r>
      <w:r w:rsidRPr="00D43A59">
        <w:rPr>
          <w:rFonts w:eastAsia="Times New Roman" w:cs="Arial"/>
          <w:spacing w:val="1"/>
          <w:szCs w:val="24"/>
          <w:lang w:eastAsia="en-GB"/>
        </w:rPr>
        <w:t xml:space="preserve"> </w:t>
      </w:r>
      <w:r w:rsidRPr="00D43A59">
        <w:rPr>
          <w:rFonts w:eastAsia="Times New Roman" w:cs="Arial"/>
          <w:szCs w:val="24"/>
          <w:lang w:eastAsia="en-GB"/>
        </w:rPr>
        <w:t xml:space="preserve">act </w:t>
      </w:r>
      <w:r w:rsidRPr="00D43A59">
        <w:rPr>
          <w:rFonts w:eastAsia="Times New Roman" w:cs="Arial"/>
          <w:spacing w:val="-1"/>
          <w:szCs w:val="24"/>
          <w:lang w:eastAsia="en-GB"/>
        </w:rPr>
        <w:t>collectively</w:t>
      </w:r>
      <w:r w:rsidRPr="00D43A59">
        <w:rPr>
          <w:rFonts w:eastAsia="Times New Roman" w:cs="Arial"/>
          <w:spacing w:val="-2"/>
          <w:szCs w:val="24"/>
          <w:lang w:eastAsia="en-GB"/>
        </w:rPr>
        <w:t xml:space="preserve"> </w:t>
      </w:r>
      <w:r w:rsidRPr="00D43A59">
        <w:rPr>
          <w:rFonts w:eastAsia="Times New Roman" w:cs="Arial"/>
          <w:spacing w:val="-1"/>
          <w:szCs w:val="24"/>
          <w:lang w:eastAsia="en-GB"/>
        </w:rPr>
        <w:t>in</w:t>
      </w:r>
      <w:r w:rsidRPr="00D43A59">
        <w:rPr>
          <w:rFonts w:eastAsia="Times New Roman" w:cs="Arial"/>
          <w:spacing w:val="1"/>
          <w:szCs w:val="24"/>
          <w:lang w:eastAsia="en-GB"/>
        </w:rPr>
        <w:t xml:space="preserve"> </w:t>
      </w:r>
      <w:r w:rsidRPr="00D43A59">
        <w:rPr>
          <w:rFonts w:eastAsia="Times New Roman" w:cs="Arial"/>
          <w:szCs w:val="24"/>
          <w:lang w:eastAsia="en-GB"/>
        </w:rPr>
        <w:t>the</w:t>
      </w:r>
      <w:r w:rsidRPr="00D43A59">
        <w:rPr>
          <w:rFonts w:eastAsia="Times New Roman" w:cs="Arial"/>
          <w:spacing w:val="1"/>
          <w:szCs w:val="24"/>
          <w:lang w:eastAsia="en-GB"/>
        </w:rPr>
        <w:t xml:space="preserve"> </w:t>
      </w:r>
      <w:r w:rsidRPr="00D43A59">
        <w:rPr>
          <w:rFonts w:eastAsia="Times New Roman" w:cs="Arial"/>
          <w:spacing w:val="-1"/>
          <w:szCs w:val="24"/>
          <w:lang w:eastAsia="en-GB"/>
        </w:rPr>
        <w:t>planning,</w:t>
      </w:r>
      <w:r w:rsidRPr="00D43A59">
        <w:rPr>
          <w:rFonts w:eastAsia="Times New Roman" w:cs="Arial"/>
          <w:szCs w:val="24"/>
          <w:lang w:eastAsia="en-GB"/>
        </w:rPr>
        <w:t xml:space="preserve"> </w:t>
      </w:r>
      <w:r w:rsidRPr="00D43A59">
        <w:rPr>
          <w:rFonts w:eastAsia="Times New Roman" w:cs="Arial"/>
          <w:spacing w:val="-1"/>
          <w:szCs w:val="24"/>
          <w:lang w:eastAsia="en-GB"/>
        </w:rPr>
        <w:t>securing and</w:t>
      </w:r>
      <w:r w:rsidRPr="00D43A59">
        <w:rPr>
          <w:rFonts w:eastAsia="Times New Roman" w:cs="Arial"/>
          <w:spacing w:val="1"/>
          <w:szCs w:val="24"/>
          <w:lang w:eastAsia="en-GB"/>
        </w:rPr>
        <w:t xml:space="preserve"> </w:t>
      </w:r>
      <w:r w:rsidRPr="00D43A59">
        <w:rPr>
          <w:rFonts w:eastAsia="Times New Roman" w:cs="Arial"/>
          <w:spacing w:val="-1"/>
          <w:szCs w:val="24"/>
          <w:lang w:eastAsia="en-GB"/>
        </w:rPr>
        <w:t>monitoring of</w:t>
      </w:r>
      <w:r w:rsidRPr="00D43A59">
        <w:rPr>
          <w:rFonts w:eastAsia="Times New Roman" w:cs="Arial"/>
          <w:szCs w:val="24"/>
          <w:lang w:eastAsia="en-GB"/>
        </w:rPr>
        <w:t xml:space="preserve"> </w:t>
      </w:r>
      <w:r w:rsidRPr="00D43A59">
        <w:rPr>
          <w:rFonts w:eastAsia="Times New Roman" w:cs="Arial"/>
          <w:spacing w:val="-1"/>
          <w:szCs w:val="24"/>
          <w:lang w:eastAsia="en-GB"/>
        </w:rPr>
        <w:t>services</w:t>
      </w:r>
      <w:r w:rsidRPr="00D43A59">
        <w:rPr>
          <w:rFonts w:eastAsia="Times New Roman" w:cs="Arial"/>
          <w:szCs w:val="24"/>
          <w:lang w:eastAsia="en-GB"/>
        </w:rPr>
        <w:t xml:space="preserve"> to</w:t>
      </w:r>
      <w:r w:rsidRPr="00D43A59">
        <w:rPr>
          <w:rFonts w:eastAsia="Times New Roman" w:cs="Arial"/>
          <w:spacing w:val="67"/>
          <w:szCs w:val="24"/>
          <w:lang w:eastAsia="en-GB"/>
        </w:rPr>
        <w:t xml:space="preserve"> </w:t>
      </w:r>
      <w:r w:rsidRPr="00D43A59">
        <w:rPr>
          <w:rFonts w:eastAsia="Times New Roman" w:cs="Arial"/>
          <w:spacing w:val="-1"/>
          <w:szCs w:val="24"/>
          <w:lang w:eastAsia="en-GB"/>
        </w:rPr>
        <w:t>meet</w:t>
      </w:r>
      <w:r w:rsidRPr="00D43A59">
        <w:rPr>
          <w:rFonts w:eastAsia="Times New Roman" w:cs="Arial"/>
          <w:szCs w:val="24"/>
          <w:lang w:eastAsia="en-GB"/>
        </w:rPr>
        <w:t xml:space="preserve"> </w:t>
      </w:r>
      <w:r w:rsidRPr="00D43A59">
        <w:rPr>
          <w:rFonts w:eastAsia="Times New Roman" w:cs="Arial"/>
          <w:spacing w:val="-1"/>
          <w:szCs w:val="24"/>
          <w:lang w:eastAsia="en-GB"/>
        </w:rPr>
        <w:t>the</w:t>
      </w:r>
      <w:r w:rsidRPr="00D43A59">
        <w:rPr>
          <w:rFonts w:eastAsia="Times New Roman" w:cs="Arial"/>
          <w:spacing w:val="1"/>
          <w:szCs w:val="24"/>
          <w:lang w:eastAsia="en-GB"/>
        </w:rPr>
        <w:t xml:space="preserve"> </w:t>
      </w:r>
      <w:r w:rsidRPr="00D43A59">
        <w:rPr>
          <w:rFonts w:eastAsia="Times New Roman" w:cs="Arial"/>
          <w:spacing w:val="-1"/>
          <w:szCs w:val="24"/>
          <w:lang w:eastAsia="en-GB"/>
        </w:rPr>
        <w:t>needs</w:t>
      </w:r>
      <w:r w:rsidRPr="00D43A59">
        <w:rPr>
          <w:rFonts w:eastAsia="Times New Roman" w:cs="Arial"/>
          <w:szCs w:val="24"/>
          <w:lang w:eastAsia="en-GB"/>
        </w:rPr>
        <w:t xml:space="preserve"> </w:t>
      </w:r>
      <w:r w:rsidRPr="00D43A59">
        <w:rPr>
          <w:rFonts w:eastAsia="Times New Roman" w:cs="Arial"/>
          <w:spacing w:val="-1"/>
          <w:szCs w:val="24"/>
          <w:lang w:eastAsia="en-GB"/>
        </w:rPr>
        <w:t>of</w:t>
      </w:r>
      <w:r w:rsidRPr="00D43A59">
        <w:rPr>
          <w:rFonts w:eastAsia="Times New Roman" w:cs="Arial"/>
          <w:szCs w:val="24"/>
          <w:lang w:eastAsia="en-GB"/>
        </w:rPr>
        <w:t xml:space="preserve"> </w:t>
      </w:r>
      <w:r w:rsidRPr="00D43A59">
        <w:rPr>
          <w:rFonts w:eastAsia="Times New Roman" w:cs="Arial"/>
          <w:spacing w:val="-1"/>
          <w:szCs w:val="24"/>
          <w:lang w:eastAsia="en-GB"/>
        </w:rPr>
        <w:t>their 1.2million</w:t>
      </w:r>
      <w:r w:rsidRPr="00D43A59">
        <w:rPr>
          <w:rFonts w:eastAsia="Times New Roman" w:cs="Arial"/>
          <w:spacing w:val="1"/>
          <w:szCs w:val="24"/>
          <w:lang w:eastAsia="en-GB"/>
        </w:rPr>
        <w:t xml:space="preserve"> </w:t>
      </w:r>
      <w:r w:rsidRPr="00D43A59">
        <w:rPr>
          <w:rFonts w:eastAsia="Times New Roman" w:cs="Arial"/>
          <w:spacing w:val="-1"/>
          <w:szCs w:val="24"/>
          <w:lang w:eastAsia="en-GB"/>
        </w:rPr>
        <w:t>population.</w:t>
      </w:r>
      <w:r w:rsidRPr="00D43A59">
        <w:rPr>
          <w:rFonts w:eastAsia="Times New Roman" w:cs="Arial"/>
          <w:spacing w:val="-2"/>
          <w:szCs w:val="24"/>
          <w:lang w:eastAsia="en-GB"/>
        </w:rPr>
        <w:t xml:space="preserve"> </w:t>
      </w:r>
      <w:r w:rsidRPr="00D43A59">
        <w:rPr>
          <w:rFonts w:eastAsia="Times New Roman" w:cs="Arial"/>
          <w:szCs w:val="24"/>
          <w:lang w:eastAsia="en-GB"/>
        </w:rPr>
        <w:t>The</w:t>
      </w:r>
      <w:r w:rsidRPr="00D43A59">
        <w:rPr>
          <w:rFonts w:eastAsia="Times New Roman" w:cs="Arial"/>
          <w:spacing w:val="1"/>
          <w:szCs w:val="24"/>
          <w:lang w:eastAsia="en-GB"/>
        </w:rPr>
        <w:t xml:space="preserve"> </w:t>
      </w:r>
      <w:r w:rsidRPr="00D43A59">
        <w:rPr>
          <w:rFonts w:eastAsia="Times New Roman" w:cs="Arial"/>
          <w:szCs w:val="24"/>
          <w:lang w:eastAsia="en-GB"/>
        </w:rPr>
        <w:t xml:space="preserve">JC </w:t>
      </w:r>
      <w:r w:rsidRPr="00D43A59">
        <w:rPr>
          <w:rFonts w:eastAsia="Times New Roman" w:cs="Arial"/>
          <w:spacing w:val="-1"/>
          <w:szCs w:val="24"/>
          <w:lang w:eastAsia="en-GB"/>
        </w:rPr>
        <w:t>was</w:t>
      </w:r>
      <w:r w:rsidRPr="00D43A59">
        <w:rPr>
          <w:rFonts w:eastAsia="Times New Roman" w:cs="Arial"/>
          <w:szCs w:val="24"/>
          <w:lang w:eastAsia="en-GB"/>
        </w:rPr>
        <w:t xml:space="preserve"> </w:t>
      </w:r>
      <w:r w:rsidRPr="00D43A59">
        <w:rPr>
          <w:rFonts w:eastAsia="Times New Roman" w:cs="Arial"/>
          <w:spacing w:val="-1"/>
          <w:szCs w:val="24"/>
          <w:lang w:eastAsia="en-GB"/>
        </w:rPr>
        <w:t>established</w:t>
      </w:r>
      <w:r w:rsidRPr="00D43A59">
        <w:rPr>
          <w:rFonts w:eastAsia="Times New Roman" w:cs="Arial"/>
          <w:spacing w:val="1"/>
          <w:szCs w:val="24"/>
          <w:lang w:eastAsia="en-GB"/>
        </w:rPr>
        <w:t xml:space="preserve"> </w:t>
      </w:r>
      <w:r w:rsidRPr="00D43A59">
        <w:rPr>
          <w:rFonts w:eastAsia="Times New Roman" w:cs="Arial"/>
          <w:szCs w:val="24"/>
          <w:lang w:eastAsia="en-GB"/>
        </w:rPr>
        <w:t>as</w:t>
      </w:r>
      <w:r w:rsidRPr="00D43A59">
        <w:rPr>
          <w:rFonts w:eastAsia="Times New Roman" w:cs="Arial"/>
          <w:spacing w:val="-2"/>
          <w:szCs w:val="24"/>
          <w:lang w:eastAsia="en-GB"/>
        </w:rPr>
        <w:t xml:space="preserve"> </w:t>
      </w:r>
      <w:r w:rsidRPr="00D43A59">
        <w:rPr>
          <w:rFonts w:eastAsia="Times New Roman" w:cs="Arial"/>
          <w:szCs w:val="24"/>
          <w:lang w:eastAsia="en-GB"/>
        </w:rPr>
        <w:t>a</w:t>
      </w:r>
      <w:r w:rsidRPr="00D43A59">
        <w:rPr>
          <w:rFonts w:eastAsia="Times New Roman" w:cs="Arial"/>
          <w:spacing w:val="1"/>
          <w:szCs w:val="24"/>
          <w:lang w:eastAsia="en-GB"/>
        </w:rPr>
        <w:t xml:space="preserve"> </w:t>
      </w:r>
      <w:r w:rsidRPr="00D43A59">
        <w:rPr>
          <w:rFonts w:eastAsia="Times New Roman" w:cs="Arial"/>
          <w:spacing w:val="-1"/>
          <w:szCs w:val="24"/>
          <w:lang w:eastAsia="en-GB"/>
        </w:rPr>
        <w:t>committee</w:t>
      </w:r>
      <w:r w:rsidRPr="00D43A59">
        <w:rPr>
          <w:rFonts w:eastAsia="Times New Roman" w:cs="Arial"/>
          <w:spacing w:val="1"/>
          <w:szCs w:val="24"/>
          <w:lang w:eastAsia="en-GB"/>
        </w:rPr>
        <w:t xml:space="preserve"> </w:t>
      </w:r>
      <w:r w:rsidRPr="00D43A59">
        <w:rPr>
          <w:rFonts w:eastAsia="Times New Roman" w:cs="Arial"/>
          <w:spacing w:val="-1"/>
          <w:szCs w:val="24"/>
          <w:lang w:eastAsia="en-GB"/>
        </w:rPr>
        <w:t>of</w:t>
      </w:r>
      <w:r w:rsidRPr="00D43A59">
        <w:rPr>
          <w:rFonts w:eastAsia="Times New Roman" w:cs="Arial"/>
          <w:spacing w:val="1"/>
          <w:szCs w:val="24"/>
          <w:lang w:eastAsia="en-GB"/>
        </w:rPr>
        <w:t xml:space="preserve"> </w:t>
      </w:r>
      <w:r w:rsidRPr="00D43A59">
        <w:rPr>
          <w:rFonts w:eastAsia="Times New Roman" w:cs="Arial"/>
          <w:spacing w:val="-1"/>
          <w:szCs w:val="24"/>
          <w:lang w:eastAsia="en-GB"/>
        </w:rPr>
        <w:t>each</w:t>
      </w:r>
      <w:r w:rsidRPr="00D43A59">
        <w:rPr>
          <w:rFonts w:eastAsia="Times New Roman" w:cs="Arial"/>
          <w:spacing w:val="53"/>
          <w:szCs w:val="24"/>
          <w:lang w:eastAsia="en-GB"/>
        </w:rPr>
        <w:t xml:space="preserve"> </w:t>
      </w:r>
      <w:r w:rsidRPr="00D43A59">
        <w:rPr>
          <w:rFonts w:eastAsia="Times New Roman" w:cs="Arial"/>
          <w:spacing w:val="-1"/>
          <w:szCs w:val="24"/>
          <w:lang w:eastAsia="en-GB"/>
        </w:rPr>
        <w:t>CCG,</w:t>
      </w:r>
      <w:r w:rsidRPr="00D43A59">
        <w:rPr>
          <w:rFonts w:eastAsia="Times New Roman" w:cs="Arial"/>
          <w:szCs w:val="24"/>
          <w:lang w:eastAsia="en-GB"/>
        </w:rPr>
        <w:t xml:space="preserve"> not</w:t>
      </w:r>
      <w:r w:rsidRPr="00D43A59">
        <w:rPr>
          <w:rFonts w:eastAsia="Times New Roman" w:cs="Arial"/>
          <w:spacing w:val="-2"/>
          <w:szCs w:val="24"/>
          <w:lang w:eastAsia="en-GB"/>
        </w:rPr>
        <w:t xml:space="preserve"> </w:t>
      </w:r>
      <w:r w:rsidRPr="00D43A59">
        <w:rPr>
          <w:rFonts w:eastAsia="Times New Roman" w:cs="Arial"/>
          <w:spacing w:val="-1"/>
          <w:szCs w:val="24"/>
          <w:lang w:eastAsia="en-GB"/>
        </w:rPr>
        <w:t>of</w:t>
      </w:r>
      <w:r w:rsidRPr="00D43A59">
        <w:rPr>
          <w:rFonts w:eastAsia="Times New Roman" w:cs="Arial"/>
          <w:spacing w:val="3"/>
          <w:szCs w:val="24"/>
          <w:lang w:eastAsia="en-GB"/>
        </w:rPr>
        <w:t xml:space="preserve"> </w:t>
      </w:r>
      <w:r w:rsidRPr="00D43A59">
        <w:rPr>
          <w:rFonts w:eastAsia="Times New Roman" w:cs="Arial"/>
          <w:spacing w:val="-1"/>
          <w:szCs w:val="24"/>
          <w:lang w:eastAsia="en-GB"/>
        </w:rPr>
        <w:t>the</w:t>
      </w:r>
      <w:r w:rsidRPr="00D43A59">
        <w:rPr>
          <w:rFonts w:eastAsia="Times New Roman" w:cs="Arial"/>
          <w:spacing w:val="1"/>
          <w:szCs w:val="24"/>
          <w:lang w:eastAsia="en-GB"/>
        </w:rPr>
        <w:t xml:space="preserve"> </w:t>
      </w:r>
      <w:r w:rsidRPr="00D43A59">
        <w:rPr>
          <w:rFonts w:eastAsia="Times New Roman" w:cs="Arial"/>
          <w:spacing w:val="-1"/>
          <w:szCs w:val="24"/>
          <w:lang w:eastAsia="en-GB"/>
        </w:rPr>
        <w:t>CCG’s</w:t>
      </w:r>
      <w:r w:rsidRPr="00D43A59">
        <w:rPr>
          <w:rFonts w:eastAsia="Times New Roman" w:cs="Arial"/>
          <w:spacing w:val="-2"/>
          <w:szCs w:val="24"/>
          <w:lang w:eastAsia="en-GB"/>
        </w:rPr>
        <w:t xml:space="preserve"> </w:t>
      </w:r>
      <w:r w:rsidRPr="00D43A59">
        <w:rPr>
          <w:rFonts w:eastAsia="Times New Roman" w:cs="Arial"/>
          <w:spacing w:val="-1"/>
          <w:szCs w:val="24"/>
          <w:lang w:eastAsia="en-GB"/>
        </w:rPr>
        <w:t>governing bodies,</w:t>
      </w:r>
      <w:r w:rsidRPr="00D43A59">
        <w:rPr>
          <w:rFonts w:eastAsia="Times New Roman" w:cs="Arial"/>
          <w:szCs w:val="24"/>
          <w:lang w:eastAsia="en-GB"/>
        </w:rPr>
        <w:t xml:space="preserve"> </w:t>
      </w:r>
      <w:r w:rsidRPr="00D43A59">
        <w:rPr>
          <w:rFonts w:eastAsia="Times New Roman" w:cs="Arial"/>
          <w:spacing w:val="-1"/>
          <w:szCs w:val="24"/>
          <w:lang w:eastAsia="en-GB"/>
        </w:rPr>
        <w:t>and therefore</w:t>
      </w:r>
      <w:r w:rsidRPr="00D43A59">
        <w:rPr>
          <w:rFonts w:eastAsia="Times New Roman" w:cs="Arial"/>
          <w:spacing w:val="1"/>
          <w:szCs w:val="24"/>
          <w:lang w:eastAsia="en-GB"/>
        </w:rPr>
        <w:t xml:space="preserve"> </w:t>
      </w:r>
      <w:r w:rsidRPr="00D43A59">
        <w:rPr>
          <w:rFonts w:eastAsia="Times New Roman" w:cs="Arial"/>
          <w:spacing w:val="-1"/>
          <w:szCs w:val="24"/>
          <w:lang w:eastAsia="en-GB"/>
        </w:rPr>
        <w:t>sits</w:t>
      </w:r>
      <w:r w:rsidRPr="00D43A59">
        <w:rPr>
          <w:rFonts w:eastAsia="Times New Roman" w:cs="Arial"/>
          <w:spacing w:val="-2"/>
          <w:szCs w:val="24"/>
          <w:lang w:eastAsia="en-GB"/>
        </w:rPr>
        <w:t xml:space="preserve"> </w:t>
      </w:r>
      <w:r w:rsidRPr="00D43A59">
        <w:rPr>
          <w:rFonts w:eastAsia="Times New Roman" w:cs="Arial"/>
          <w:spacing w:val="-1"/>
          <w:szCs w:val="24"/>
          <w:lang w:eastAsia="en-GB"/>
        </w:rPr>
        <w:t>alongside</w:t>
      </w:r>
      <w:r w:rsidRPr="00D43A59">
        <w:rPr>
          <w:rFonts w:eastAsia="Times New Roman" w:cs="Arial"/>
          <w:spacing w:val="1"/>
          <w:szCs w:val="24"/>
          <w:lang w:eastAsia="en-GB"/>
        </w:rPr>
        <w:t xml:space="preserve"> </w:t>
      </w:r>
      <w:r w:rsidRPr="00D43A59">
        <w:rPr>
          <w:rFonts w:eastAsia="Times New Roman" w:cs="Arial"/>
          <w:spacing w:val="-1"/>
          <w:szCs w:val="24"/>
          <w:lang w:eastAsia="en-GB"/>
        </w:rPr>
        <w:t>the</w:t>
      </w:r>
      <w:r w:rsidRPr="00D43A59">
        <w:rPr>
          <w:rFonts w:eastAsia="Times New Roman" w:cs="Arial"/>
          <w:spacing w:val="1"/>
          <w:szCs w:val="24"/>
          <w:lang w:eastAsia="en-GB"/>
        </w:rPr>
        <w:t xml:space="preserve"> </w:t>
      </w:r>
      <w:r w:rsidRPr="00D43A59">
        <w:rPr>
          <w:rFonts w:eastAsia="Times New Roman" w:cs="Arial"/>
          <w:spacing w:val="-1"/>
          <w:szCs w:val="24"/>
          <w:lang w:eastAsia="en-GB"/>
        </w:rPr>
        <w:t>CCG</w:t>
      </w:r>
      <w:r w:rsidRPr="00D43A59">
        <w:rPr>
          <w:rFonts w:eastAsia="Times New Roman" w:cs="Arial"/>
          <w:szCs w:val="24"/>
          <w:lang w:eastAsia="en-GB"/>
        </w:rPr>
        <w:t xml:space="preserve"> </w:t>
      </w:r>
      <w:r w:rsidRPr="00D43A59">
        <w:rPr>
          <w:rFonts w:eastAsia="Times New Roman" w:cs="Arial"/>
          <w:spacing w:val="-1"/>
          <w:szCs w:val="24"/>
          <w:lang w:eastAsia="en-GB"/>
        </w:rPr>
        <w:t>governing bodies,</w:t>
      </w:r>
      <w:r w:rsidRPr="00D43A59">
        <w:rPr>
          <w:rFonts w:eastAsia="Times New Roman" w:cs="Arial"/>
          <w:spacing w:val="71"/>
          <w:szCs w:val="24"/>
          <w:lang w:eastAsia="en-GB"/>
        </w:rPr>
        <w:t xml:space="preserve"> </w:t>
      </w:r>
      <w:r w:rsidRPr="00D43A59">
        <w:rPr>
          <w:rFonts w:eastAsia="Times New Roman" w:cs="Arial"/>
          <w:spacing w:val="-1"/>
          <w:szCs w:val="24"/>
          <w:lang w:eastAsia="en-GB"/>
        </w:rPr>
        <w:t>rather than being accountable</w:t>
      </w:r>
      <w:r w:rsidRPr="00D43A59">
        <w:rPr>
          <w:rFonts w:eastAsia="Times New Roman" w:cs="Arial"/>
          <w:spacing w:val="1"/>
          <w:szCs w:val="24"/>
          <w:lang w:eastAsia="en-GB"/>
        </w:rPr>
        <w:t xml:space="preserve"> </w:t>
      </w:r>
      <w:r w:rsidRPr="00D43A59">
        <w:rPr>
          <w:rFonts w:eastAsia="Times New Roman" w:cs="Arial"/>
          <w:spacing w:val="-1"/>
          <w:szCs w:val="24"/>
          <w:lang w:eastAsia="en-GB"/>
        </w:rPr>
        <w:t>to</w:t>
      </w:r>
      <w:r w:rsidRPr="00D43A59">
        <w:rPr>
          <w:rFonts w:eastAsia="Times New Roman" w:cs="Arial"/>
          <w:spacing w:val="1"/>
          <w:szCs w:val="24"/>
          <w:lang w:eastAsia="en-GB"/>
        </w:rPr>
        <w:t xml:space="preserve"> </w:t>
      </w:r>
      <w:r w:rsidRPr="00D43A59">
        <w:rPr>
          <w:rFonts w:eastAsia="Times New Roman" w:cs="Arial"/>
          <w:spacing w:val="-1"/>
          <w:szCs w:val="24"/>
          <w:lang w:eastAsia="en-GB"/>
        </w:rPr>
        <w:t>them.</w:t>
      </w:r>
    </w:p>
    <w:p w14:paraId="38CAF55E" w14:textId="77777777" w:rsidR="00D43A59" w:rsidRPr="00D43A59" w:rsidRDefault="00D43A59" w:rsidP="00D43A59">
      <w:pPr>
        <w:widowControl w:val="0"/>
        <w:kinsoku w:val="0"/>
        <w:overflowPunct w:val="0"/>
        <w:autoSpaceDE w:val="0"/>
        <w:autoSpaceDN w:val="0"/>
        <w:adjustRightInd w:val="0"/>
        <w:spacing w:before="0" w:after="0"/>
        <w:rPr>
          <w:rFonts w:eastAsia="Times New Roman" w:cs="Arial"/>
          <w:szCs w:val="24"/>
          <w:lang w:eastAsia="en-GB"/>
        </w:rPr>
      </w:pPr>
    </w:p>
    <w:p w14:paraId="5D33DF27" w14:textId="3D8F42F6" w:rsidR="00D43A59" w:rsidRDefault="00D43A59" w:rsidP="00D43A59">
      <w:pPr>
        <w:widowControl w:val="0"/>
        <w:kinsoku w:val="0"/>
        <w:overflowPunct w:val="0"/>
        <w:autoSpaceDE w:val="0"/>
        <w:autoSpaceDN w:val="0"/>
        <w:adjustRightInd w:val="0"/>
        <w:spacing w:before="0" w:after="0"/>
        <w:ind w:right="244"/>
        <w:rPr>
          <w:rFonts w:eastAsia="Times New Roman" w:cs="Arial"/>
          <w:spacing w:val="-1"/>
          <w:szCs w:val="24"/>
          <w:lang w:eastAsia="en-GB"/>
        </w:rPr>
      </w:pPr>
      <w:r w:rsidRPr="00D43A59">
        <w:rPr>
          <w:rFonts w:eastAsia="Times New Roman" w:cs="Arial"/>
          <w:spacing w:val="-1"/>
          <w:szCs w:val="24"/>
          <w:lang w:eastAsia="en-GB"/>
        </w:rPr>
        <w:t>During</w:t>
      </w:r>
      <w:r w:rsidRPr="00D43A59">
        <w:rPr>
          <w:rFonts w:eastAsia="Times New Roman" w:cs="Arial"/>
          <w:spacing w:val="-4"/>
          <w:szCs w:val="24"/>
          <w:lang w:eastAsia="en-GB"/>
        </w:rPr>
        <w:t xml:space="preserve"> </w:t>
      </w:r>
      <w:r w:rsidRPr="00D43A59">
        <w:rPr>
          <w:rFonts w:eastAsia="Times New Roman" w:cs="Arial"/>
          <w:spacing w:val="-1"/>
          <w:szCs w:val="24"/>
          <w:lang w:eastAsia="en-GB"/>
        </w:rPr>
        <w:t>2021/22</w:t>
      </w:r>
      <w:r w:rsidRPr="00D43A59">
        <w:rPr>
          <w:rFonts w:eastAsia="Times New Roman" w:cs="Arial"/>
          <w:spacing w:val="-4"/>
          <w:szCs w:val="24"/>
          <w:lang w:eastAsia="en-GB"/>
        </w:rPr>
        <w:t xml:space="preserve"> </w:t>
      </w:r>
      <w:r w:rsidRPr="00D43A59">
        <w:rPr>
          <w:rFonts w:eastAsia="Times New Roman" w:cs="Arial"/>
          <w:spacing w:val="-1"/>
          <w:szCs w:val="24"/>
          <w:lang w:eastAsia="en-GB"/>
        </w:rPr>
        <w:t xml:space="preserve">the committee meet three times to consider: risks within the remit of the committee; planning guidance; the Vanguard Theatre contract; MSEFT Legal Undertakings; Adult Mental Health Transformation Plan; review of Medicines Optimisation Terms of Reference; patient safety, finance and performance reports; receipt of minutes from Patient Safety &amp; Quality Committees in common and Finance &amp; Performance Committees in common; provider Quality Accounts and the CCGs’ responses to these; non-emergency patient transport procurement; and review of community beds. </w:t>
      </w:r>
    </w:p>
    <w:p w14:paraId="3C08A020" w14:textId="77777777" w:rsidR="00BC3673" w:rsidRPr="00D43A59" w:rsidRDefault="00BC3673" w:rsidP="00D43A59">
      <w:pPr>
        <w:widowControl w:val="0"/>
        <w:kinsoku w:val="0"/>
        <w:overflowPunct w:val="0"/>
        <w:autoSpaceDE w:val="0"/>
        <w:autoSpaceDN w:val="0"/>
        <w:adjustRightInd w:val="0"/>
        <w:spacing w:before="0" w:after="0"/>
        <w:ind w:right="244"/>
        <w:rPr>
          <w:rFonts w:eastAsia="Times New Roman" w:cs="Arial"/>
          <w:spacing w:val="-1"/>
          <w:szCs w:val="24"/>
          <w:lang w:eastAsia="en-GB"/>
        </w:rPr>
      </w:pPr>
    </w:p>
    <w:p w14:paraId="0E5161A0" w14:textId="1CCF563A" w:rsidR="00D43A59" w:rsidRDefault="00D43A59" w:rsidP="00D43A59">
      <w:pPr>
        <w:pStyle w:val="BodyText"/>
        <w:kinsoku w:val="0"/>
        <w:overflowPunct w:val="0"/>
        <w:ind w:right="244"/>
        <w:rPr>
          <w:spacing w:val="-1"/>
        </w:rPr>
      </w:pPr>
      <w:r w:rsidRPr="00D43A59">
        <w:rPr>
          <w:rFonts w:eastAsia="Times New Roman" w:cs="Arial"/>
          <w:spacing w:val="-1"/>
          <w:szCs w:val="24"/>
          <w:lang w:eastAsia="en-GB"/>
        </w:rPr>
        <w:t>The JC did not meet during December to February as a result of the implementation of pandemic business continuity arrangements and, following a decision by the MSE CCGs to meet in common from February until the establishment of the MSE</w:t>
      </w:r>
      <w:r w:rsidRPr="00D43A59">
        <w:rPr>
          <w:spacing w:val="-1"/>
        </w:rPr>
        <w:t xml:space="preserve"> </w:t>
      </w:r>
      <w:r>
        <w:rPr>
          <w:spacing w:val="-1"/>
        </w:rPr>
        <w:t xml:space="preserve">ICB, the JC will no longer meet.  </w:t>
      </w:r>
    </w:p>
    <w:p w14:paraId="3B08D5E1" w14:textId="17B5E553" w:rsidR="00F90D7E" w:rsidRPr="007830C3" w:rsidRDefault="00F90D7E" w:rsidP="00BC3673">
      <w:pPr>
        <w:pStyle w:val="Heading3"/>
        <w:spacing w:before="360"/>
      </w:pPr>
      <w:bookmarkStart w:id="116" w:name="_Toc94188190"/>
      <w:bookmarkStart w:id="117" w:name="_Toc107389459"/>
      <w:r w:rsidRPr="007830C3">
        <w:t>Register of Interests</w:t>
      </w:r>
      <w:bookmarkEnd w:id="116"/>
      <w:bookmarkEnd w:id="117"/>
    </w:p>
    <w:p w14:paraId="45DCD3E1" w14:textId="77777777" w:rsidR="00780EF0" w:rsidRPr="00563A33" w:rsidRDefault="00780EF0" w:rsidP="00780EF0">
      <w:pPr>
        <w:spacing w:after="0"/>
        <w:rPr>
          <w:rFonts w:eastAsia="Calibri"/>
        </w:rPr>
      </w:pPr>
      <w:bookmarkStart w:id="118" w:name="_Toc94188191"/>
      <w:r w:rsidRPr="00563A33">
        <w:rPr>
          <w:rFonts w:eastAsia="Calibri"/>
        </w:rPr>
        <w:t>The CCG maintains a register of interests for all members of staff and board members.</w:t>
      </w:r>
    </w:p>
    <w:p w14:paraId="43B92D57" w14:textId="735926B7" w:rsidR="00780EF0" w:rsidRDefault="00780EF0" w:rsidP="00780EF0">
      <w:pPr>
        <w:spacing w:before="0" w:after="0"/>
        <w:rPr>
          <w:rStyle w:val="Hyperlink"/>
          <w:rFonts w:eastAsia="Calibri"/>
        </w:rPr>
      </w:pPr>
      <w:r w:rsidRPr="00563A33">
        <w:rPr>
          <w:rFonts w:eastAsia="Calibri"/>
        </w:rPr>
        <w:t>The CCG’s most up to date register of interests for decision makers is available</w:t>
      </w:r>
      <w:r>
        <w:rPr>
          <w:rFonts w:eastAsia="Calibri"/>
        </w:rPr>
        <w:t xml:space="preserve"> </w:t>
      </w:r>
      <w:r w:rsidRPr="00563A33">
        <w:rPr>
          <w:rFonts w:eastAsia="Calibri"/>
        </w:rPr>
        <w:t>on the</w:t>
      </w:r>
      <w:r w:rsidR="002337AC">
        <w:rPr>
          <w:rFonts w:eastAsia="Calibri"/>
        </w:rPr>
        <w:t xml:space="preserve"> CCG website </w:t>
      </w:r>
      <w:hyperlink r:id="rId30" w:history="1">
        <w:r w:rsidR="002337AC" w:rsidRPr="002337AC">
          <w:rPr>
            <w:rStyle w:val="Hyperlink"/>
            <w:rFonts w:eastAsia="Calibri"/>
          </w:rPr>
          <w:t>Register of Interests (hyperlinks)</w:t>
        </w:r>
      </w:hyperlink>
    </w:p>
    <w:p w14:paraId="3E2F3823" w14:textId="77777777" w:rsidR="001F31F8" w:rsidRPr="00563A33" w:rsidRDefault="001F31F8" w:rsidP="00780EF0">
      <w:pPr>
        <w:spacing w:before="0" w:after="0"/>
        <w:rPr>
          <w:rFonts w:eastAsia="Calibri"/>
        </w:rPr>
      </w:pPr>
    </w:p>
    <w:p w14:paraId="6B5FD663" w14:textId="484378DD" w:rsidR="000E7D9C" w:rsidRPr="009A6ABE" w:rsidRDefault="000E7D9C" w:rsidP="00D72B1A">
      <w:pPr>
        <w:pStyle w:val="BodyText"/>
        <w:rPr>
          <w:rFonts w:eastAsia="Times New Roman"/>
          <w:iCs/>
          <w:lang w:val="en"/>
        </w:rPr>
      </w:pPr>
      <w:bookmarkStart w:id="119" w:name="_Toc107389460"/>
      <w:bookmarkEnd w:id="118"/>
      <w:r w:rsidRPr="00FF0E5D">
        <w:rPr>
          <w:rStyle w:val="Heading3Char"/>
        </w:rPr>
        <w:t>Personal data related incidents</w:t>
      </w:r>
      <w:bookmarkStart w:id="120" w:name="_Toc94188192"/>
      <w:bookmarkEnd w:id="119"/>
      <w:r w:rsidRPr="00D72B1A">
        <w:rPr>
          <w:rStyle w:val="BodyTextChar"/>
          <w:b/>
          <w:bCs/>
        </w:rPr>
        <w:t xml:space="preserve"> </w:t>
      </w:r>
      <w:r w:rsidRPr="00D72B1A">
        <w:rPr>
          <w:rStyle w:val="BodyTextChar"/>
        </w:rPr>
        <w:t>(</w:t>
      </w:r>
      <w:r w:rsidRPr="009A6ABE">
        <w:rPr>
          <w:rFonts w:eastAsia="Times New Roman"/>
          <w:iCs/>
          <w:lang w:val="en"/>
        </w:rPr>
        <w:t>Information Governance)</w:t>
      </w:r>
    </w:p>
    <w:p w14:paraId="56B093DE" w14:textId="77777777" w:rsidR="000E7D9C" w:rsidRPr="009A6ABE" w:rsidRDefault="000E7D9C" w:rsidP="000E7D9C">
      <w:pPr>
        <w:rPr>
          <w:rFonts w:eastAsia="Calibri"/>
        </w:rPr>
      </w:pPr>
      <w:r w:rsidRPr="009A6ABE">
        <w:rPr>
          <w:rFonts w:eastAsia="Calibri"/>
        </w:rPr>
        <w:t xml:space="preserve">The NHS Information Governance (IG) Framework sets the processes and procedures by which the NHS handles information about patients and employees, in particular personal identifiable information. The NHS Information Governance Framework is supported by a </w:t>
      </w:r>
      <w:r>
        <w:rPr>
          <w:rFonts w:eastAsia="Calibri"/>
        </w:rPr>
        <w:t>d</w:t>
      </w:r>
      <w:r w:rsidRPr="009A6ABE">
        <w:rPr>
          <w:rFonts w:eastAsia="Calibri"/>
        </w:rPr>
        <w:t xml:space="preserve">ata </w:t>
      </w:r>
      <w:r>
        <w:rPr>
          <w:rFonts w:eastAsia="Calibri"/>
        </w:rPr>
        <w:t>s</w:t>
      </w:r>
      <w:r w:rsidRPr="009A6ABE">
        <w:rPr>
          <w:rFonts w:eastAsia="Calibri"/>
        </w:rPr>
        <w:t xml:space="preserve">ecurity and </w:t>
      </w:r>
      <w:r>
        <w:rPr>
          <w:rFonts w:eastAsia="Calibri"/>
        </w:rPr>
        <w:t>p</w:t>
      </w:r>
      <w:r w:rsidRPr="009A6ABE">
        <w:rPr>
          <w:rFonts w:eastAsia="Calibri"/>
        </w:rPr>
        <w:t xml:space="preserve">rotection </w:t>
      </w:r>
      <w:r>
        <w:rPr>
          <w:rFonts w:eastAsia="Calibri"/>
        </w:rPr>
        <w:t>t</w:t>
      </w:r>
      <w:r w:rsidRPr="009A6ABE">
        <w:rPr>
          <w:rFonts w:eastAsia="Calibri"/>
        </w:rPr>
        <w:t xml:space="preserve">oolkit and the annual submission process provides assurances to the CCG, other organisations and to individuals that personal information is dealt with legally, securely, efficiently and effectively. </w:t>
      </w:r>
    </w:p>
    <w:p w14:paraId="4F2587E2" w14:textId="77777777" w:rsidR="000E7D9C" w:rsidRPr="009A6ABE" w:rsidRDefault="000E7D9C" w:rsidP="000E7D9C">
      <w:pPr>
        <w:rPr>
          <w:rFonts w:eastAsia="Calibri"/>
        </w:rPr>
      </w:pPr>
      <w:r w:rsidRPr="009A6ABE">
        <w:rPr>
          <w:rFonts w:eastAsia="Calibri"/>
        </w:rPr>
        <w:t>We place high importance on ensuring there are robust information governance systems and processes in place to help protect patient and corporate information. We have established an information governance management framework and have developed information governance processes and procedures in line with the Data Security and Protection Toolkit. We have ensured all staff undertake annual information governance training and have implemented a staff information governance handbook to ensure members of staff are aware of their information governance roles and responsibilities, and how to access information or assistance.</w:t>
      </w:r>
    </w:p>
    <w:p w14:paraId="6DDAD9F1" w14:textId="0B6571A1" w:rsidR="000E7D9C" w:rsidRPr="009A6ABE" w:rsidRDefault="000E7D9C" w:rsidP="000E7D9C">
      <w:pPr>
        <w:rPr>
          <w:rFonts w:eastAsia="Calibri"/>
        </w:rPr>
      </w:pPr>
      <w:r w:rsidRPr="009A6ABE">
        <w:rPr>
          <w:rFonts w:eastAsia="Calibri"/>
        </w:rPr>
        <w:t xml:space="preserve">There are processes in place for incident reporting and investigation of serious incidents. </w:t>
      </w:r>
      <w:bookmarkStart w:id="121" w:name="_Hlk68979222"/>
      <w:r w:rsidRPr="009A48C6">
        <w:rPr>
          <w:rFonts w:eastAsia="Calibri"/>
        </w:rPr>
        <w:t xml:space="preserve">No serious incidents requiring investigation involving personal data were reported to the Information </w:t>
      </w:r>
      <w:r w:rsidRPr="00A37230">
        <w:rPr>
          <w:rFonts w:eastAsia="Calibri"/>
        </w:rPr>
        <w:t>Commissioner in 202</w:t>
      </w:r>
      <w:r w:rsidR="00311273" w:rsidRPr="00A37230">
        <w:rPr>
          <w:rFonts w:eastAsia="Calibri"/>
        </w:rPr>
        <w:t>1</w:t>
      </w:r>
      <w:r w:rsidRPr="00A37230">
        <w:rPr>
          <w:rFonts w:eastAsia="Calibri"/>
        </w:rPr>
        <w:t>/2</w:t>
      </w:r>
      <w:r w:rsidR="00311273" w:rsidRPr="00A37230">
        <w:rPr>
          <w:rFonts w:eastAsia="Calibri"/>
        </w:rPr>
        <w:t>2</w:t>
      </w:r>
      <w:r w:rsidRPr="00A37230">
        <w:rPr>
          <w:rFonts w:eastAsia="Calibri"/>
        </w:rPr>
        <w:t>.</w:t>
      </w:r>
    </w:p>
    <w:bookmarkEnd w:id="121"/>
    <w:p w14:paraId="7FE7E184" w14:textId="77777777" w:rsidR="000E7D9C" w:rsidRPr="009A6ABE" w:rsidRDefault="000E7D9C" w:rsidP="000E7D9C">
      <w:pPr>
        <w:rPr>
          <w:rFonts w:eastAsia="Calibri"/>
        </w:rPr>
      </w:pPr>
      <w:r w:rsidRPr="009A6ABE">
        <w:rPr>
          <w:rFonts w:eastAsia="Calibri"/>
        </w:rPr>
        <w:t>The CCG has nominated information asset owners who have completed the new data flow mapping and information asset registers to ensure compliance with the General Data Protection Regulations</w:t>
      </w:r>
      <w:r>
        <w:rPr>
          <w:rFonts w:eastAsia="Calibri"/>
        </w:rPr>
        <w:t xml:space="preserve"> (GDPR)</w:t>
      </w:r>
      <w:r w:rsidRPr="009A6ABE">
        <w:rPr>
          <w:rFonts w:eastAsia="Calibri"/>
        </w:rPr>
        <w:t xml:space="preserve">. This was undertaken with support from the IG Team to ensure consistency of approach.  </w:t>
      </w:r>
    </w:p>
    <w:p w14:paraId="7DC3859A" w14:textId="448274D9" w:rsidR="000E7D9C" w:rsidRPr="00B2369D" w:rsidRDefault="000E7D9C" w:rsidP="00A37230">
      <w:pPr>
        <w:spacing w:after="0"/>
        <w:rPr>
          <w:rFonts w:eastAsia="Calibri"/>
        </w:rPr>
      </w:pPr>
      <w:bookmarkStart w:id="122" w:name="_Hlk68979262"/>
      <w:r w:rsidRPr="00922CE9">
        <w:rPr>
          <w:iCs/>
        </w:rPr>
        <w:t xml:space="preserve">As </w:t>
      </w:r>
      <w:r w:rsidRPr="00A37230">
        <w:rPr>
          <w:iCs/>
        </w:rPr>
        <w:t>at 31 March 202</w:t>
      </w:r>
      <w:r w:rsidR="00311273" w:rsidRPr="00A37230">
        <w:rPr>
          <w:iCs/>
        </w:rPr>
        <w:t>2</w:t>
      </w:r>
      <w:r w:rsidRPr="00A37230">
        <w:rPr>
          <w:iCs/>
        </w:rPr>
        <w:t xml:space="preserve"> the</w:t>
      </w:r>
      <w:r w:rsidRPr="00922CE9">
        <w:rPr>
          <w:iCs/>
        </w:rPr>
        <w:t xml:space="preserve"> CCG</w:t>
      </w:r>
      <w:r>
        <w:rPr>
          <w:iCs/>
        </w:rPr>
        <w:t xml:space="preserve"> has </w:t>
      </w:r>
      <w:r w:rsidRPr="00922CE9">
        <w:rPr>
          <w:iCs/>
        </w:rPr>
        <w:t xml:space="preserve">meet all mandatory assertions in relation to the requirements of the Data Security and Protection Toolkit. </w:t>
      </w:r>
    </w:p>
    <w:p w14:paraId="6C50816A" w14:textId="77777777" w:rsidR="00BC3673" w:rsidRDefault="00BC3673">
      <w:pPr>
        <w:spacing w:before="0" w:after="200" w:line="276" w:lineRule="auto"/>
        <w:rPr>
          <w:rFonts w:eastAsia="Times" w:cs="Times New Roman"/>
          <w:b/>
          <w:bCs/>
          <w:color w:val="000000" w:themeColor="text1"/>
          <w:sz w:val="28"/>
          <w:szCs w:val="28"/>
        </w:rPr>
      </w:pPr>
      <w:bookmarkStart w:id="123" w:name="_Toc97218343"/>
      <w:bookmarkEnd w:id="122"/>
      <w:r>
        <w:br w:type="page"/>
      </w:r>
    </w:p>
    <w:p w14:paraId="44F3249A" w14:textId="31F3AD6A" w:rsidR="00F90D7E" w:rsidRPr="00F90D7E" w:rsidRDefault="00F90D7E" w:rsidP="00A37230">
      <w:pPr>
        <w:pStyle w:val="Heading3"/>
        <w:spacing w:after="0"/>
        <w:rPr>
          <w:rFonts w:eastAsia="Times New Roman"/>
          <w:highlight w:val="yellow"/>
        </w:rPr>
      </w:pPr>
      <w:bookmarkStart w:id="124" w:name="_Toc107389461"/>
      <w:r w:rsidRPr="00F90D7E">
        <w:t>Statement of Disclosure to Auditors</w:t>
      </w:r>
      <w:bookmarkEnd w:id="120"/>
      <w:bookmarkEnd w:id="123"/>
      <w:bookmarkEnd w:id="124"/>
    </w:p>
    <w:p w14:paraId="3ECFFD4A" w14:textId="77777777" w:rsidR="00F90D7E" w:rsidRPr="00F90D7E" w:rsidRDefault="00F90D7E" w:rsidP="009F70CF">
      <w:pPr>
        <w:pStyle w:val="BodyText"/>
      </w:pPr>
      <w:r w:rsidRPr="00F90D7E">
        <w:t xml:space="preserve">Each individual who is a member of the CCG at the time the Members’ Report is approved confirms: </w:t>
      </w:r>
    </w:p>
    <w:p w14:paraId="4C34D573" w14:textId="3635098C" w:rsidR="00F90D7E" w:rsidRPr="00F90D7E" w:rsidRDefault="00D47C41" w:rsidP="000D3041">
      <w:pPr>
        <w:pStyle w:val="BodyText"/>
        <w:numPr>
          <w:ilvl w:val="0"/>
          <w:numId w:val="5"/>
        </w:numPr>
      </w:pPr>
      <w:r>
        <w:t>S</w:t>
      </w:r>
      <w:r w:rsidR="00F90D7E" w:rsidRPr="00F90D7E">
        <w:t>o far as the member is aware, there is no relevant audit information of which the CCG’s auditor is unaware that would be relevant for the purposes of their audit report</w:t>
      </w:r>
      <w:r>
        <w:t>.</w:t>
      </w:r>
    </w:p>
    <w:p w14:paraId="6177CB6A" w14:textId="2A85A43F" w:rsidR="001F31F8" w:rsidRDefault="00D47C41" w:rsidP="000D3041">
      <w:pPr>
        <w:pStyle w:val="BodyText"/>
        <w:numPr>
          <w:ilvl w:val="0"/>
          <w:numId w:val="5"/>
        </w:numPr>
        <w:spacing w:after="0"/>
      </w:pPr>
      <w:r>
        <w:t>T</w:t>
      </w:r>
      <w:r w:rsidR="00F90D7E" w:rsidRPr="00F90D7E">
        <w:t xml:space="preserve">he member has taken all the steps that they ought to have taken in order to make him or herself aware of any relevant audit information and to establish that the CCG’s auditor is aware of it. </w:t>
      </w:r>
      <w:bookmarkStart w:id="125" w:name="_Toc104369826"/>
    </w:p>
    <w:p w14:paraId="5077C4E1" w14:textId="2AF3AE70" w:rsidR="00FF0245" w:rsidRPr="00FF0245" w:rsidRDefault="00FF0245" w:rsidP="00BC3673">
      <w:pPr>
        <w:pStyle w:val="Heading3"/>
        <w:spacing w:before="360" w:after="0"/>
      </w:pPr>
      <w:bookmarkStart w:id="126" w:name="_Toc107389462"/>
      <w:r w:rsidRPr="00FF0245">
        <w:t>Donations to political parties and charitable organisations</w:t>
      </w:r>
      <w:bookmarkEnd w:id="125"/>
      <w:bookmarkEnd w:id="126"/>
    </w:p>
    <w:p w14:paraId="1DC8DDDB" w14:textId="77777777" w:rsidR="00FF0245" w:rsidRDefault="00FF0245" w:rsidP="00FF0245">
      <w:pPr>
        <w:pStyle w:val="BodyText"/>
      </w:pPr>
      <w:r w:rsidRPr="002D58D3">
        <w:t>The CCG does not make donations to political parties.</w:t>
      </w:r>
    </w:p>
    <w:p w14:paraId="3DF3E689" w14:textId="77777777" w:rsidR="00FF0245" w:rsidRPr="002D58D3" w:rsidRDefault="00FF0245" w:rsidP="00FF0245">
      <w:r w:rsidRPr="002D58D3">
        <w:t>The CCG has made payments to a number of charitable organisations. The majority of these payments are in relation to Service Level Agreements (particularly to local hospices) or as a result of successful grant applications.</w:t>
      </w:r>
    </w:p>
    <w:p w14:paraId="306A805C" w14:textId="4706FE0B" w:rsidR="00F90D7E" w:rsidRPr="00F90D7E" w:rsidRDefault="00F90D7E" w:rsidP="00FF0245">
      <w:pPr>
        <w:pStyle w:val="Heading3"/>
        <w:spacing w:before="480"/>
      </w:pPr>
      <w:bookmarkStart w:id="127" w:name="_Toc94188193"/>
      <w:bookmarkStart w:id="128" w:name="_Toc97218344"/>
      <w:bookmarkStart w:id="129" w:name="_Toc107389463"/>
      <w:r w:rsidRPr="00F90D7E">
        <w:t>Modern Slavery Act</w:t>
      </w:r>
      <w:bookmarkEnd w:id="127"/>
      <w:bookmarkEnd w:id="128"/>
      <w:bookmarkEnd w:id="129"/>
      <w:r w:rsidRPr="00F90D7E">
        <w:t xml:space="preserve"> </w:t>
      </w:r>
    </w:p>
    <w:p w14:paraId="47449323" w14:textId="11D7EB7D" w:rsidR="00A76EF6" w:rsidRPr="001D0F5D" w:rsidRDefault="00A76EF6" w:rsidP="00A76EF6">
      <w:pPr>
        <w:rPr>
          <w:rFonts w:cs="Arial"/>
          <w:b/>
          <w:szCs w:val="24"/>
        </w:rPr>
      </w:pPr>
      <w:bookmarkStart w:id="130" w:name="_Toc94188194"/>
      <w:bookmarkStart w:id="131" w:name="_Toc97218345"/>
      <w:r w:rsidRPr="001D0F5D">
        <w:rPr>
          <w:rFonts w:cs="Arial"/>
          <w:b/>
          <w:szCs w:val="24"/>
        </w:rPr>
        <w:t>NHS Basildon and B</w:t>
      </w:r>
      <w:r w:rsidR="00E24278">
        <w:rPr>
          <w:rFonts w:cs="Arial"/>
          <w:b/>
          <w:szCs w:val="24"/>
        </w:rPr>
        <w:t>rentwood</w:t>
      </w:r>
      <w:r w:rsidRPr="001D0F5D">
        <w:rPr>
          <w:rFonts w:cs="Arial"/>
          <w:b/>
          <w:szCs w:val="24"/>
        </w:rPr>
        <w:t xml:space="preserve">  Clinical Commissioning Group’s Response to the Requirements of the Modern Slavery Act 2015</w:t>
      </w:r>
    </w:p>
    <w:p w14:paraId="2CCD71C5" w14:textId="77E45D01" w:rsidR="00A76EF6" w:rsidRPr="001D0F5D" w:rsidRDefault="00A76EF6" w:rsidP="00A76EF6">
      <w:pPr>
        <w:rPr>
          <w:rFonts w:cs="Arial"/>
          <w:szCs w:val="24"/>
        </w:rPr>
      </w:pPr>
      <w:r w:rsidRPr="001D0F5D">
        <w:rPr>
          <w:rFonts w:cs="Arial"/>
          <w:szCs w:val="24"/>
        </w:rPr>
        <w:t xml:space="preserve">This statement comprises the </w:t>
      </w:r>
      <w:hyperlink r:id="rId31" w:history="1">
        <w:r w:rsidRPr="00A54366">
          <w:rPr>
            <w:rStyle w:val="Hyperlink"/>
            <w:rFonts w:cs="Arial"/>
            <w:szCs w:val="24"/>
          </w:rPr>
          <w:t>slavery and human trafficking statement</w:t>
        </w:r>
        <w:r w:rsidR="00A54366" w:rsidRPr="00A54366">
          <w:rPr>
            <w:rStyle w:val="Hyperlink"/>
            <w:rFonts w:cs="Arial"/>
            <w:szCs w:val="24"/>
          </w:rPr>
          <w:t xml:space="preserve"> (hyperlinks)</w:t>
        </w:r>
      </w:hyperlink>
      <w:r w:rsidRPr="001D0F5D">
        <w:rPr>
          <w:rFonts w:cs="Arial"/>
          <w:szCs w:val="24"/>
        </w:rPr>
        <w:t xml:space="preserve"> of Basildon and B</w:t>
      </w:r>
      <w:r w:rsidR="00E24278">
        <w:rPr>
          <w:rFonts w:cs="Arial"/>
          <w:szCs w:val="24"/>
        </w:rPr>
        <w:t>rentwood</w:t>
      </w:r>
      <w:r w:rsidRPr="001D0F5D">
        <w:rPr>
          <w:rFonts w:cs="Arial"/>
          <w:szCs w:val="24"/>
        </w:rPr>
        <w:t xml:space="preserve"> Clinical Commissioning Group for the financial year ending 31 March 2022 in accordance with Section 54, Part 6 of the Modern Slavery Act 2015. The organisation recognises that it has a responsibility to take a robust approach to slavery and human trafficking and is absolutely committed to preventing slavery and human trafficking in its corporate activities.</w:t>
      </w:r>
      <w:r w:rsidR="00A54366">
        <w:rPr>
          <w:rFonts w:cs="Arial"/>
          <w:szCs w:val="24"/>
        </w:rPr>
        <w:t xml:space="preserve"> </w:t>
      </w:r>
    </w:p>
    <w:p w14:paraId="6092540D" w14:textId="77777777" w:rsidR="00A76EF6" w:rsidRPr="001D0F5D" w:rsidRDefault="00A76EF6" w:rsidP="00A76EF6">
      <w:pPr>
        <w:rPr>
          <w:rFonts w:cs="Arial"/>
          <w:b/>
          <w:szCs w:val="24"/>
        </w:rPr>
      </w:pPr>
      <w:r w:rsidRPr="001D0F5D">
        <w:rPr>
          <w:rFonts w:cs="Arial"/>
          <w:b/>
          <w:szCs w:val="24"/>
        </w:rPr>
        <w:t>Definition of Offences</w:t>
      </w:r>
    </w:p>
    <w:p w14:paraId="68AF6D7B" w14:textId="77777777" w:rsidR="00A76EF6" w:rsidRPr="001D0F5D" w:rsidRDefault="00A76EF6" w:rsidP="00A76EF6">
      <w:pPr>
        <w:rPr>
          <w:rFonts w:cs="Arial"/>
          <w:szCs w:val="24"/>
        </w:rPr>
      </w:pPr>
      <w:r w:rsidRPr="001D0F5D">
        <w:rPr>
          <w:rFonts w:cs="Arial"/>
          <w:szCs w:val="24"/>
        </w:rPr>
        <w:t>Slavery, servitude and forced or compulsory labour.</w:t>
      </w:r>
    </w:p>
    <w:p w14:paraId="2D080411" w14:textId="77777777" w:rsidR="00A76EF6" w:rsidRPr="001D0F5D" w:rsidRDefault="00A76EF6" w:rsidP="00A76EF6">
      <w:pPr>
        <w:rPr>
          <w:rFonts w:cs="Arial"/>
          <w:szCs w:val="24"/>
        </w:rPr>
      </w:pPr>
      <w:r w:rsidRPr="001D0F5D">
        <w:rPr>
          <w:rFonts w:cs="Arial"/>
          <w:szCs w:val="24"/>
        </w:rPr>
        <w:t>A person commits an offence if:</w:t>
      </w:r>
    </w:p>
    <w:p w14:paraId="2790C7BC" w14:textId="77777777" w:rsidR="00A76EF6" w:rsidRPr="001D0F5D" w:rsidRDefault="00A76EF6" w:rsidP="000D3041">
      <w:pPr>
        <w:pStyle w:val="ListParagraph"/>
        <w:numPr>
          <w:ilvl w:val="0"/>
          <w:numId w:val="15"/>
        </w:numPr>
        <w:spacing w:before="0" w:after="160" w:line="259" w:lineRule="auto"/>
        <w:rPr>
          <w:rFonts w:cs="Arial"/>
          <w:szCs w:val="24"/>
        </w:rPr>
      </w:pPr>
      <w:r w:rsidRPr="001D0F5D">
        <w:rPr>
          <w:rFonts w:cs="Arial"/>
          <w:szCs w:val="24"/>
        </w:rPr>
        <w:t>The person holds another person in slavery or servitude and the circumstances are such that the person knows or ought to know that the other person is held in slavery or servitude, or;</w:t>
      </w:r>
    </w:p>
    <w:p w14:paraId="784B3CAD" w14:textId="77777777" w:rsidR="00A76EF6" w:rsidRPr="001D0F5D" w:rsidRDefault="00A76EF6" w:rsidP="000D3041">
      <w:pPr>
        <w:pStyle w:val="ListParagraph"/>
        <w:numPr>
          <w:ilvl w:val="0"/>
          <w:numId w:val="15"/>
        </w:numPr>
        <w:spacing w:before="0" w:after="160" w:line="259" w:lineRule="auto"/>
        <w:rPr>
          <w:rFonts w:cs="Arial"/>
          <w:szCs w:val="24"/>
        </w:rPr>
      </w:pPr>
      <w:r w:rsidRPr="001D0F5D">
        <w:rPr>
          <w:rFonts w:cs="Arial"/>
          <w:szCs w:val="24"/>
        </w:rPr>
        <w:t>The person requires another person to perform forced or compulsory labour and the circumstances are such that the person knows or ought to know that the other person is being required to perform forced or compulsory labour.</w:t>
      </w:r>
    </w:p>
    <w:p w14:paraId="74997DD5" w14:textId="77777777" w:rsidR="00BC3673" w:rsidRDefault="00BC3673">
      <w:pPr>
        <w:spacing w:before="0" w:after="200" w:line="276" w:lineRule="auto"/>
        <w:rPr>
          <w:rFonts w:cs="Arial"/>
          <w:b/>
          <w:szCs w:val="24"/>
        </w:rPr>
      </w:pPr>
      <w:r>
        <w:rPr>
          <w:rFonts w:cs="Arial"/>
          <w:b/>
          <w:szCs w:val="24"/>
        </w:rPr>
        <w:br w:type="page"/>
      </w:r>
    </w:p>
    <w:p w14:paraId="7963C0B1" w14:textId="6781AB67" w:rsidR="00A76EF6" w:rsidRPr="001D0F5D" w:rsidRDefault="00A76EF6" w:rsidP="00A76EF6">
      <w:pPr>
        <w:rPr>
          <w:rFonts w:cs="Arial"/>
          <w:b/>
          <w:szCs w:val="24"/>
        </w:rPr>
      </w:pPr>
      <w:r w:rsidRPr="001D0F5D">
        <w:rPr>
          <w:rFonts w:cs="Arial"/>
          <w:b/>
          <w:szCs w:val="24"/>
        </w:rPr>
        <w:t>Human Trafficking</w:t>
      </w:r>
    </w:p>
    <w:p w14:paraId="02E42C48" w14:textId="77777777" w:rsidR="00A76EF6" w:rsidRPr="001D0F5D" w:rsidRDefault="00A76EF6" w:rsidP="00A76EF6">
      <w:pPr>
        <w:rPr>
          <w:rFonts w:cs="Arial"/>
          <w:szCs w:val="24"/>
        </w:rPr>
      </w:pPr>
      <w:r w:rsidRPr="001D0F5D">
        <w:rPr>
          <w:rFonts w:cs="Arial"/>
          <w:szCs w:val="24"/>
        </w:rPr>
        <w:t>A person commits an offence if:</w:t>
      </w:r>
    </w:p>
    <w:p w14:paraId="068381E1" w14:textId="77777777" w:rsidR="00A76EF6" w:rsidRPr="001D0F5D" w:rsidRDefault="00A76EF6" w:rsidP="000D3041">
      <w:pPr>
        <w:pStyle w:val="ListParagraph"/>
        <w:numPr>
          <w:ilvl w:val="0"/>
          <w:numId w:val="16"/>
        </w:numPr>
        <w:spacing w:before="0" w:after="160" w:line="259" w:lineRule="auto"/>
        <w:rPr>
          <w:rFonts w:cs="Arial"/>
          <w:szCs w:val="24"/>
        </w:rPr>
      </w:pPr>
      <w:r w:rsidRPr="001D0F5D">
        <w:rPr>
          <w:rFonts w:cs="Arial"/>
          <w:szCs w:val="24"/>
        </w:rPr>
        <w:t>The person arranges or facilitates the travel of another person (victim) with a view to being exploited;</w:t>
      </w:r>
    </w:p>
    <w:p w14:paraId="7E1A3F4C" w14:textId="27D657DE" w:rsidR="00A76EF6" w:rsidRDefault="00A76EF6" w:rsidP="000D3041">
      <w:pPr>
        <w:pStyle w:val="ListParagraph"/>
        <w:numPr>
          <w:ilvl w:val="0"/>
          <w:numId w:val="16"/>
        </w:numPr>
        <w:spacing w:before="0" w:after="160" w:line="259" w:lineRule="auto"/>
        <w:rPr>
          <w:rFonts w:cs="Arial"/>
          <w:szCs w:val="24"/>
        </w:rPr>
      </w:pPr>
      <w:r w:rsidRPr="001D0F5D">
        <w:rPr>
          <w:rFonts w:cs="Arial"/>
          <w:szCs w:val="24"/>
        </w:rPr>
        <w:t>It is irrelevant whether the victim consents to travel and whether or not the victim is an adult or a child.</w:t>
      </w:r>
    </w:p>
    <w:p w14:paraId="4FFB3E09" w14:textId="77777777" w:rsidR="00A76EF6" w:rsidRPr="001D0F5D" w:rsidRDefault="00A76EF6" w:rsidP="00A76EF6">
      <w:pPr>
        <w:rPr>
          <w:rFonts w:cs="Arial"/>
          <w:b/>
          <w:szCs w:val="24"/>
        </w:rPr>
      </w:pPr>
      <w:r w:rsidRPr="001D0F5D">
        <w:rPr>
          <w:rFonts w:cs="Arial"/>
          <w:b/>
          <w:szCs w:val="24"/>
        </w:rPr>
        <w:t>Exploitation</w:t>
      </w:r>
    </w:p>
    <w:p w14:paraId="7487BE80" w14:textId="77777777" w:rsidR="00A76EF6" w:rsidRPr="001D0F5D" w:rsidRDefault="00A76EF6" w:rsidP="00A76EF6">
      <w:pPr>
        <w:rPr>
          <w:rFonts w:cs="Arial"/>
          <w:szCs w:val="24"/>
        </w:rPr>
      </w:pPr>
      <w:r w:rsidRPr="001D0F5D">
        <w:rPr>
          <w:rFonts w:cs="Arial"/>
          <w:szCs w:val="24"/>
        </w:rPr>
        <w:t>A person is exploited if one or more of the following issues are identified in relation to the victim:</w:t>
      </w:r>
    </w:p>
    <w:p w14:paraId="16A42F89" w14:textId="77777777" w:rsidR="00A76EF6" w:rsidRPr="001D0F5D" w:rsidRDefault="00A76EF6" w:rsidP="000D3041">
      <w:pPr>
        <w:pStyle w:val="ListParagraph"/>
        <w:numPr>
          <w:ilvl w:val="0"/>
          <w:numId w:val="17"/>
        </w:numPr>
        <w:spacing w:before="0" w:after="160" w:line="259" w:lineRule="auto"/>
        <w:rPr>
          <w:rFonts w:cs="Arial"/>
          <w:szCs w:val="24"/>
        </w:rPr>
      </w:pPr>
      <w:r w:rsidRPr="001D0F5D">
        <w:rPr>
          <w:rFonts w:cs="Arial"/>
          <w:szCs w:val="24"/>
        </w:rPr>
        <w:t>Slavery, servitude, forced or compulsory labour;</w:t>
      </w:r>
    </w:p>
    <w:p w14:paraId="33C05823" w14:textId="77777777" w:rsidR="00A76EF6" w:rsidRPr="001D0F5D" w:rsidRDefault="00A76EF6" w:rsidP="000D3041">
      <w:pPr>
        <w:pStyle w:val="ListParagraph"/>
        <w:numPr>
          <w:ilvl w:val="0"/>
          <w:numId w:val="17"/>
        </w:numPr>
        <w:spacing w:before="0" w:after="160" w:line="259" w:lineRule="auto"/>
        <w:rPr>
          <w:rFonts w:cs="Arial"/>
          <w:szCs w:val="24"/>
        </w:rPr>
      </w:pPr>
      <w:r w:rsidRPr="001D0F5D">
        <w:rPr>
          <w:rFonts w:cs="Arial"/>
          <w:szCs w:val="24"/>
        </w:rPr>
        <w:t>Sexual exploitation;</w:t>
      </w:r>
    </w:p>
    <w:p w14:paraId="7502077C" w14:textId="77777777" w:rsidR="00A76EF6" w:rsidRPr="001D0F5D" w:rsidRDefault="00A76EF6" w:rsidP="000D3041">
      <w:pPr>
        <w:pStyle w:val="ListParagraph"/>
        <w:numPr>
          <w:ilvl w:val="0"/>
          <w:numId w:val="17"/>
        </w:numPr>
        <w:spacing w:before="0" w:after="160" w:line="259" w:lineRule="auto"/>
        <w:rPr>
          <w:rFonts w:cs="Arial"/>
          <w:szCs w:val="24"/>
        </w:rPr>
      </w:pPr>
      <w:r w:rsidRPr="001D0F5D">
        <w:rPr>
          <w:rFonts w:cs="Arial"/>
          <w:szCs w:val="24"/>
        </w:rPr>
        <w:t>Removal of organs;</w:t>
      </w:r>
    </w:p>
    <w:p w14:paraId="69E618E7" w14:textId="77777777" w:rsidR="00A76EF6" w:rsidRPr="001D0F5D" w:rsidRDefault="00A76EF6" w:rsidP="000D3041">
      <w:pPr>
        <w:pStyle w:val="ListParagraph"/>
        <w:numPr>
          <w:ilvl w:val="0"/>
          <w:numId w:val="17"/>
        </w:numPr>
        <w:spacing w:before="0" w:after="160" w:line="259" w:lineRule="auto"/>
        <w:rPr>
          <w:rFonts w:cs="Arial"/>
          <w:szCs w:val="24"/>
        </w:rPr>
      </w:pPr>
      <w:r w:rsidRPr="001D0F5D">
        <w:rPr>
          <w:rFonts w:cs="Arial"/>
          <w:szCs w:val="24"/>
        </w:rPr>
        <w:t>Securing services by force, threats and deception;</w:t>
      </w:r>
    </w:p>
    <w:p w14:paraId="3B5655AC" w14:textId="1BC9B5C4" w:rsidR="00A76EF6" w:rsidRDefault="00A76EF6" w:rsidP="000D3041">
      <w:pPr>
        <w:pStyle w:val="ListParagraph"/>
        <w:numPr>
          <w:ilvl w:val="0"/>
          <w:numId w:val="17"/>
        </w:numPr>
        <w:spacing w:before="0" w:after="160" w:line="259" w:lineRule="auto"/>
        <w:rPr>
          <w:rFonts w:cs="Arial"/>
          <w:szCs w:val="24"/>
        </w:rPr>
      </w:pPr>
      <w:r w:rsidRPr="001D0F5D">
        <w:rPr>
          <w:rFonts w:cs="Arial"/>
          <w:szCs w:val="24"/>
        </w:rPr>
        <w:t>Securing services from children, young people and vulnerable persons.</w:t>
      </w:r>
    </w:p>
    <w:p w14:paraId="7A2175B5" w14:textId="36E92103" w:rsidR="00A76EF6" w:rsidRPr="001D0F5D" w:rsidRDefault="00A76EF6" w:rsidP="00A76EF6">
      <w:pPr>
        <w:rPr>
          <w:rFonts w:cs="Arial"/>
          <w:b/>
          <w:szCs w:val="24"/>
        </w:rPr>
      </w:pPr>
      <w:r w:rsidRPr="001D0F5D">
        <w:rPr>
          <w:rFonts w:cs="Arial"/>
          <w:b/>
          <w:szCs w:val="24"/>
        </w:rPr>
        <w:t>Organisational Structure</w:t>
      </w:r>
    </w:p>
    <w:p w14:paraId="70AD92DE" w14:textId="77777777" w:rsidR="00A76EF6" w:rsidRPr="001D0F5D" w:rsidRDefault="00A76EF6" w:rsidP="00A76EF6">
      <w:pPr>
        <w:rPr>
          <w:rFonts w:cs="Arial"/>
          <w:szCs w:val="24"/>
        </w:rPr>
      </w:pPr>
      <w:r w:rsidRPr="001D0F5D">
        <w:rPr>
          <w:rFonts w:cs="Arial"/>
          <w:szCs w:val="24"/>
        </w:rPr>
        <w:t xml:space="preserve">As an authorised statutory body, the CCG is the lead commissioner for health care services (including acute, community, mental health and primary care) </w:t>
      </w:r>
      <w:r>
        <w:rPr>
          <w:rFonts w:cs="Arial"/>
          <w:szCs w:val="24"/>
        </w:rPr>
        <w:t xml:space="preserve">in </w:t>
      </w:r>
      <w:r w:rsidRPr="001D0F5D">
        <w:rPr>
          <w:rFonts w:cs="Arial"/>
          <w:szCs w:val="24"/>
        </w:rPr>
        <w:t>Basildon and Brentwood</w:t>
      </w:r>
      <w:r>
        <w:rPr>
          <w:rFonts w:cs="Arial"/>
          <w:szCs w:val="24"/>
        </w:rPr>
        <w:t xml:space="preserve">, </w:t>
      </w:r>
      <w:r w:rsidRPr="001D0F5D">
        <w:rPr>
          <w:rFonts w:cs="Arial"/>
          <w:szCs w:val="24"/>
        </w:rPr>
        <w:t>Essex. The Membership, Governing Body, Executive Team and all employees are committed to ensuring that there is no modern slavery or human trafficking in any part of our business activity and in so far as is possible to holding our suppliers to account to do likewise.</w:t>
      </w:r>
    </w:p>
    <w:p w14:paraId="4DE84110" w14:textId="77777777" w:rsidR="00A76EF6" w:rsidRDefault="00A76EF6" w:rsidP="00A76EF6">
      <w:pPr>
        <w:rPr>
          <w:rFonts w:cs="Arial"/>
          <w:b/>
          <w:szCs w:val="24"/>
        </w:rPr>
      </w:pPr>
      <w:r w:rsidRPr="001D0F5D">
        <w:rPr>
          <w:rFonts w:cs="Arial"/>
          <w:b/>
          <w:szCs w:val="24"/>
        </w:rPr>
        <w:t>Our approach</w:t>
      </w:r>
    </w:p>
    <w:p w14:paraId="6214EABC" w14:textId="77777777" w:rsidR="00A76EF6" w:rsidRPr="001D0F5D" w:rsidRDefault="00A76EF6" w:rsidP="00A76EF6">
      <w:pPr>
        <w:rPr>
          <w:rFonts w:cs="Arial"/>
          <w:b/>
          <w:szCs w:val="24"/>
        </w:rPr>
      </w:pPr>
      <w:r w:rsidRPr="001D0F5D">
        <w:rPr>
          <w:rFonts w:cs="Arial"/>
          <w:szCs w:val="24"/>
        </w:rPr>
        <w:t>Our overall approach is governed by compliance with legislative and regulatory requirements and the maintenance and development of best practice in the fields of contracting and employment. The CCG recognises safeguarding as a high priority for the organisation. In order to achieve this, we ensure that we have arrangements in place to provide strong leadership, vision and direction for safeguarding. We make sure we have clear accessible policies and procedures in line with relevant legislation, statutory guidance and best practice.</w:t>
      </w:r>
    </w:p>
    <w:p w14:paraId="577E2C07" w14:textId="77777777" w:rsidR="00A76EF6" w:rsidRPr="001D0F5D" w:rsidRDefault="00A76EF6" w:rsidP="00A76EF6">
      <w:pPr>
        <w:rPr>
          <w:rFonts w:cs="Arial"/>
          <w:b/>
          <w:szCs w:val="24"/>
        </w:rPr>
      </w:pPr>
      <w:r w:rsidRPr="001D0F5D">
        <w:rPr>
          <w:rFonts w:cs="Arial"/>
          <w:b/>
          <w:szCs w:val="24"/>
        </w:rPr>
        <w:t>The organisational structure, business and supply chain</w:t>
      </w:r>
    </w:p>
    <w:p w14:paraId="1E6BDA71" w14:textId="00F8ABF7" w:rsidR="00A76EF6" w:rsidRPr="001D0F5D" w:rsidRDefault="00A76EF6" w:rsidP="00A76EF6">
      <w:pPr>
        <w:rPr>
          <w:rFonts w:cs="Arial"/>
          <w:szCs w:val="24"/>
        </w:rPr>
      </w:pPr>
      <w:r w:rsidRPr="001D0F5D">
        <w:rPr>
          <w:rFonts w:cs="Arial"/>
          <w:szCs w:val="24"/>
        </w:rPr>
        <w:t xml:space="preserve">We have a clear line of accountability for safeguarding within the CCG. The CCG’s Accountable Officer has ultimate accountability for ensuring that the health contribution to safeguarding and promoting the welfare of children and adults is discharged effectively across the whole health economy through commissioning arrangements. The Executive Director of Nursing and Quality is the Governing Body executive lead for </w:t>
      </w:r>
      <w:r w:rsidR="00D72B1A" w:rsidRPr="001D0F5D">
        <w:rPr>
          <w:rFonts w:cs="Arial"/>
          <w:szCs w:val="24"/>
        </w:rPr>
        <w:t>safeguarding and</w:t>
      </w:r>
      <w:r w:rsidRPr="001D0F5D">
        <w:rPr>
          <w:rFonts w:cs="Arial"/>
          <w:szCs w:val="24"/>
        </w:rPr>
        <w:t xml:space="preserve"> has responsibility for providing leadership and gaining assurance in relation to safeguarding issues within the CCG and locality. The CCG employs the expertise of designated professionals for both children and adults. These roles are an integral part of the CCG’s activity and support the delivery of the safeguarding adult and children agenda.</w:t>
      </w:r>
    </w:p>
    <w:p w14:paraId="2AA7E8FC" w14:textId="77777777" w:rsidR="00A76EF6" w:rsidRPr="001D0F5D" w:rsidRDefault="00A76EF6" w:rsidP="00A76EF6">
      <w:pPr>
        <w:rPr>
          <w:rFonts w:cs="Arial"/>
          <w:b/>
          <w:szCs w:val="24"/>
        </w:rPr>
      </w:pPr>
      <w:r w:rsidRPr="001D0F5D">
        <w:rPr>
          <w:rFonts w:cs="Arial"/>
          <w:b/>
          <w:szCs w:val="24"/>
        </w:rPr>
        <w:t>Procurement</w:t>
      </w:r>
    </w:p>
    <w:p w14:paraId="06A1CD6A" w14:textId="77777777" w:rsidR="00A76EF6" w:rsidRPr="001D0F5D" w:rsidRDefault="00A76EF6" w:rsidP="00A76EF6">
      <w:pPr>
        <w:rPr>
          <w:rFonts w:cs="Arial"/>
          <w:szCs w:val="24"/>
        </w:rPr>
      </w:pPr>
      <w:r w:rsidRPr="001D0F5D">
        <w:rPr>
          <w:rFonts w:cs="Arial"/>
          <w:szCs w:val="24"/>
        </w:rPr>
        <w:t>The CCG ensures that organisations commissioned to provide services have appropriate systems that safeguard children in line with section 11 of the Children Act (2004), and adults in line The Mental Capacity Act 2005, The Care Act 2014 and The Modern Slavery Act 2015. With regards specifically to the Modern Slavery Act 2015, there is a specific question in our standard set in the pre-qualification questionnaire so that we can be assured of the approach of potential providers at the outset of procurement. In addition, the CCG’s contractual agreements (Standard NHS Contract) contain an obligation within clause SC1.2.2 for providers of services to ‘</w:t>
      </w:r>
      <w:r w:rsidRPr="001D0F5D">
        <w:rPr>
          <w:rFonts w:cs="Arial"/>
          <w:i/>
          <w:szCs w:val="24"/>
        </w:rPr>
        <w:t>perform all of its obligations under the Contract in accordance with</w:t>
      </w:r>
      <w:r w:rsidRPr="001D0F5D">
        <w:rPr>
          <w:rFonts w:cs="Arial"/>
          <w:szCs w:val="24"/>
        </w:rPr>
        <w:t>’:</w:t>
      </w:r>
    </w:p>
    <w:p w14:paraId="08520206" w14:textId="77777777" w:rsidR="00A76EF6" w:rsidRPr="001D0F5D" w:rsidRDefault="00A76EF6" w:rsidP="001F31F8">
      <w:pPr>
        <w:spacing w:before="0" w:after="120"/>
        <w:ind w:left="720"/>
        <w:rPr>
          <w:rFonts w:cs="Arial"/>
          <w:szCs w:val="24"/>
        </w:rPr>
      </w:pPr>
      <w:r w:rsidRPr="001D0F5D">
        <w:rPr>
          <w:rFonts w:cs="Arial"/>
          <w:szCs w:val="24"/>
        </w:rPr>
        <w:t>1.1.1 the terms of this Contract; and</w:t>
      </w:r>
    </w:p>
    <w:p w14:paraId="4D246197" w14:textId="77777777" w:rsidR="00A76EF6" w:rsidRPr="001D0F5D" w:rsidRDefault="00A76EF6" w:rsidP="001F31F8">
      <w:pPr>
        <w:spacing w:before="0" w:after="120"/>
        <w:ind w:left="720"/>
        <w:rPr>
          <w:rFonts w:cs="Arial"/>
          <w:szCs w:val="24"/>
        </w:rPr>
      </w:pPr>
      <w:r w:rsidRPr="001D0F5D">
        <w:rPr>
          <w:rFonts w:cs="Arial"/>
          <w:szCs w:val="24"/>
        </w:rPr>
        <w:t>1.1.2 the Law; and</w:t>
      </w:r>
    </w:p>
    <w:p w14:paraId="07C0CDA7" w14:textId="77777777" w:rsidR="00A76EF6" w:rsidRPr="001D0F5D" w:rsidRDefault="00A76EF6" w:rsidP="001F31F8">
      <w:pPr>
        <w:spacing w:before="0" w:after="120"/>
        <w:ind w:left="720"/>
        <w:rPr>
          <w:rFonts w:cs="Arial"/>
          <w:szCs w:val="24"/>
        </w:rPr>
      </w:pPr>
      <w:r w:rsidRPr="001D0F5D">
        <w:rPr>
          <w:rFonts w:cs="Arial"/>
          <w:szCs w:val="24"/>
        </w:rPr>
        <w:t>1.1.3 Good Practice’</w:t>
      </w:r>
    </w:p>
    <w:p w14:paraId="0A9E3372" w14:textId="50C33EBF" w:rsidR="00A76EF6" w:rsidRDefault="00A76EF6" w:rsidP="00A76EF6">
      <w:pPr>
        <w:rPr>
          <w:rFonts w:cs="Arial"/>
          <w:szCs w:val="24"/>
        </w:rPr>
      </w:pPr>
      <w:r w:rsidRPr="001D0F5D">
        <w:rPr>
          <w:rFonts w:cs="Arial"/>
          <w:szCs w:val="24"/>
        </w:rPr>
        <w:t>Further, under SC32 Safety and Safeguarding there is a requirement upon all of our providers to have in place programmes for safeguarding and to co-operate with the Commissioner in pursuance of these.</w:t>
      </w:r>
    </w:p>
    <w:p w14:paraId="72286398" w14:textId="77777777" w:rsidR="00A76EF6" w:rsidRPr="001D0F5D" w:rsidRDefault="00A76EF6" w:rsidP="00BC3673">
      <w:pPr>
        <w:spacing w:before="360"/>
        <w:rPr>
          <w:rFonts w:cs="Arial"/>
          <w:b/>
          <w:szCs w:val="24"/>
        </w:rPr>
      </w:pPr>
      <w:r w:rsidRPr="001D0F5D">
        <w:rPr>
          <w:rFonts w:cs="Arial"/>
          <w:b/>
          <w:szCs w:val="24"/>
        </w:rPr>
        <w:t>The policies in relation to Modern Slavery and Human Trafficking</w:t>
      </w:r>
    </w:p>
    <w:p w14:paraId="1281AD7E" w14:textId="77777777" w:rsidR="00A76EF6" w:rsidRPr="001D0F5D" w:rsidRDefault="00A76EF6" w:rsidP="00A76EF6">
      <w:pPr>
        <w:rPr>
          <w:rFonts w:cs="Arial"/>
          <w:szCs w:val="24"/>
        </w:rPr>
      </w:pPr>
      <w:r w:rsidRPr="001D0F5D">
        <w:rPr>
          <w:rFonts w:cs="Arial"/>
          <w:szCs w:val="24"/>
        </w:rPr>
        <w:t xml:space="preserve">Across Essex there are multi-agency policy and procedures for the protection of adults and children; all organisations will report any concerns direct to the police or via the referral procedures identified in local policy. </w:t>
      </w:r>
    </w:p>
    <w:p w14:paraId="13E96436" w14:textId="77777777" w:rsidR="00A76EF6" w:rsidRPr="001D0F5D" w:rsidRDefault="00A76EF6" w:rsidP="00BC3673">
      <w:pPr>
        <w:spacing w:before="360"/>
        <w:rPr>
          <w:rFonts w:cs="Arial"/>
          <w:b/>
          <w:szCs w:val="24"/>
        </w:rPr>
      </w:pPr>
      <w:r w:rsidRPr="001D0F5D">
        <w:rPr>
          <w:rFonts w:cs="Arial"/>
          <w:b/>
          <w:szCs w:val="24"/>
        </w:rPr>
        <w:t>The due diligence processes in relation to Slavery and Human Trafficking in its business and supply chains</w:t>
      </w:r>
    </w:p>
    <w:p w14:paraId="7BB63040" w14:textId="77777777" w:rsidR="00A76EF6" w:rsidRPr="001D0F5D" w:rsidRDefault="00A76EF6" w:rsidP="00A76EF6">
      <w:pPr>
        <w:rPr>
          <w:rFonts w:cs="Arial"/>
          <w:szCs w:val="24"/>
        </w:rPr>
      </w:pPr>
      <w:r w:rsidRPr="001D0F5D">
        <w:rPr>
          <w:rFonts w:cs="Arial"/>
          <w:szCs w:val="24"/>
        </w:rPr>
        <w:t>The CCG is committed to ensuring that there is no Modern Slavery or Human Trafficking in our supply chains or in any part of our business. Safe recruitment principles are adhered to which includes strict requirements in respect of identity checks, work permits and criminal records. The pay structure is derived from national collective agreements and is based on equal pay principles with rates of pay that are nationally determined. Systems are in place to encourage the reporting of concerns and the protection of whistle blowers.</w:t>
      </w:r>
    </w:p>
    <w:p w14:paraId="1765EFC7" w14:textId="3F7D5867" w:rsidR="00A76EF6" w:rsidRDefault="00A76EF6" w:rsidP="00A76EF6">
      <w:pPr>
        <w:rPr>
          <w:rFonts w:cs="Arial"/>
          <w:szCs w:val="24"/>
        </w:rPr>
      </w:pPr>
      <w:r w:rsidRPr="001D0F5D">
        <w:rPr>
          <w:rFonts w:cs="Arial"/>
          <w:szCs w:val="24"/>
        </w:rPr>
        <w:t>With regards to providers and supply chains, we expect these entities to have suitable anti-slavery and human trafficking policies and processes in place. We will use our routine contract management meetings with major providers to hold them explicitly to account for compliance with the Act and we will implement any relevant clauses contained within the Standard NHS Contract for 2022/23.</w:t>
      </w:r>
    </w:p>
    <w:p w14:paraId="46B5435B" w14:textId="77777777" w:rsidR="00BC3673" w:rsidRPr="001D0F5D" w:rsidRDefault="00BC3673" w:rsidP="00A76EF6">
      <w:pPr>
        <w:rPr>
          <w:rFonts w:cs="Arial"/>
          <w:szCs w:val="24"/>
        </w:rPr>
      </w:pPr>
    </w:p>
    <w:p w14:paraId="3CAC67C1" w14:textId="77777777" w:rsidR="00A76EF6" w:rsidRPr="001D0F5D" w:rsidRDefault="00A76EF6" w:rsidP="00A76EF6">
      <w:pPr>
        <w:rPr>
          <w:rFonts w:cs="Arial"/>
          <w:b/>
          <w:szCs w:val="24"/>
        </w:rPr>
      </w:pPr>
      <w:r w:rsidRPr="001D0F5D">
        <w:rPr>
          <w:rFonts w:cs="Arial"/>
          <w:b/>
          <w:szCs w:val="24"/>
        </w:rPr>
        <w:t>The parts of its business and supply chains where there is a risk of Modern Slavery and Human Trafficking taking place, and the steps it has taken to assess and manage that risk</w:t>
      </w:r>
    </w:p>
    <w:p w14:paraId="3D153560" w14:textId="77777777" w:rsidR="00A76EF6" w:rsidRPr="001D0F5D" w:rsidRDefault="00A76EF6" w:rsidP="00A76EF6">
      <w:pPr>
        <w:rPr>
          <w:rFonts w:cs="Arial"/>
          <w:szCs w:val="24"/>
        </w:rPr>
      </w:pPr>
      <w:r w:rsidRPr="001D0F5D">
        <w:rPr>
          <w:rFonts w:cs="Arial"/>
          <w:szCs w:val="24"/>
        </w:rPr>
        <w:t>The CCG is committed to social and environmental responsibility and has zero tolerance for Modern Slavery and Human Trafficking. Any identified concerns regarding Modern Slavery and Human Trafficking would be escalated as part of the organisational safeguarding process and in conjunction with partner agencies; such as the Local Authority and Police.</w:t>
      </w:r>
    </w:p>
    <w:p w14:paraId="71AD6AAE" w14:textId="77777777" w:rsidR="00A76EF6" w:rsidRPr="001D0F5D" w:rsidRDefault="00A76EF6" w:rsidP="00A76EF6">
      <w:pPr>
        <w:rPr>
          <w:rFonts w:cs="Arial"/>
          <w:b/>
          <w:szCs w:val="24"/>
        </w:rPr>
      </w:pPr>
      <w:r w:rsidRPr="001D0F5D">
        <w:rPr>
          <w:rFonts w:cs="Arial"/>
          <w:b/>
          <w:szCs w:val="24"/>
        </w:rPr>
        <w:t>The effectiveness in ensuring that Slavery and Human Trafficking is not taking place in its business or supply chains, measured against such performance indicators as it considers appropriate</w:t>
      </w:r>
    </w:p>
    <w:p w14:paraId="24E28801" w14:textId="77777777" w:rsidR="00A76EF6" w:rsidRPr="001D0F5D" w:rsidRDefault="00A76EF6" w:rsidP="00A76EF6">
      <w:pPr>
        <w:rPr>
          <w:rFonts w:cs="Arial"/>
          <w:szCs w:val="24"/>
        </w:rPr>
      </w:pPr>
      <w:r w:rsidRPr="001D0F5D">
        <w:rPr>
          <w:rFonts w:cs="Arial"/>
          <w:szCs w:val="24"/>
        </w:rPr>
        <w:t>The CCG aims to be as effective as possible in ensuring that modern slavery and Human Trafficking is not taking place in any part of our business or supply chains by:</w:t>
      </w:r>
    </w:p>
    <w:p w14:paraId="21884C55" w14:textId="77777777" w:rsidR="00A76EF6" w:rsidRPr="001D0F5D" w:rsidRDefault="00A76EF6" w:rsidP="000D3041">
      <w:pPr>
        <w:pStyle w:val="ListParagraph"/>
        <w:numPr>
          <w:ilvl w:val="0"/>
          <w:numId w:val="18"/>
        </w:numPr>
        <w:spacing w:before="0" w:after="160" w:line="259" w:lineRule="auto"/>
        <w:rPr>
          <w:rFonts w:cs="Arial"/>
          <w:szCs w:val="24"/>
        </w:rPr>
      </w:pPr>
      <w:r w:rsidRPr="001D0F5D">
        <w:rPr>
          <w:rFonts w:cs="Arial"/>
          <w:szCs w:val="24"/>
        </w:rPr>
        <w:t>Effective interagency working with local authorities, the police and third sector organisations which includes appropriate arrangements for preventing and responding to modern slavery and Human Trafficking;</w:t>
      </w:r>
    </w:p>
    <w:p w14:paraId="04E514AD" w14:textId="77777777" w:rsidR="00A76EF6" w:rsidRPr="001D0F5D" w:rsidRDefault="00A76EF6" w:rsidP="000D3041">
      <w:pPr>
        <w:pStyle w:val="ListParagraph"/>
        <w:numPr>
          <w:ilvl w:val="0"/>
          <w:numId w:val="18"/>
        </w:numPr>
        <w:spacing w:before="0" w:after="160" w:line="259" w:lineRule="auto"/>
        <w:rPr>
          <w:rFonts w:cs="Arial"/>
          <w:szCs w:val="24"/>
        </w:rPr>
      </w:pPr>
      <w:r w:rsidRPr="001D0F5D">
        <w:rPr>
          <w:rFonts w:cs="Arial"/>
          <w:szCs w:val="24"/>
        </w:rPr>
        <w:t>Signing up to the Southend, Essex and Thurrock multi-agency policy and procedures for the safeguarding and protection of adults and children;</w:t>
      </w:r>
    </w:p>
    <w:p w14:paraId="6356E260" w14:textId="77777777" w:rsidR="00A76EF6" w:rsidRPr="001D0F5D" w:rsidRDefault="00A76EF6" w:rsidP="000D3041">
      <w:pPr>
        <w:pStyle w:val="ListParagraph"/>
        <w:numPr>
          <w:ilvl w:val="0"/>
          <w:numId w:val="18"/>
        </w:numPr>
        <w:spacing w:before="0" w:after="160" w:line="259" w:lineRule="auto"/>
        <w:rPr>
          <w:rFonts w:cs="Arial"/>
          <w:szCs w:val="24"/>
        </w:rPr>
      </w:pPr>
      <w:r w:rsidRPr="001D0F5D">
        <w:rPr>
          <w:rFonts w:cs="Arial"/>
          <w:szCs w:val="24"/>
        </w:rPr>
        <w:t>Undertaking robust NHS employment checks and payroll systems;</w:t>
      </w:r>
    </w:p>
    <w:p w14:paraId="17375931" w14:textId="77777777" w:rsidR="00A76EF6" w:rsidRPr="001D0F5D" w:rsidRDefault="00A76EF6" w:rsidP="000D3041">
      <w:pPr>
        <w:pStyle w:val="ListParagraph"/>
        <w:numPr>
          <w:ilvl w:val="0"/>
          <w:numId w:val="18"/>
        </w:numPr>
        <w:spacing w:before="0" w:after="160" w:line="259" w:lineRule="auto"/>
        <w:rPr>
          <w:rFonts w:cs="Arial"/>
          <w:szCs w:val="24"/>
        </w:rPr>
      </w:pPr>
      <w:r w:rsidRPr="001D0F5D">
        <w:rPr>
          <w:rFonts w:cs="Arial"/>
          <w:szCs w:val="24"/>
        </w:rPr>
        <w:t>Ensuring good communication through contract management meetings, with our commissioned providers in the supply chain and their understanding of, and compliance with, our expectations in relation to the NHS terms and conditions. These conditions relate to issues including bribery, slavery and other ethical considerations.</w:t>
      </w:r>
    </w:p>
    <w:p w14:paraId="416557E3" w14:textId="77777777" w:rsidR="00A76EF6" w:rsidRPr="001D0F5D" w:rsidRDefault="00A76EF6" w:rsidP="00A76EF6">
      <w:pPr>
        <w:rPr>
          <w:rFonts w:cs="Arial"/>
          <w:b/>
          <w:szCs w:val="24"/>
        </w:rPr>
      </w:pPr>
      <w:r w:rsidRPr="001D0F5D">
        <w:rPr>
          <w:rFonts w:cs="Arial"/>
          <w:b/>
          <w:szCs w:val="24"/>
        </w:rPr>
        <w:t>Training about Modern Slavery and Human Trafficking</w:t>
      </w:r>
    </w:p>
    <w:p w14:paraId="67E963F2" w14:textId="77777777" w:rsidR="00A76EF6" w:rsidRPr="001D0F5D" w:rsidRDefault="00A76EF6" w:rsidP="00A76EF6">
      <w:pPr>
        <w:rPr>
          <w:rFonts w:cs="Arial"/>
          <w:szCs w:val="24"/>
        </w:rPr>
      </w:pPr>
      <w:r w:rsidRPr="001D0F5D">
        <w:rPr>
          <w:rFonts w:cs="Arial"/>
          <w:szCs w:val="24"/>
        </w:rPr>
        <w:t>Modern Slavery and Human Trafficking is part of the organisation’s mandatory safeguarding children and adults training programme.</w:t>
      </w:r>
    </w:p>
    <w:p w14:paraId="7FAC3BDD" w14:textId="77777777" w:rsidR="00A76EF6" w:rsidRPr="001D0F5D" w:rsidRDefault="00A76EF6" w:rsidP="00A76EF6">
      <w:pPr>
        <w:rPr>
          <w:rFonts w:cs="Arial"/>
          <w:szCs w:val="24"/>
        </w:rPr>
      </w:pPr>
      <w:r w:rsidRPr="001D0F5D">
        <w:rPr>
          <w:rFonts w:cs="Arial"/>
          <w:szCs w:val="24"/>
        </w:rPr>
        <w:t>This statement is made pursuant to Section 54(1) of the Modern Slavery Act 2015 and constitutes our organisation’s modern slavery and human trafficking statement for the current financial year.</w:t>
      </w:r>
    </w:p>
    <w:p w14:paraId="4047B3C9" w14:textId="32E5CF07" w:rsidR="00E06CCF" w:rsidRPr="007830C3" w:rsidRDefault="00E06CCF" w:rsidP="00FF0E5D">
      <w:pPr>
        <w:pStyle w:val="Heading3"/>
      </w:pPr>
      <w:bookmarkStart w:id="132" w:name="_Toc107389464"/>
      <w:r w:rsidRPr="007830C3">
        <w:t>Statement of Accountable Officer’s Responsibilities</w:t>
      </w:r>
      <w:bookmarkEnd w:id="130"/>
      <w:bookmarkEnd w:id="131"/>
      <w:bookmarkEnd w:id="132"/>
      <w:r w:rsidRPr="007830C3">
        <w:t xml:space="preserve"> </w:t>
      </w:r>
    </w:p>
    <w:p w14:paraId="4D857E2E" w14:textId="77777777" w:rsidR="00E06CCF" w:rsidRPr="00E06CCF" w:rsidRDefault="00E06CCF" w:rsidP="00E06CCF">
      <w:pPr>
        <w:pStyle w:val="BodyText"/>
      </w:pPr>
      <w:r w:rsidRPr="007830C3">
        <w:t xml:space="preserve">The National Health Service Act 2006 (as amended) states that each Clinical Commissioning Group shall have an Accountable Officer and that Officer shall be </w:t>
      </w:r>
      <w:r w:rsidRPr="00AD6DF7">
        <w:t>appointed by the NHS Commissioning Board (NHS England).  NHS England has appointed the [inset post holder title] to be the Accountable Officer of [Name of CCG].</w:t>
      </w:r>
    </w:p>
    <w:p w14:paraId="15469B7B" w14:textId="77777777" w:rsidR="00E06CCF" w:rsidRPr="00E06CCF" w:rsidRDefault="00E06CCF" w:rsidP="00E06CCF">
      <w:pPr>
        <w:pStyle w:val="BodyText"/>
      </w:pPr>
      <w:r w:rsidRPr="00E06CCF">
        <w:t xml:space="preserve">The responsibilities of an Accountable Officer are set out under the National Health Service Act 2006 (as amended), Managing Public Money and in the Clinical Commissioning Group Accountable Officer Appointment Letter.  They include responsibilities for: </w:t>
      </w:r>
    </w:p>
    <w:p w14:paraId="50C77F52" w14:textId="5A147A93" w:rsidR="00E06CCF" w:rsidRPr="00E06CCF" w:rsidRDefault="00E06CCF" w:rsidP="000D3041">
      <w:pPr>
        <w:pStyle w:val="BodyText"/>
        <w:numPr>
          <w:ilvl w:val="0"/>
          <w:numId w:val="3"/>
        </w:numPr>
        <w:ind w:left="714" w:hanging="357"/>
        <w:contextualSpacing/>
      </w:pPr>
      <w:r w:rsidRPr="00E06CCF">
        <w:t>The propriety and regularity of the public finances for which the Accountable Officer is answerable</w:t>
      </w:r>
      <w:r w:rsidR="00D47C41">
        <w:t>.</w:t>
      </w:r>
    </w:p>
    <w:p w14:paraId="106C4B21" w14:textId="6D1E4E7C" w:rsidR="00E06CCF" w:rsidRPr="00E06CCF" w:rsidRDefault="00E06CCF" w:rsidP="000D3041">
      <w:pPr>
        <w:pStyle w:val="BodyText"/>
        <w:numPr>
          <w:ilvl w:val="0"/>
          <w:numId w:val="3"/>
        </w:numPr>
        <w:ind w:left="714" w:hanging="357"/>
        <w:contextualSpacing/>
      </w:pPr>
      <w:r w:rsidRPr="00E06CCF">
        <w:t>For keeping proper accounting records (which disclose with reasonable accuracy at any time the financial position of the Clinical Commissioning Group and enable them to ensure that the accounts comply with the requirements of the Accounts Direction)</w:t>
      </w:r>
      <w:r w:rsidR="00D47C41">
        <w:t>.</w:t>
      </w:r>
    </w:p>
    <w:p w14:paraId="258AD867" w14:textId="77777777" w:rsidR="00E06CCF" w:rsidRPr="00E06CCF" w:rsidRDefault="00E06CCF" w:rsidP="000D3041">
      <w:pPr>
        <w:pStyle w:val="BodyText"/>
        <w:numPr>
          <w:ilvl w:val="0"/>
          <w:numId w:val="3"/>
        </w:numPr>
        <w:ind w:left="714" w:hanging="357"/>
        <w:contextualSpacing/>
      </w:pPr>
      <w:r w:rsidRPr="00E06CCF">
        <w:t>For safeguarding the Clinical Commissioning Group’s assets (and hence for taking reasonable steps for the prevention and detection of fraud and other irregularities).</w:t>
      </w:r>
    </w:p>
    <w:p w14:paraId="5A9CAFB9" w14:textId="608270DD" w:rsidR="00E06CCF" w:rsidRPr="00E06CCF" w:rsidRDefault="00E06CCF" w:rsidP="000D3041">
      <w:pPr>
        <w:pStyle w:val="BodyText"/>
        <w:numPr>
          <w:ilvl w:val="0"/>
          <w:numId w:val="3"/>
        </w:numPr>
        <w:ind w:left="714" w:hanging="357"/>
        <w:contextualSpacing/>
      </w:pPr>
      <w:r w:rsidRPr="00E06CCF">
        <w:t>The relevant responsibilities of accounting officers under Managing Public Money</w:t>
      </w:r>
      <w:r w:rsidR="00D47C41">
        <w:t>.</w:t>
      </w:r>
    </w:p>
    <w:p w14:paraId="480E30E9" w14:textId="1E95BC7C" w:rsidR="00E06CCF" w:rsidRPr="00E06CCF" w:rsidRDefault="00E06CCF" w:rsidP="000D3041">
      <w:pPr>
        <w:pStyle w:val="BodyText"/>
        <w:numPr>
          <w:ilvl w:val="0"/>
          <w:numId w:val="3"/>
        </w:numPr>
        <w:ind w:left="714" w:hanging="357"/>
        <w:contextualSpacing/>
      </w:pPr>
      <w:r w:rsidRPr="00E06CCF">
        <w:t>Ensuring the CCG exercises its functions effectively, efficiently and economically (in accordance with Section 14Q of the National Health Service Act 2006 as amended and with a view to securing continuous improvement in the quality of services (in accordance with Section14R of the National Health Service Act 2006 as amended)</w:t>
      </w:r>
      <w:r w:rsidR="00D47C41">
        <w:t>.</w:t>
      </w:r>
    </w:p>
    <w:p w14:paraId="68B7D457" w14:textId="7208769E" w:rsidR="00E06CCF" w:rsidRDefault="00E06CCF" w:rsidP="000D3041">
      <w:pPr>
        <w:pStyle w:val="BodyText"/>
        <w:numPr>
          <w:ilvl w:val="0"/>
          <w:numId w:val="3"/>
        </w:numPr>
        <w:ind w:left="714" w:hanging="357"/>
      </w:pPr>
      <w:r w:rsidRPr="00E06CCF">
        <w:t>Ensuring that the CCG complies with its financial duties under Sections 223H to 223J of the National Health Service Act 2006 as amended.</w:t>
      </w:r>
    </w:p>
    <w:p w14:paraId="1E9D1098" w14:textId="0A925543" w:rsidR="00CD505D" w:rsidRDefault="00E06CCF" w:rsidP="00CD505D">
      <w:pPr>
        <w:pStyle w:val="BodyText"/>
        <w:spacing w:before="480"/>
      </w:pPr>
      <w:r w:rsidRPr="00E06CCF">
        <w:t>Under the National Health Service Act 2006 as amended, NHS England has directed each Clinical Commissioning Group to prepare for each financial year a statement of accounts in the form and on the basis set out in the Accounts Direction. The accounts are prepared on an accruals basis and must give a true and fair view of the state of affairs of the Clinical Commissioning Group and of its income and expenditure, Statement of Financial Position and cash flows for the financial year.</w:t>
      </w:r>
    </w:p>
    <w:p w14:paraId="164AC73D" w14:textId="5F80F818" w:rsidR="00E06CCF" w:rsidRPr="00E06CCF" w:rsidRDefault="00E06CCF" w:rsidP="00CD505D">
      <w:pPr>
        <w:pStyle w:val="BodyText"/>
        <w:spacing w:before="480"/>
      </w:pPr>
      <w:r w:rsidRPr="00E06CCF">
        <w:t>In preparing the accounts, the Accountable Officer is required to comply with the requirements of the Government Financial Reporting Manual and in particular to:</w:t>
      </w:r>
    </w:p>
    <w:p w14:paraId="4DCA2F13" w14:textId="29AF71EF" w:rsidR="00E06CCF" w:rsidRPr="00E06CCF" w:rsidRDefault="00E06CCF" w:rsidP="000D3041">
      <w:pPr>
        <w:pStyle w:val="BodyText"/>
        <w:numPr>
          <w:ilvl w:val="0"/>
          <w:numId w:val="4"/>
        </w:numPr>
        <w:ind w:left="714" w:hanging="357"/>
        <w:contextualSpacing/>
      </w:pPr>
      <w:r w:rsidRPr="00E06CCF">
        <w:t>Observe the Accounts Direction issued by NHS England, including the relevant accounting and disclosure requirements, and apply suitable accounting policies on a consistent basis</w:t>
      </w:r>
      <w:r w:rsidR="00D47C41">
        <w:t>.</w:t>
      </w:r>
    </w:p>
    <w:p w14:paraId="607CC36B" w14:textId="429944D2" w:rsidR="00E06CCF" w:rsidRPr="00E06CCF" w:rsidRDefault="00E06CCF" w:rsidP="000D3041">
      <w:pPr>
        <w:pStyle w:val="BodyText"/>
        <w:numPr>
          <w:ilvl w:val="0"/>
          <w:numId w:val="4"/>
        </w:numPr>
        <w:ind w:left="714" w:hanging="357"/>
        <w:contextualSpacing/>
      </w:pPr>
      <w:r w:rsidRPr="00E06CCF">
        <w:t>Make judgements and estimates on a reasonable basis</w:t>
      </w:r>
      <w:r w:rsidR="00D47C41">
        <w:t>.</w:t>
      </w:r>
    </w:p>
    <w:p w14:paraId="2D61BFB5" w14:textId="6147F31E" w:rsidR="00E06CCF" w:rsidRPr="00E06CCF" w:rsidRDefault="00E06CCF" w:rsidP="000D3041">
      <w:pPr>
        <w:pStyle w:val="BodyText"/>
        <w:numPr>
          <w:ilvl w:val="0"/>
          <w:numId w:val="4"/>
        </w:numPr>
        <w:ind w:left="714" w:hanging="357"/>
        <w:contextualSpacing/>
      </w:pPr>
      <w:r w:rsidRPr="00E06CCF">
        <w:t xml:space="preserve">State whether applicable accounting standards as set out in the </w:t>
      </w:r>
      <w:r w:rsidRPr="00E06CCF">
        <w:rPr>
          <w:rFonts w:eastAsia="Times New Roman" w:cs="Arial"/>
          <w:szCs w:val="24"/>
        </w:rPr>
        <w:t>Government Financial Reporting Manual have been followed</w:t>
      </w:r>
      <w:r w:rsidRPr="00E06CCF">
        <w:t xml:space="preserve"> and disclose and explain any material departures in the accounts</w:t>
      </w:r>
      <w:r w:rsidR="00D47C41">
        <w:t>.</w:t>
      </w:r>
    </w:p>
    <w:p w14:paraId="1A044272" w14:textId="5CF46AFB" w:rsidR="00E06CCF" w:rsidRPr="00E06CCF" w:rsidRDefault="00E06CCF" w:rsidP="000D3041">
      <w:pPr>
        <w:pStyle w:val="BodyText"/>
        <w:numPr>
          <w:ilvl w:val="0"/>
          <w:numId w:val="4"/>
        </w:numPr>
        <w:ind w:left="714" w:hanging="357"/>
        <w:contextualSpacing/>
      </w:pPr>
      <w:r w:rsidRPr="00E06CCF">
        <w:t>Prepare the accounts on a going concern basi</w:t>
      </w:r>
      <w:r w:rsidR="00D47C41">
        <w:t>s.</w:t>
      </w:r>
    </w:p>
    <w:p w14:paraId="3075D207" w14:textId="77777777" w:rsidR="00E06CCF" w:rsidRPr="00E06CCF" w:rsidRDefault="00E06CCF" w:rsidP="000D3041">
      <w:pPr>
        <w:pStyle w:val="BodyText"/>
        <w:numPr>
          <w:ilvl w:val="0"/>
          <w:numId w:val="4"/>
        </w:numPr>
        <w:ind w:left="714" w:hanging="357"/>
        <w:contextualSpacing/>
      </w:pPr>
      <w:r w:rsidRPr="00E06CCF">
        <w:t>Confirm that the Annual Report and Accounts as a whole is fair, balanced and understandable and take personal responsibility for the Annual Report and Accounts and the judgements required for determining that it is fair, balanced and understandable.</w:t>
      </w:r>
    </w:p>
    <w:p w14:paraId="156CEF38" w14:textId="77777777" w:rsidR="00CD505D" w:rsidRDefault="00E06CCF" w:rsidP="00E06CCF">
      <w:pPr>
        <w:pStyle w:val="BodyText"/>
      </w:pPr>
      <w:r w:rsidRPr="00E06CCF">
        <w:br/>
      </w:r>
    </w:p>
    <w:p w14:paraId="23A7870C" w14:textId="77777777" w:rsidR="00CD505D" w:rsidRDefault="00CD505D">
      <w:pPr>
        <w:spacing w:before="0" w:after="200" w:line="276" w:lineRule="auto"/>
      </w:pPr>
      <w:r>
        <w:br w:type="page"/>
      </w:r>
    </w:p>
    <w:p w14:paraId="33071C61" w14:textId="0F21EDAC" w:rsidR="00E06CCF" w:rsidRDefault="00E06CCF" w:rsidP="00E06CCF">
      <w:pPr>
        <w:pStyle w:val="BodyText"/>
      </w:pPr>
      <w:r w:rsidRPr="00E06CCF">
        <w:t>As the Accountable Officer, I have taken all the steps that I ought to have taken to make myself aware of any relevant audit information and to establish tha</w:t>
      </w:r>
      <w:r w:rsidR="000E7D9C">
        <w:t xml:space="preserve">t Basildon and Brentwood </w:t>
      </w:r>
      <w:r w:rsidRPr="00AD6DF7">
        <w:t>CCG’s</w:t>
      </w:r>
      <w:r w:rsidR="000E7D9C">
        <w:t xml:space="preserve"> </w:t>
      </w:r>
      <w:r w:rsidRPr="00E06CCF">
        <w:t>auditors are aware of that information. So far as I am aware, there is no relevant audit information of which the auditors are unaware.</w:t>
      </w:r>
    </w:p>
    <w:p w14:paraId="7F0FC6AE" w14:textId="4A316C71" w:rsidR="002C570A" w:rsidRDefault="006F0C9C" w:rsidP="002C570A">
      <w:pPr>
        <w:rPr>
          <w:rFonts w:cs="Arial"/>
          <w:noProof/>
        </w:rPr>
      </w:pPr>
      <w:r w:rsidRPr="00573B5A">
        <w:rPr>
          <w:rFonts w:eastAsia="Calibri" w:cs="Arial"/>
          <w:noProof/>
          <w:color w:val="1F497D"/>
          <w:lang w:eastAsia="en-GB"/>
        </w:rPr>
        <w:drawing>
          <wp:inline distT="0" distB="0" distL="0" distR="0" wp14:anchorId="651A17D8" wp14:editId="3511AFC8">
            <wp:extent cx="1617345" cy="682625"/>
            <wp:effectExtent l="0" t="0" r="1905" b="3175"/>
            <wp:docPr id="14" name="Picture 14" descr="cid:image002.jpg@01D62849.D4F1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62849.D4F1AC2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617345" cy="682625"/>
                    </a:xfrm>
                    <a:prstGeom prst="rect">
                      <a:avLst/>
                    </a:prstGeom>
                    <a:noFill/>
                    <a:ln>
                      <a:noFill/>
                    </a:ln>
                  </pic:spPr>
                </pic:pic>
              </a:graphicData>
            </a:graphic>
          </wp:inline>
        </w:drawing>
      </w:r>
    </w:p>
    <w:p w14:paraId="1B4600F7" w14:textId="77777777" w:rsidR="002C570A" w:rsidRDefault="002C570A" w:rsidP="002C570A">
      <w:r>
        <w:rPr>
          <w:b/>
          <w:bCs/>
        </w:rPr>
        <w:t>Anthony McKeever</w:t>
      </w:r>
      <w:r>
        <w:rPr>
          <w:b/>
          <w:bCs/>
        </w:rPr>
        <w:br/>
      </w:r>
      <w:r>
        <w:t>Executive Lead for the Mid and South Essex Health and Care Partnership and Joint Accountable Officer for its five CCGs</w:t>
      </w:r>
    </w:p>
    <w:p w14:paraId="679FD207" w14:textId="77777777" w:rsidR="002C570A" w:rsidRDefault="002C570A" w:rsidP="00CD505D">
      <w:pPr>
        <w:spacing w:after="120"/>
      </w:pPr>
      <w:r>
        <w:t>29 June 2022</w:t>
      </w:r>
    </w:p>
    <w:p w14:paraId="08CCEDCC" w14:textId="77777777" w:rsidR="00CD505D" w:rsidRDefault="00CD505D" w:rsidP="007B2EDF">
      <w:pPr>
        <w:pStyle w:val="Heading1"/>
      </w:pPr>
      <w:bookmarkStart w:id="133" w:name="_Toc94188195"/>
      <w:bookmarkStart w:id="134" w:name="_Toc97218346"/>
      <w:bookmarkStart w:id="135" w:name="_Toc107389465"/>
    </w:p>
    <w:p w14:paraId="7E6CB62C" w14:textId="0391BB59" w:rsidR="000F3E4D" w:rsidRPr="007830C3" w:rsidRDefault="00E06CCF" w:rsidP="00CD505D">
      <w:pPr>
        <w:pStyle w:val="Heading1"/>
        <w:spacing w:before="0"/>
      </w:pPr>
      <w:r w:rsidRPr="007830C3">
        <w:t>Governance Statement</w:t>
      </w:r>
      <w:bookmarkEnd w:id="133"/>
      <w:bookmarkEnd w:id="134"/>
      <w:bookmarkEnd w:id="135"/>
    </w:p>
    <w:p w14:paraId="4D211A14" w14:textId="2E6EDD37" w:rsidR="00E06CCF" w:rsidRPr="00311273" w:rsidRDefault="00E06CCF" w:rsidP="00311273">
      <w:pPr>
        <w:pStyle w:val="BodyText"/>
        <w:rPr>
          <w:b/>
          <w:bCs/>
        </w:rPr>
      </w:pPr>
      <w:r w:rsidRPr="00311273">
        <w:rPr>
          <w:b/>
          <w:bCs/>
        </w:rPr>
        <w:t>Introduction and context</w:t>
      </w:r>
    </w:p>
    <w:p w14:paraId="2C9EDF98" w14:textId="77777777" w:rsidR="00193030" w:rsidRDefault="00193030" w:rsidP="007A6C09">
      <w:pPr>
        <w:pStyle w:val="BodyText"/>
        <w:kinsoku w:val="0"/>
        <w:overflowPunct w:val="0"/>
        <w:spacing w:before="123"/>
        <w:ind w:right="203"/>
        <w:rPr>
          <w:spacing w:val="-1"/>
        </w:rPr>
      </w:pPr>
      <w:bookmarkStart w:id="136" w:name="_Toc437807150"/>
      <w:r w:rsidRPr="002D2917">
        <w:rPr>
          <w:spacing w:val="-1"/>
        </w:rPr>
        <w:t>Basildon and Brentwood CCG</w:t>
      </w:r>
      <w:r w:rsidRPr="002D2917">
        <w:t xml:space="preserve"> </w:t>
      </w:r>
      <w:r w:rsidRPr="002D2917">
        <w:rPr>
          <w:spacing w:val="-1"/>
        </w:rPr>
        <w:t>(the</w:t>
      </w:r>
      <w:r>
        <w:rPr>
          <w:spacing w:val="-1"/>
        </w:rPr>
        <w:t xml:space="preserve"> CCG) is</w:t>
      </w:r>
      <w:r>
        <w:t xml:space="preserve"> a</w:t>
      </w:r>
      <w:r>
        <w:rPr>
          <w:spacing w:val="1"/>
        </w:rPr>
        <w:t xml:space="preserve"> </w:t>
      </w:r>
      <w:r>
        <w:t>body</w:t>
      </w:r>
      <w:r>
        <w:rPr>
          <w:spacing w:val="-2"/>
        </w:rPr>
        <w:t xml:space="preserve"> </w:t>
      </w:r>
      <w:r>
        <w:rPr>
          <w:spacing w:val="-1"/>
        </w:rPr>
        <w:t>corporate</w:t>
      </w:r>
      <w:r>
        <w:rPr>
          <w:spacing w:val="1"/>
        </w:rPr>
        <w:t xml:space="preserve"> </w:t>
      </w:r>
      <w:r>
        <w:rPr>
          <w:spacing w:val="-1"/>
        </w:rPr>
        <w:t xml:space="preserve">established </w:t>
      </w:r>
      <w:r>
        <w:t>by</w:t>
      </w:r>
      <w:r>
        <w:rPr>
          <w:spacing w:val="-2"/>
        </w:rPr>
        <w:t xml:space="preserve"> </w:t>
      </w:r>
      <w:r>
        <w:t>NHS</w:t>
      </w:r>
      <w:r>
        <w:rPr>
          <w:spacing w:val="1"/>
        </w:rPr>
        <w:t xml:space="preserve"> </w:t>
      </w:r>
      <w:r>
        <w:rPr>
          <w:spacing w:val="-1"/>
        </w:rPr>
        <w:t xml:space="preserve">England </w:t>
      </w:r>
      <w:r>
        <w:t>on</w:t>
      </w:r>
      <w:r>
        <w:rPr>
          <w:spacing w:val="-1"/>
        </w:rPr>
        <w:t xml:space="preserve"> </w:t>
      </w:r>
      <w:r>
        <w:t>1</w:t>
      </w:r>
      <w:r>
        <w:rPr>
          <w:spacing w:val="-1"/>
        </w:rPr>
        <w:t xml:space="preserve"> April 2013</w:t>
      </w:r>
      <w:r>
        <w:rPr>
          <w:spacing w:val="55"/>
        </w:rPr>
        <w:t xml:space="preserve"> </w:t>
      </w:r>
      <w:r>
        <w:rPr>
          <w:spacing w:val="-1"/>
        </w:rPr>
        <w:t xml:space="preserve">under </w:t>
      </w:r>
      <w:r>
        <w:t>the</w:t>
      </w:r>
      <w:r>
        <w:rPr>
          <w:spacing w:val="-1"/>
        </w:rPr>
        <w:t xml:space="preserve"> National</w:t>
      </w:r>
      <w:r>
        <w:t xml:space="preserve"> </w:t>
      </w:r>
      <w:r>
        <w:rPr>
          <w:spacing w:val="-1"/>
        </w:rPr>
        <w:t>Health</w:t>
      </w:r>
      <w:r>
        <w:rPr>
          <w:spacing w:val="1"/>
        </w:rPr>
        <w:t xml:space="preserve"> </w:t>
      </w:r>
      <w:r>
        <w:rPr>
          <w:spacing w:val="-1"/>
        </w:rPr>
        <w:t>Service</w:t>
      </w:r>
      <w:r>
        <w:rPr>
          <w:spacing w:val="1"/>
        </w:rPr>
        <w:t xml:space="preserve"> </w:t>
      </w:r>
      <w:r>
        <w:t xml:space="preserve">Act </w:t>
      </w:r>
      <w:r>
        <w:rPr>
          <w:spacing w:val="-1"/>
        </w:rPr>
        <w:t>2006</w:t>
      </w:r>
      <w:r>
        <w:rPr>
          <w:spacing w:val="1"/>
        </w:rPr>
        <w:t xml:space="preserve"> </w:t>
      </w:r>
      <w:r>
        <w:rPr>
          <w:spacing w:val="-2"/>
        </w:rPr>
        <w:t>(as</w:t>
      </w:r>
      <w:r>
        <w:t xml:space="preserve"> </w:t>
      </w:r>
      <w:r>
        <w:rPr>
          <w:spacing w:val="-1"/>
        </w:rPr>
        <w:t>amended).</w:t>
      </w:r>
    </w:p>
    <w:p w14:paraId="72E54089" w14:textId="77777777" w:rsidR="00193030" w:rsidRDefault="00193030" w:rsidP="007A6C09">
      <w:pPr>
        <w:pStyle w:val="BodyText"/>
        <w:kinsoku w:val="0"/>
        <w:overflowPunct w:val="0"/>
        <w:ind w:right="330"/>
        <w:rPr>
          <w:spacing w:val="-1"/>
        </w:rPr>
      </w:pPr>
      <w:r>
        <w:t>The</w:t>
      </w:r>
      <w:r>
        <w:rPr>
          <w:spacing w:val="1"/>
        </w:rPr>
        <w:t xml:space="preserve"> </w:t>
      </w:r>
      <w:r>
        <w:rPr>
          <w:spacing w:val="-1"/>
        </w:rPr>
        <w:t>CCG’s</w:t>
      </w:r>
      <w:r>
        <w:t xml:space="preserve"> </w:t>
      </w:r>
      <w:r>
        <w:rPr>
          <w:spacing w:val="-1"/>
        </w:rPr>
        <w:t>statutory</w:t>
      </w:r>
      <w:r>
        <w:rPr>
          <w:spacing w:val="-5"/>
        </w:rPr>
        <w:t xml:space="preserve"> </w:t>
      </w:r>
      <w:r>
        <w:rPr>
          <w:spacing w:val="-1"/>
        </w:rPr>
        <w:t>functions</w:t>
      </w:r>
      <w:r>
        <w:rPr>
          <w:spacing w:val="-2"/>
        </w:rPr>
        <w:t xml:space="preserve"> </w:t>
      </w:r>
      <w:r>
        <w:rPr>
          <w:spacing w:val="-1"/>
        </w:rPr>
        <w:t>are</w:t>
      </w:r>
      <w:r>
        <w:rPr>
          <w:spacing w:val="1"/>
        </w:rPr>
        <w:t xml:space="preserve"> </w:t>
      </w:r>
      <w:r>
        <w:rPr>
          <w:spacing w:val="-1"/>
        </w:rPr>
        <w:t>set</w:t>
      </w:r>
      <w:r>
        <w:t xml:space="preserve"> </w:t>
      </w:r>
      <w:r>
        <w:rPr>
          <w:spacing w:val="-1"/>
        </w:rPr>
        <w:t>out</w:t>
      </w:r>
      <w:r>
        <w:t xml:space="preserve"> </w:t>
      </w:r>
      <w:r>
        <w:rPr>
          <w:spacing w:val="-1"/>
        </w:rPr>
        <w:t xml:space="preserve">under </w:t>
      </w:r>
      <w:r>
        <w:t>the</w:t>
      </w:r>
      <w:r>
        <w:rPr>
          <w:spacing w:val="1"/>
        </w:rPr>
        <w:t xml:space="preserve"> </w:t>
      </w:r>
      <w:r>
        <w:rPr>
          <w:spacing w:val="-1"/>
        </w:rPr>
        <w:t>National</w:t>
      </w:r>
      <w:r>
        <w:t xml:space="preserve"> </w:t>
      </w:r>
      <w:r>
        <w:rPr>
          <w:spacing w:val="-1"/>
        </w:rPr>
        <w:t>Health Service</w:t>
      </w:r>
      <w:r>
        <w:rPr>
          <w:spacing w:val="1"/>
        </w:rPr>
        <w:t xml:space="preserve"> </w:t>
      </w:r>
      <w:r>
        <w:t xml:space="preserve">Act </w:t>
      </w:r>
      <w:r>
        <w:rPr>
          <w:spacing w:val="-1"/>
        </w:rPr>
        <w:t>2006</w:t>
      </w:r>
      <w:r>
        <w:rPr>
          <w:spacing w:val="1"/>
        </w:rPr>
        <w:t xml:space="preserve"> </w:t>
      </w:r>
      <w:r>
        <w:rPr>
          <w:spacing w:val="-1"/>
        </w:rPr>
        <w:t>(as</w:t>
      </w:r>
      <w:r>
        <w:rPr>
          <w:spacing w:val="63"/>
        </w:rPr>
        <w:t xml:space="preserve"> </w:t>
      </w:r>
      <w:r>
        <w:rPr>
          <w:spacing w:val="-1"/>
        </w:rPr>
        <w:t>amended).</w:t>
      </w:r>
      <w:r>
        <w:rPr>
          <w:spacing w:val="-2"/>
        </w:rPr>
        <w:t xml:space="preserve"> </w:t>
      </w:r>
      <w:r>
        <w:t>The</w:t>
      </w:r>
      <w:r>
        <w:rPr>
          <w:spacing w:val="1"/>
        </w:rPr>
        <w:t xml:space="preserve"> </w:t>
      </w:r>
      <w:r>
        <w:rPr>
          <w:spacing w:val="-1"/>
        </w:rPr>
        <w:t>CCG’s</w:t>
      </w:r>
      <w:r>
        <w:rPr>
          <w:spacing w:val="-2"/>
        </w:rPr>
        <w:t xml:space="preserve"> </w:t>
      </w:r>
      <w:r>
        <w:rPr>
          <w:spacing w:val="-1"/>
        </w:rPr>
        <w:t>general</w:t>
      </w:r>
      <w:r>
        <w:rPr>
          <w:spacing w:val="-3"/>
        </w:rPr>
        <w:t xml:space="preserve"> </w:t>
      </w:r>
      <w:r>
        <w:rPr>
          <w:spacing w:val="-1"/>
        </w:rPr>
        <w:t>function</w:t>
      </w:r>
      <w:r>
        <w:rPr>
          <w:spacing w:val="1"/>
        </w:rPr>
        <w:t xml:space="preserve"> </w:t>
      </w:r>
      <w:r>
        <w:rPr>
          <w:spacing w:val="-1"/>
        </w:rPr>
        <w:t>is</w:t>
      </w:r>
      <w:r>
        <w:t xml:space="preserve"> </w:t>
      </w:r>
      <w:r>
        <w:rPr>
          <w:spacing w:val="-1"/>
        </w:rPr>
        <w:t xml:space="preserve">arranging </w:t>
      </w:r>
      <w:r>
        <w:t>the</w:t>
      </w:r>
      <w:r>
        <w:rPr>
          <w:spacing w:val="1"/>
        </w:rPr>
        <w:t xml:space="preserve"> </w:t>
      </w:r>
      <w:r>
        <w:rPr>
          <w:spacing w:val="-1"/>
        </w:rPr>
        <w:t>provision</w:t>
      </w:r>
      <w:r>
        <w:rPr>
          <w:spacing w:val="1"/>
        </w:rPr>
        <w:t xml:space="preserve"> </w:t>
      </w:r>
      <w:r>
        <w:rPr>
          <w:spacing w:val="-1"/>
        </w:rPr>
        <w:t>of</w:t>
      </w:r>
      <w:r>
        <w:t xml:space="preserve"> </w:t>
      </w:r>
      <w:r>
        <w:rPr>
          <w:spacing w:val="-1"/>
        </w:rPr>
        <w:t>services</w:t>
      </w:r>
      <w:r>
        <w:t xml:space="preserve"> for</w:t>
      </w:r>
      <w:r>
        <w:rPr>
          <w:spacing w:val="-3"/>
        </w:rPr>
        <w:t xml:space="preserve"> </w:t>
      </w:r>
      <w:r>
        <w:rPr>
          <w:spacing w:val="-1"/>
        </w:rPr>
        <w:t>persons</w:t>
      </w:r>
      <w:r>
        <w:rPr>
          <w:spacing w:val="-5"/>
        </w:rPr>
        <w:t xml:space="preserve"> </w:t>
      </w:r>
      <w:r>
        <w:t>for</w:t>
      </w:r>
      <w:r>
        <w:rPr>
          <w:spacing w:val="-1"/>
        </w:rPr>
        <w:t xml:space="preserve"> </w:t>
      </w:r>
      <w:r>
        <w:t>the</w:t>
      </w:r>
      <w:r>
        <w:rPr>
          <w:spacing w:val="59"/>
        </w:rPr>
        <w:t xml:space="preserve"> </w:t>
      </w:r>
      <w:r>
        <w:rPr>
          <w:spacing w:val="-1"/>
        </w:rPr>
        <w:t>purposes</w:t>
      </w:r>
      <w:r>
        <w:t xml:space="preserve"> </w:t>
      </w:r>
      <w:r>
        <w:rPr>
          <w:spacing w:val="-1"/>
        </w:rPr>
        <w:t>of</w:t>
      </w:r>
      <w:r>
        <w:t xml:space="preserve"> </w:t>
      </w:r>
      <w:r>
        <w:rPr>
          <w:spacing w:val="-1"/>
        </w:rPr>
        <w:t>the</w:t>
      </w:r>
      <w:r>
        <w:rPr>
          <w:spacing w:val="1"/>
        </w:rPr>
        <w:t xml:space="preserve"> </w:t>
      </w:r>
      <w:r>
        <w:rPr>
          <w:spacing w:val="-1"/>
        </w:rPr>
        <w:t>health</w:t>
      </w:r>
      <w:r>
        <w:rPr>
          <w:spacing w:val="-4"/>
        </w:rPr>
        <w:t xml:space="preserve"> </w:t>
      </w:r>
      <w:r>
        <w:rPr>
          <w:spacing w:val="-1"/>
        </w:rPr>
        <w:t>service</w:t>
      </w:r>
      <w:r>
        <w:rPr>
          <w:spacing w:val="1"/>
        </w:rPr>
        <w:t xml:space="preserve"> </w:t>
      </w:r>
      <w:r>
        <w:rPr>
          <w:spacing w:val="-1"/>
        </w:rPr>
        <w:t>in</w:t>
      </w:r>
      <w:r>
        <w:rPr>
          <w:spacing w:val="1"/>
        </w:rPr>
        <w:t xml:space="preserve"> </w:t>
      </w:r>
      <w:r>
        <w:rPr>
          <w:spacing w:val="-1"/>
        </w:rPr>
        <w:t>England.</w:t>
      </w:r>
      <w:r>
        <w:rPr>
          <w:spacing w:val="-2"/>
        </w:rPr>
        <w:t xml:space="preserve"> </w:t>
      </w:r>
      <w:r>
        <w:rPr>
          <w:spacing w:val="-1"/>
        </w:rPr>
        <w:t>The</w:t>
      </w:r>
      <w:r>
        <w:rPr>
          <w:spacing w:val="1"/>
        </w:rPr>
        <w:t xml:space="preserve"> </w:t>
      </w:r>
      <w:r>
        <w:rPr>
          <w:spacing w:val="-1"/>
        </w:rPr>
        <w:t>CCG</w:t>
      </w:r>
      <w:r>
        <w:t xml:space="preserve"> </w:t>
      </w:r>
      <w:r>
        <w:rPr>
          <w:spacing w:val="-1"/>
        </w:rPr>
        <w:t>is,</w:t>
      </w:r>
      <w:r>
        <w:t xml:space="preserve"> </w:t>
      </w:r>
      <w:r>
        <w:rPr>
          <w:spacing w:val="-1"/>
        </w:rPr>
        <w:t>in particular,</w:t>
      </w:r>
      <w:r>
        <w:rPr>
          <w:spacing w:val="-2"/>
        </w:rPr>
        <w:t xml:space="preserve"> </w:t>
      </w:r>
      <w:r>
        <w:rPr>
          <w:spacing w:val="-1"/>
        </w:rPr>
        <w:t>required</w:t>
      </w:r>
      <w:r>
        <w:rPr>
          <w:spacing w:val="1"/>
        </w:rPr>
        <w:t xml:space="preserve"> </w:t>
      </w:r>
      <w:r>
        <w:t>to</w:t>
      </w:r>
      <w:r>
        <w:rPr>
          <w:spacing w:val="-1"/>
        </w:rPr>
        <w:t xml:space="preserve"> arrange </w:t>
      </w:r>
      <w:r>
        <w:t>for</w:t>
      </w:r>
      <w:r>
        <w:rPr>
          <w:spacing w:val="-3"/>
        </w:rPr>
        <w:t xml:space="preserve"> </w:t>
      </w:r>
      <w:r>
        <w:t>the</w:t>
      </w:r>
      <w:r>
        <w:rPr>
          <w:spacing w:val="71"/>
        </w:rPr>
        <w:t xml:space="preserve"> </w:t>
      </w:r>
      <w:r>
        <w:rPr>
          <w:spacing w:val="-1"/>
        </w:rPr>
        <w:t>provision</w:t>
      </w:r>
      <w:r>
        <w:rPr>
          <w:spacing w:val="1"/>
        </w:rPr>
        <w:t xml:space="preserve"> </w:t>
      </w:r>
      <w:r>
        <w:rPr>
          <w:spacing w:val="-1"/>
        </w:rPr>
        <w:t>of</w:t>
      </w:r>
      <w:r>
        <w:rPr>
          <w:spacing w:val="3"/>
        </w:rPr>
        <w:t xml:space="preserve"> </w:t>
      </w:r>
      <w:r>
        <w:rPr>
          <w:spacing w:val="-1"/>
        </w:rPr>
        <w:t>certain</w:t>
      </w:r>
      <w:r>
        <w:rPr>
          <w:spacing w:val="1"/>
        </w:rPr>
        <w:t xml:space="preserve"> </w:t>
      </w:r>
      <w:r>
        <w:rPr>
          <w:spacing w:val="-1"/>
        </w:rPr>
        <w:t>health</w:t>
      </w:r>
      <w:r>
        <w:rPr>
          <w:spacing w:val="1"/>
        </w:rPr>
        <w:t xml:space="preserve"> </w:t>
      </w:r>
      <w:r>
        <w:rPr>
          <w:spacing w:val="-1"/>
        </w:rPr>
        <w:t>services</w:t>
      </w:r>
      <w:r>
        <w:t xml:space="preserve"> to</w:t>
      </w:r>
      <w:r>
        <w:rPr>
          <w:spacing w:val="1"/>
        </w:rPr>
        <w:t xml:space="preserve"> </w:t>
      </w:r>
      <w:r>
        <w:rPr>
          <w:spacing w:val="-1"/>
        </w:rPr>
        <w:t>such extent</w:t>
      </w:r>
      <w:r>
        <w:t xml:space="preserve"> as </w:t>
      </w:r>
      <w:r>
        <w:rPr>
          <w:spacing w:val="-1"/>
        </w:rPr>
        <w:t>it</w:t>
      </w:r>
      <w:r>
        <w:t xml:space="preserve"> </w:t>
      </w:r>
      <w:r>
        <w:rPr>
          <w:spacing w:val="-1"/>
        </w:rPr>
        <w:t>considers</w:t>
      </w:r>
      <w:r>
        <w:rPr>
          <w:spacing w:val="-2"/>
        </w:rPr>
        <w:t xml:space="preserve"> </w:t>
      </w:r>
      <w:r>
        <w:rPr>
          <w:spacing w:val="-1"/>
        </w:rPr>
        <w:t>necessary</w:t>
      </w:r>
      <w:r>
        <w:rPr>
          <w:spacing w:val="-2"/>
        </w:rPr>
        <w:t xml:space="preserve"> </w:t>
      </w:r>
      <w:r>
        <w:t>to</w:t>
      </w:r>
      <w:r>
        <w:rPr>
          <w:spacing w:val="1"/>
        </w:rPr>
        <w:t xml:space="preserve"> </w:t>
      </w:r>
      <w:r>
        <w:rPr>
          <w:spacing w:val="-1"/>
        </w:rPr>
        <w:t>meet</w:t>
      </w:r>
      <w:r>
        <w:rPr>
          <w:spacing w:val="-2"/>
        </w:rPr>
        <w:t xml:space="preserve"> </w:t>
      </w:r>
      <w:r>
        <w:t>the</w:t>
      </w:r>
      <w:r>
        <w:rPr>
          <w:spacing w:val="53"/>
        </w:rPr>
        <w:t xml:space="preserve"> </w:t>
      </w:r>
      <w:r>
        <w:rPr>
          <w:spacing w:val="-1"/>
        </w:rPr>
        <w:t>reasonable</w:t>
      </w:r>
      <w:r>
        <w:rPr>
          <w:spacing w:val="1"/>
        </w:rPr>
        <w:t xml:space="preserve"> </w:t>
      </w:r>
      <w:r>
        <w:rPr>
          <w:spacing w:val="-1"/>
        </w:rPr>
        <w:t>requirements</w:t>
      </w:r>
      <w:r>
        <w:t xml:space="preserve"> </w:t>
      </w:r>
      <w:r>
        <w:rPr>
          <w:spacing w:val="-1"/>
        </w:rPr>
        <w:t>of</w:t>
      </w:r>
      <w:r>
        <w:t xml:space="preserve"> </w:t>
      </w:r>
      <w:r>
        <w:rPr>
          <w:spacing w:val="-1"/>
        </w:rPr>
        <w:t>its</w:t>
      </w:r>
      <w:r>
        <w:t xml:space="preserve"> </w:t>
      </w:r>
      <w:r>
        <w:rPr>
          <w:spacing w:val="-1"/>
        </w:rPr>
        <w:t>local</w:t>
      </w:r>
      <w:r>
        <w:rPr>
          <w:spacing w:val="-3"/>
        </w:rPr>
        <w:t xml:space="preserve"> </w:t>
      </w:r>
      <w:r>
        <w:rPr>
          <w:spacing w:val="-1"/>
        </w:rPr>
        <w:t>population.</w:t>
      </w:r>
    </w:p>
    <w:p w14:paraId="254ABCFC" w14:textId="77777777" w:rsidR="00193030" w:rsidRDefault="00193030" w:rsidP="007A6C09">
      <w:pPr>
        <w:pStyle w:val="BodyText"/>
        <w:kinsoku w:val="0"/>
        <w:overflowPunct w:val="0"/>
        <w:ind w:right="203"/>
        <w:rPr>
          <w:spacing w:val="-1"/>
        </w:rPr>
      </w:pPr>
      <w:r>
        <w:t>As at</w:t>
      </w:r>
      <w:r>
        <w:rPr>
          <w:spacing w:val="-2"/>
        </w:rPr>
        <w:t xml:space="preserve"> </w:t>
      </w:r>
      <w:r>
        <w:t>31</w:t>
      </w:r>
      <w:r>
        <w:rPr>
          <w:spacing w:val="1"/>
        </w:rPr>
        <w:t xml:space="preserve"> </w:t>
      </w:r>
      <w:r>
        <w:rPr>
          <w:spacing w:val="-1"/>
        </w:rPr>
        <w:t>March 2022,</w:t>
      </w:r>
      <w:r>
        <w:rPr>
          <w:spacing w:val="-2"/>
        </w:rPr>
        <w:t xml:space="preserve"> </w:t>
      </w:r>
      <w:r>
        <w:rPr>
          <w:spacing w:val="-1"/>
        </w:rPr>
        <w:t>the</w:t>
      </w:r>
      <w:r>
        <w:rPr>
          <w:spacing w:val="1"/>
        </w:rPr>
        <w:t xml:space="preserve"> </w:t>
      </w:r>
      <w:r>
        <w:rPr>
          <w:spacing w:val="-1"/>
        </w:rPr>
        <w:t>CCG</w:t>
      </w:r>
      <w:r>
        <w:t xml:space="preserve"> </w:t>
      </w:r>
      <w:r>
        <w:rPr>
          <w:spacing w:val="-1"/>
        </w:rPr>
        <w:t>was</w:t>
      </w:r>
      <w:r>
        <w:t xml:space="preserve"> not</w:t>
      </w:r>
      <w:r>
        <w:rPr>
          <w:spacing w:val="-2"/>
        </w:rPr>
        <w:t xml:space="preserve"> </w:t>
      </w:r>
      <w:r>
        <w:rPr>
          <w:spacing w:val="-1"/>
        </w:rPr>
        <w:t>subject</w:t>
      </w:r>
      <w:r>
        <w:t xml:space="preserve"> to</w:t>
      </w:r>
      <w:r>
        <w:rPr>
          <w:spacing w:val="-1"/>
        </w:rPr>
        <w:t xml:space="preserve"> </w:t>
      </w:r>
      <w:r>
        <w:t>any</w:t>
      </w:r>
      <w:r>
        <w:rPr>
          <w:spacing w:val="-2"/>
        </w:rPr>
        <w:t xml:space="preserve"> </w:t>
      </w:r>
      <w:r>
        <w:rPr>
          <w:spacing w:val="-1"/>
        </w:rPr>
        <w:t>directions</w:t>
      </w:r>
      <w:r>
        <w:rPr>
          <w:spacing w:val="-2"/>
        </w:rPr>
        <w:t xml:space="preserve"> </w:t>
      </w:r>
      <w:r>
        <w:rPr>
          <w:spacing w:val="-1"/>
        </w:rPr>
        <w:t>from</w:t>
      </w:r>
      <w:r>
        <w:rPr>
          <w:spacing w:val="2"/>
        </w:rPr>
        <w:t xml:space="preserve"> </w:t>
      </w:r>
      <w:r>
        <w:rPr>
          <w:spacing w:val="-1"/>
        </w:rPr>
        <w:t>NHS</w:t>
      </w:r>
      <w:r>
        <w:rPr>
          <w:spacing w:val="1"/>
        </w:rPr>
        <w:t xml:space="preserve"> </w:t>
      </w:r>
      <w:r>
        <w:rPr>
          <w:spacing w:val="-1"/>
        </w:rPr>
        <w:t>England</w:t>
      </w:r>
      <w:r>
        <w:rPr>
          <w:spacing w:val="1"/>
        </w:rPr>
        <w:t xml:space="preserve"> </w:t>
      </w:r>
      <w:r>
        <w:rPr>
          <w:spacing w:val="-1"/>
        </w:rPr>
        <w:t>issued</w:t>
      </w:r>
      <w:r>
        <w:rPr>
          <w:spacing w:val="1"/>
        </w:rPr>
        <w:t xml:space="preserve"> </w:t>
      </w:r>
      <w:r>
        <w:rPr>
          <w:spacing w:val="-1"/>
        </w:rPr>
        <w:t>under</w:t>
      </w:r>
      <w:r>
        <w:rPr>
          <w:spacing w:val="53"/>
        </w:rPr>
        <w:t xml:space="preserve"> </w:t>
      </w:r>
      <w:r>
        <w:rPr>
          <w:spacing w:val="-1"/>
        </w:rPr>
        <w:t>Section 14Z21 of</w:t>
      </w:r>
      <w:r>
        <w:rPr>
          <w:spacing w:val="3"/>
        </w:rPr>
        <w:t xml:space="preserve"> </w:t>
      </w:r>
      <w:r>
        <w:rPr>
          <w:spacing w:val="-1"/>
        </w:rPr>
        <w:t>the</w:t>
      </w:r>
      <w:r>
        <w:rPr>
          <w:spacing w:val="1"/>
        </w:rPr>
        <w:t xml:space="preserve"> </w:t>
      </w:r>
      <w:r>
        <w:rPr>
          <w:spacing w:val="-1"/>
        </w:rPr>
        <w:t>National</w:t>
      </w:r>
      <w:r>
        <w:t xml:space="preserve"> </w:t>
      </w:r>
      <w:r>
        <w:rPr>
          <w:spacing w:val="-1"/>
        </w:rPr>
        <w:t>Health Service</w:t>
      </w:r>
      <w:r>
        <w:rPr>
          <w:spacing w:val="1"/>
        </w:rPr>
        <w:t xml:space="preserve"> </w:t>
      </w:r>
      <w:r>
        <w:t xml:space="preserve">Act </w:t>
      </w:r>
      <w:r>
        <w:rPr>
          <w:spacing w:val="-1"/>
        </w:rPr>
        <w:t>2006.</w:t>
      </w:r>
    </w:p>
    <w:p w14:paraId="341BDC9E" w14:textId="77777777" w:rsidR="00193030" w:rsidRDefault="00193030" w:rsidP="007A6C09">
      <w:pPr>
        <w:pStyle w:val="BodyText"/>
        <w:kinsoku w:val="0"/>
        <w:overflowPunct w:val="0"/>
        <w:spacing w:line="239" w:lineRule="auto"/>
        <w:ind w:right="203"/>
        <w:rPr>
          <w:spacing w:val="-1"/>
        </w:rPr>
      </w:pPr>
      <w:r>
        <w:t>The</w:t>
      </w:r>
      <w:r>
        <w:rPr>
          <w:spacing w:val="1"/>
        </w:rPr>
        <w:t xml:space="preserve"> </w:t>
      </w:r>
      <w:r>
        <w:rPr>
          <w:spacing w:val="-1"/>
        </w:rPr>
        <w:t>CCG</w:t>
      </w:r>
      <w:r>
        <w:t xml:space="preserve"> </w:t>
      </w:r>
      <w:r>
        <w:rPr>
          <w:spacing w:val="-1"/>
        </w:rPr>
        <w:t>is</w:t>
      </w:r>
      <w:r>
        <w:t xml:space="preserve"> </w:t>
      </w:r>
      <w:r>
        <w:rPr>
          <w:spacing w:val="-1"/>
        </w:rPr>
        <w:t>part</w:t>
      </w:r>
      <w:r>
        <w:t xml:space="preserve"> </w:t>
      </w:r>
      <w:r>
        <w:rPr>
          <w:spacing w:val="-1"/>
        </w:rPr>
        <w:t>of</w:t>
      </w:r>
      <w:r>
        <w:t xml:space="preserve"> </w:t>
      </w:r>
      <w:r>
        <w:rPr>
          <w:spacing w:val="-1"/>
        </w:rPr>
        <w:t>the Mid</w:t>
      </w:r>
      <w:r>
        <w:rPr>
          <w:spacing w:val="1"/>
        </w:rPr>
        <w:t xml:space="preserve"> </w:t>
      </w:r>
      <w:r>
        <w:t>and</w:t>
      </w:r>
      <w:r>
        <w:rPr>
          <w:spacing w:val="-1"/>
        </w:rPr>
        <w:t xml:space="preserve"> South </w:t>
      </w:r>
      <w:r>
        <w:t>Essex</w:t>
      </w:r>
      <w:r>
        <w:rPr>
          <w:spacing w:val="-2"/>
        </w:rPr>
        <w:t xml:space="preserve"> </w:t>
      </w:r>
      <w:r>
        <w:rPr>
          <w:spacing w:val="-1"/>
        </w:rPr>
        <w:t xml:space="preserve">Health </w:t>
      </w:r>
      <w:r>
        <w:t>and</w:t>
      </w:r>
      <w:r>
        <w:rPr>
          <w:spacing w:val="1"/>
        </w:rPr>
        <w:t xml:space="preserve"> </w:t>
      </w:r>
      <w:r>
        <w:rPr>
          <w:spacing w:val="-1"/>
        </w:rPr>
        <w:t>Care</w:t>
      </w:r>
      <w:r>
        <w:rPr>
          <w:spacing w:val="1"/>
        </w:rPr>
        <w:t xml:space="preserve"> </w:t>
      </w:r>
      <w:r>
        <w:rPr>
          <w:spacing w:val="-1"/>
        </w:rPr>
        <w:t>Partnership</w:t>
      </w:r>
      <w:r>
        <w:rPr>
          <w:spacing w:val="1"/>
        </w:rPr>
        <w:t xml:space="preserve"> </w:t>
      </w:r>
      <w:r>
        <w:rPr>
          <w:spacing w:val="-1"/>
        </w:rPr>
        <w:t>(the HCP) covering</w:t>
      </w:r>
      <w:r>
        <w:rPr>
          <w:spacing w:val="1"/>
        </w:rPr>
        <w:t xml:space="preserve"> </w:t>
      </w:r>
      <w:r>
        <w:t>the</w:t>
      </w:r>
      <w:r>
        <w:rPr>
          <w:spacing w:val="43"/>
        </w:rPr>
        <w:t xml:space="preserve"> </w:t>
      </w:r>
      <w:r>
        <w:rPr>
          <w:spacing w:val="-1"/>
        </w:rPr>
        <w:t>geographic</w:t>
      </w:r>
      <w:r>
        <w:t xml:space="preserve"> </w:t>
      </w:r>
      <w:r>
        <w:rPr>
          <w:spacing w:val="-1"/>
        </w:rPr>
        <w:t>areas</w:t>
      </w:r>
      <w:r>
        <w:rPr>
          <w:spacing w:val="-2"/>
        </w:rPr>
        <w:t xml:space="preserve"> </w:t>
      </w:r>
      <w:r>
        <w:rPr>
          <w:spacing w:val="-1"/>
        </w:rPr>
        <w:t>of</w:t>
      </w:r>
      <w:r>
        <w:t xml:space="preserve"> </w:t>
      </w:r>
      <w:r>
        <w:rPr>
          <w:spacing w:val="-1"/>
        </w:rPr>
        <w:t>mid</w:t>
      </w:r>
      <w:r>
        <w:rPr>
          <w:spacing w:val="1"/>
        </w:rPr>
        <w:t xml:space="preserve"> </w:t>
      </w:r>
      <w:r>
        <w:rPr>
          <w:spacing w:val="-1"/>
        </w:rPr>
        <w:t>Essex,</w:t>
      </w:r>
      <w:r>
        <w:t xml:space="preserve"> </w:t>
      </w:r>
      <w:r>
        <w:rPr>
          <w:spacing w:val="-1"/>
        </w:rPr>
        <w:t xml:space="preserve">Basildon </w:t>
      </w:r>
      <w:r>
        <w:t>and</w:t>
      </w:r>
      <w:r>
        <w:rPr>
          <w:spacing w:val="-4"/>
        </w:rPr>
        <w:t xml:space="preserve"> </w:t>
      </w:r>
      <w:r>
        <w:rPr>
          <w:spacing w:val="-1"/>
        </w:rPr>
        <w:t>Brentwood,</w:t>
      </w:r>
      <w:r>
        <w:t xml:space="preserve"> </w:t>
      </w:r>
      <w:r>
        <w:rPr>
          <w:spacing w:val="-1"/>
        </w:rPr>
        <w:t>Castle</w:t>
      </w:r>
      <w:r>
        <w:rPr>
          <w:spacing w:val="1"/>
        </w:rPr>
        <w:t xml:space="preserve"> </w:t>
      </w:r>
      <w:r>
        <w:rPr>
          <w:spacing w:val="-1"/>
        </w:rPr>
        <w:t>Point</w:t>
      </w:r>
      <w:r>
        <w:t xml:space="preserve"> </w:t>
      </w:r>
      <w:r>
        <w:rPr>
          <w:spacing w:val="-1"/>
        </w:rPr>
        <w:t>and</w:t>
      </w:r>
      <w:r>
        <w:rPr>
          <w:spacing w:val="1"/>
        </w:rPr>
        <w:t xml:space="preserve"> </w:t>
      </w:r>
      <w:r>
        <w:rPr>
          <w:spacing w:val="-1"/>
        </w:rPr>
        <w:t>Rochford,</w:t>
      </w:r>
      <w:r>
        <w:t xml:space="preserve"> </w:t>
      </w:r>
      <w:r>
        <w:rPr>
          <w:spacing w:val="-1"/>
        </w:rPr>
        <w:t>Southend,</w:t>
      </w:r>
      <w:r>
        <w:rPr>
          <w:spacing w:val="59"/>
        </w:rPr>
        <w:t xml:space="preserve"> </w:t>
      </w:r>
      <w:r>
        <w:t>and</w:t>
      </w:r>
      <w:r>
        <w:rPr>
          <w:spacing w:val="-1"/>
        </w:rPr>
        <w:t xml:space="preserve"> Thurrock</w:t>
      </w:r>
      <w:r>
        <w:t xml:space="preserve"> </w:t>
      </w:r>
      <w:r>
        <w:rPr>
          <w:spacing w:val="-1"/>
        </w:rPr>
        <w:t xml:space="preserve">CCGs (the MSE CCGs). </w:t>
      </w:r>
      <w:r>
        <w:rPr>
          <w:spacing w:val="-2"/>
        </w:rPr>
        <w:t xml:space="preserve"> </w:t>
      </w:r>
      <w:r>
        <w:rPr>
          <w:spacing w:val="-1"/>
        </w:rPr>
        <w:t>The</w:t>
      </w:r>
      <w:r>
        <w:rPr>
          <w:spacing w:val="1"/>
        </w:rPr>
        <w:t xml:space="preserve"> </w:t>
      </w:r>
      <w:r>
        <w:rPr>
          <w:spacing w:val="-1"/>
        </w:rPr>
        <w:t>HCP</w:t>
      </w:r>
      <w:r>
        <w:rPr>
          <w:spacing w:val="1"/>
        </w:rPr>
        <w:t xml:space="preserve"> </w:t>
      </w:r>
      <w:r>
        <w:rPr>
          <w:spacing w:val="-1"/>
        </w:rPr>
        <w:t>has</w:t>
      </w:r>
      <w:r>
        <w:t xml:space="preserve"> </w:t>
      </w:r>
      <w:r>
        <w:rPr>
          <w:spacing w:val="-1"/>
        </w:rPr>
        <w:t>been</w:t>
      </w:r>
      <w:r>
        <w:rPr>
          <w:spacing w:val="1"/>
        </w:rPr>
        <w:t xml:space="preserve"> </w:t>
      </w:r>
      <w:r>
        <w:rPr>
          <w:spacing w:val="-1"/>
        </w:rPr>
        <w:t>created</w:t>
      </w:r>
      <w:r>
        <w:rPr>
          <w:spacing w:val="1"/>
        </w:rPr>
        <w:t xml:space="preserve"> </w:t>
      </w:r>
      <w:r>
        <w:rPr>
          <w:spacing w:val="-1"/>
        </w:rPr>
        <w:t>to</w:t>
      </w:r>
      <w:r>
        <w:rPr>
          <w:spacing w:val="1"/>
        </w:rPr>
        <w:t xml:space="preserve"> </w:t>
      </w:r>
      <w:r>
        <w:rPr>
          <w:spacing w:val="-1"/>
        </w:rPr>
        <w:t>bring local</w:t>
      </w:r>
      <w:r>
        <w:rPr>
          <w:spacing w:val="-3"/>
        </w:rPr>
        <w:t xml:space="preserve"> </w:t>
      </w:r>
      <w:r>
        <w:rPr>
          <w:spacing w:val="-1"/>
        </w:rPr>
        <w:t>health</w:t>
      </w:r>
      <w:r>
        <w:rPr>
          <w:spacing w:val="1"/>
        </w:rPr>
        <w:t xml:space="preserve"> </w:t>
      </w:r>
      <w:r>
        <w:rPr>
          <w:spacing w:val="-1"/>
        </w:rPr>
        <w:t>and</w:t>
      </w:r>
      <w:r>
        <w:rPr>
          <w:spacing w:val="1"/>
        </w:rPr>
        <w:t xml:space="preserve"> </w:t>
      </w:r>
      <w:r>
        <w:rPr>
          <w:spacing w:val="-1"/>
        </w:rPr>
        <w:t>care leaders</w:t>
      </w:r>
      <w:r>
        <w:t xml:space="preserve"> </w:t>
      </w:r>
      <w:r>
        <w:rPr>
          <w:spacing w:val="-1"/>
        </w:rPr>
        <w:t>together to</w:t>
      </w:r>
      <w:r>
        <w:rPr>
          <w:spacing w:val="71"/>
        </w:rPr>
        <w:t xml:space="preserve"> </w:t>
      </w:r>
      <w:r>
        <w:rPr>
          <w:spacing w:val="-1"/>
        </w:rPr>
        <w:t xml:space="preserve">plan </w:t>
      </w:r>
      <w:r>
        <w:t>for</w:t>
      </w:r>
      <w:r>
        <w:rPr>
          <w:spacing w:val="-1"/>
        </w:rPr>
        <w:t xml:space="preserve"> the</w:t>
      </w:r>
      <w:r>
        <w:rPr>
          <w:spacing w:val="1"/>
        </w:rPr>
        <w:t xml:space="preserve"> </w:t>
      </w:r>
      <w:r>
        <w:rPr>
          <w:spacing w:val="-1"/>
        </w:rPr>
        <w:t>long-term</w:t>
      </w:r>
      <w:r>
        <w:rPr>
          <w:spacing w:val="-3"/>
        </w:rPr>
        <w:t xml:space="preserve"> </w:t>
      </w:r>
      <w:r>
        <w:rPr>
          <w:spacing w:val="-1"/>
        </w:rPr>
        <w:t>needs</w:t>
      </w:r>
      <w:r>
        <w:t xml:space="preserve"> </w:t>
      </w:r>
      <w:r>
        <w:rPr>
          <w:spacing w:val="-1"/>
        </w:rPr>
        <w:t>of</w:t>
      </w:r>
      <w:r>
        <w:t xml:space="preserve"> </w:t>
      </w:r>
      <w:r>
        <w:rPr>
          <w:spacing w:val="-1"/>
        </w:rPr>
        <w:t>local</w:t>
      </w:r>
      <w:r>
        <w:t xml:space="preserve"> </w:t>
      </w:r>
      <w:r>
        <w:rPr>
          <w:spacing w:val="-1"/>
        </w:rPr>
        <w:t>communities.</w:t>
      </w:r>
    </w:p>
    <w:p w14:paraId="6D018F9F" w14:textId="210F2DB4" w:rsidR="00193030" w:rsidRDefault="00193030" w:rsidP="00295234">
      <w:pPr>
        <w:pStyle w:val="BodyText"/>
        <w:kinsoku w:val="0"/>
        <w:overflowPunct w:val="0"/>
        <w:ind w:right="115"/>
        <w:rPr>
          <w:spacing w:val="-1"/>
        </w:rPr>
      </w:pPr>
      <w:r>
        <w:t>In</w:t>
      </w:r>
      <w:r>
        <w:rPr>
          <w:spacing w:val="1"/>
        </w:rPr>
        <w:t xml:space="preserve"> </w:t>
      </w:r>
      <w:r>
        <w:rPr>
          <w:spacing w:val="-1"/>
        </w:rPr>
        <w:t>July</w:t>
      </w:r>
      <w:r>
        <w:rPr>
          <w:spacing w:val="-2"/>
        </w:rPr>
        <w:t xml:space="preserve"> </w:t>
      </w:r>
      <w:r>
        <w:rPr>
          <w:spacing w:val="-1"/>
        </w:rPr>
        <w:t>2017</w:t>
      </w:r>
      <w:r>
        <w:rPr>
          <w:spacing w:val="1"/>
        </w:rPr>
        <w:t xml:space="preserve"> </w:t>
      </w:r>
      <w:r>
        <w:rPr>
          <w:spacing w:val="-1"/>
        </w:rPr>
        <w:t>the five</w:t>
      </w:r>
      <w:r>
        <w:rPr>
          <w:spacing w:val="1"/>
        </w:rPr>
        <w:t xml:space="preserve"> </w:t>
      </w:r>
      <w:r>
        <w:rPr>
          <w:spacing w:val="-1"/>
        </w:rPr>
        <w:t>MSE</w:t>
      </w:r>
      <w:r>
        <w:rPr>
          <w:spacing w:val="-2"/>
        </w:rPr>
        <w:t xml:space="preserve"> </w:t>
      </w:r>
      <w:r>
        <w:rPr>
          <w:spacing w:val="-1"/>
        </w:rPr>
        <w:t>CCGs</w:t>
      </w:r>
      <w:r>
        <w:rPr>
          <w:spacing w:val="-2"/>
        </w:rPr>
        <w:t xml:space="preserve"> </w:t>
      </w:r>
      <w:r>
        <w:rPr>
          <w:spacing w:val="-1"/>
        </w:rPr>
        <w:t>formally</w:t>
      </w:r>
      <w:r>
        <w:rPr>
          <w:spacing w:val="-2"/>
        </w:rPr>
        <w:t xml:space="preserve"> </w:t>
      </w:r>
      <w:r>
        <w:rPr>
          <w:spacing w:val="-1"/>
        </w:rPr>
        <w:t>established</w:t>
      </w:r>
      <w:r>
        <w:rPr>
          <w:spacing w:val="1"/>
        </w:rPr>
        <w:t xml:space="preserve"> </w:t>
      </w:r>
      <w:r>
        <w:t>a</w:t>
      </w:r>
      <w:r>
        <w:rPr>
          <w:spacing w:val="1"/>
        </w:rPr>
        <w:t xml:space="preserve"> </w:t>
      </w:r>
      <w:r>
        <w:rPr>
          <w:spacing w:val="-1"/>
        </w:rPr>
        <w:t>CCG</w:t>
      </w:r>
      <w:r>
        <w:t xml:space="preserve"> </w:t>
      </w:r>
      <w:r>
        <w:rPr>
          <w:spacing w:val="-1"/>
        </w:rPr>
        <w:t>Joint</w:t>
      </w:r>
      <w:r>
        <w:t xml:space="preserve"> </w:t>
      </w:r>
      <w:r>
        <w:rPr>
          <w:spacing w:val="-1"/>
        </w:rPr>
        <w:t>Committee</w:t>
      </w:r>
      <w:r>
        <w:rPr>
          <w:spacing w:val="1"/>
        </w:rPr>
        <w:t xml:space="preserve"> </w:t>
      </w:r>
      <w:r>
        <w:rPr>
          <w:spacing w:val="-1"/>
        </w:rPr>
        <w:t>(JC)</w:t>
      </w:r>
      <w:r>
        <w:rPr>
          <w:spacing w:val="71"/>
        </w:rPr>
        <w:t xml:space="preserve"> </w:t>
      </w:r>
      <w:r>
        <w:t>to</w:t>
      </w:r>
      <w:r>
        <w:rPr>
          <w:spacing w:val="1"/>
        </w:rPr>
        <w:t xml:space="preserve"> </w:t>
      </w:r>
      <w:r>
        <w:t>act</w:t>
      </w:r>
      <w:r>
        <w:rPr>
          <w:spacing w:val="-2"/>
        </w:rPr>
        <w:t xml:space="preserve"> </w:t>
      </w:r>
      <w:r>
        <w:rPr>
          <w:spacing w:val="-1"/>
        </w:rPr>
        <w:t>collectively</w:t>
      </w:r>
      <w:r>
        <w:rPr>
          <w:spacing w:val="-2"/>
        </w:rPr>
        <w:t xml:space="preserve"> </w:t>
      </w:r>
      <w:r>
        <w:rPr>
          <w:spacing w:val="-1"/>
        </w:rPr>
        <w:t>in</w:t>
      </w:r>
      <w:r>
        <w:rPr>
          <w:spacing w:val="1"/>
        </w:rPr>
        <w:t xml:space="preserve"> </w:t>
      </w:r>
      <w:r>
        <w:t>the</w:t>
      </w:r>
      <w:r>
        <w:rPr>
          <w:spacing w:val="1"/>
        </w:rPr>
        <w:t xml:space="preserve"> </w:t>
      </w:r>
      <w:r>
        <w:rPr>
          <w:spacing w:val="-1"/>
        </w:rPr>
        <w:t>planning,</w:t>
      </w:r>
      <w:r>
        <w:t xml:space="preserve"> </w:t>
      </w:r>
      <w:r>
        <w:rPr>
          <w:spacing w:val="-1"/>
        </w:rPr>
        <w:t xml:space="preserve">securing </w:t>
      </w:r>
      <w:r>
        <w:t>and</w:t>
      </w:r>
      <w:r>
        <w:rPr>
          <w:spacing w:val="-1"/>
        </w:rPr>
        <w:t xml:space="preserve"> monitoring of</w:t>
      </w:r>
      <w:r>
        <w:rPr>
          <w:spacing w:val="3"/>
        </w:rPr>
        <w:t xml:space="preserve"> </w:t>
      </w:r>
      <w:r>
        <w:rPr>
          <w:spacing w:val="-1"/>
        </w:rPr>
        <w:t>services</w:t>
      </w:r>
      <w:r>
        <w:t xml:space="preserve"> to</w:t>
      </w:r>
      <w:r>
        <w:rPr>
          <w:spacing w:val="-1"/>
        </w:rPr>
        <w:t xml:space="preserve"> meet</w:t>
      </w:r>
      <w:r>
        <w:t xml:space="preserve"> </w:t>
      </w:r>
      <w:r>
        <w:rPr>
          <w:spacing w:val="-1"/>
        </w:rPr>
        <w:t>the needs</w:t>
      </w:r>
      <w:r>
        <w:rPr>
          <w:spacing w:val="-2"/>
        </w:rPr>
        <w:t xml:space="preserve"> </w:t>
      </w:r>
      <w:r>
        <w:rPr>
          <w:spacing w:val="-1"/>
        </w:rPr>
        <w:t>of</w:t>
      </w:r>
      <w:r>
        <w:t xml:space="preserve"> </w:t>
      </w:r>
      <w:r>
        <w:rPr>
          <w:spacing w:val="-1"/>
        </w:rPr>
        <w:t>their</w:t>
      </w:r>
      <w:r w:rsidR="00295234">
        <w:rPr>
          <w:spacing w:val="-1"/>
        </w:rPr>
        <w:t xml:space="preserve"> </w:t>
      </w:r>
      <w:r>
        <w:t>1.2</w:t>
      </w:r>
      <w:r>
        <w:rPr>
          <w:spacing w:val="-1"/>
        </w:rPr>
        <w:t xml:space="preserve"> million</w:t>
      </w:r>
      <w:r>
        <w:rPr>
          <w:spacing w:val="1"/>
        </w:rPr>
        <w:t xml:space="preserve"> </w:t>
      </w:r>
      <w:r>
        <w:rPr>
          <w:spacing w:val="-1"/>
        </w:rPr>
        <w:t>population,</w:t>
      </w:r>
      <w:r>
        <w:rPr>
          <w:spacing w:val="-2"/>
        </w:rPr>
        <w:t xml:space="preserve"> </w:t>
      </w:r>
      <w:r>
        <w:t xml:space="preserve">as </w:t>
      </w:r>
      <w:r>
        <w:rPr>
          <w:spacing w:val="-1"/>
        </w:rPr>
        <w:t>well</w:t>
      </w:r>
      <w:r>
        <w:t xml:space="preserve"> as </w:t>
      </w:r>
      <w:r>
        <w:rPr>
          <w:spacing w:val="-1"/>
        </w:rPr>
        <w:t xml:space="preserve">representing </w:t>
      </w:r>
      <w:r>
        <w:t>the</w:t>
      </w:r>
      <w:r>
        <w:rPr>
          <w:spacing w:val="1"/>
        </w:rPr>
        <w:t xml:space="preserve"> </w:t>
      </w:r>
      <w:r>
        <w:rPr>
          <w:spacing w:val="-1"/>
        </w:rPr>
        <w:t>HCP</w:t>
      </w:r>
      <w:r>
        <w:rPr>
          <w:spacing w:val="-2"/>
        </w:rPr>
        <w:t xml:space="preserve"> </w:t>
      </w:r>
      <w:r>
        <w:rPr>
          <w:spacing w:val="-1"/>
        </w:rPr>
        <w:t>footprint</w:t>
      </w:r>
      <w:r>
        <w:rPr>
          <w:spacing w:val="-2"/>
        </w:rPr>
        <w:t xml:space="preserve"> </w:t>
      </w:r>
      <w:r>
        <w:t>for</w:t>
      </w:r>
      <w:r>
        <w:rPr>
          <w:spacing w:val="-1"/>
        </w:rPr>
        <w:t xml:space="preserve"> services</w:t>
      </w:r>
      <w:r>
        <w:t xml:space="preserve"> </w:t>
      </w:r>
      <w:r>
        <w:rPr>
          <w:spacing w:val="-1"/>
        </w:rPr>
        <w:t xml:space="preserve">commissioned over </w:t>
      </w:r>
      <w:r>
        <w:t>a</w:t>
      </w:r>
      <w:r>
        <w:rPr>
          <w:spacing w:val="63"/>
        </w:rPr>
        <w:t xml:space="preserve"> </w:t>
      </w:r>
      <w:r>
        <w:rPr>
          <w:spacing w:val="-1"/>
        </w:rPr>
        <w:t>larger area.</w:t>
      </w:r>
    </w:p>
    <w:p w14:paraId="5C26E09D" w14:textId="5BF72684" w:rsidR="00193030" w:rsidRDefault="00193030" w:rsidP="007A6C09">
      <w:pPr>
        <w:pStyle w:val="BodyText"/>
        <w:tabs>
          <w:tab w:val="left" w:pos="9493"/>
        </w:tabs>
        <w:kinsoku w:val="0"/>
        <w:overflowPunct w:val="0"/>
        <w:ind w:right="153"/>
        <w:rPr>
          <w:spacing w:val="-1"/>
        </w:rPr>
      </w:pPr>
      <w:r>
        <w:rPr>
          <w:spacing w:val="-1"/>
        </w:rPr>
        <w:t>Specifically,</w:t>
      </w:r>
      <w:r>
        <w:t xml:space="preserve"> the</w:t>
      </w:r>
      <w:r>
        <w:rPr>
          <w:spacing w:val="1"/>
        </w:rPr>
        <w:t xml:space="preserve"> </w:t>
      </w:r>
      <w:r>
        <w:t xml:space="preserve">JC </w:t>
      </w:r>
      <w:r>
        <w:rPr>
          <w:spacing w:val="-1"/>
        </w:rPr>
        <w:t>commissions</w:t>
      </w:r>
      <w:r>
        <w:t xml:space="preserve"> </w:t>
      </w:r>
      <w:r>
        <w:rPr>
          <w:spacing w:val="-1"/>
        </w:rPr>
        <w:t>and manages</w:t>
      </w:r>
      <w:r>
        <w:t xml:space="preserve"> </w:t>
      </w:r>
      <w:r>
        <w:rPr>
          <w:spacing w:val="-1"/>
        </w:rPr>
        <w:t>the</w:t>
      </w:r>
      <w:r>
        <w:rPr>
          <w:spacing w:val="1"/>
        </w:rPr>
        <w:t xml:space="preserve"> </w:t>
      </w:r>
      <w:r>
        <w:rPr>
          <w:spacing w:val="-1"/>
        </w:rPr>
        <w:t>contracts</w:t>
      </w:r>
      <w:r>
        <w:rPr>
          <w:spacing w:val="-2"/>
        </w:rPr>
        <w:t xml:space="preserve"> </w:t>
      </w:r>
      <w:r>
        <w:t>for</w:t>
      </w:r>
      <w:r>
        <w:rPr>
          <w:spacing w:val="-1"/>
        </w:rPr>
        <w:t xml:space="preserve"> acute hospital</w:t>
      </w:r>
      <w:r>
        <w:t xml:space="preserve"> </w:t>
      </w:r>
      <w:r>
        <w:rPr>
          <w:spacing w:val="-1"/>
        </w:rPr>
        <w:t>services</w:t>
      </w:r>
      <w:r>
        <w:t xml:space="preserve"> </w:t>
      </w:r>
      <w:r>
        <w:rPr>
          <w:spacing w:val="-1"/>
        </w:rPr>
        <w:t>(NHS</w:t>
      </w:r>
      <w:r>
        <w:rPr>
          <w:spacing w:val="1"/>
        </w:rPr>
        <w:t xml:space="preserve"> </w:t>
      </w:r>
      <w:r>
        <w:t>and</w:t>
      </w:r>
      <w:r>
        <w:rPr>
          <w:spacing w:val="67"/>
        </w:rPr>
        <w:t xml:space="preserve"> </w:t>
      </w:r>
      <w:r>
        <w:rPr>
          <w:spacing w:val="-1"/>
        </w:rPr>
        <w:t>independent</w:t>
      </w:r>
      <w:r>
        <w:rPr>
          <w:spacing w:val="-2"/>
        </w:rPr>
        <w:t xml:space="preserve"> </w:t>
      </w:r>
      <w:r>
        <w:rPr>
          <w:spacing w:val="-1"/>
        </w:rPr>
        <w:t>sector),</w:t>
      </w:r>
      <w:r>
        <w:rPr>
          <w:spacing w:val="1"/>
        </w:rPr>
        <w:t xml:space="preserve"> </w:t>
      </w:r>
      <w:r>
        <w:rPr>
          <w:spacing w:val="-1"/>
        </w:rPr>
        <w:t>NHS</w:t>
      </w:r>
      <w:r>
        <w:rPr>
          <w:spacing w:val="1"/>
        </w:rPr>
        <w:t xml:space="preserve"> </w:t>
      </w:r>
      <w:r>
        <w:t>111</w:t>
      </w:r>
      <w:r>
        <w:rPr>
          <w:spacing w:val="-1"/>
        </w:rPr>
        <w:t xml:space="preserve"> and</w:t>
      </w:r>
      <w:r>
        <w:rPr>
          <w:spacing w:val="1"/>
        </w:rPr>
        <w:t xml:space="preserve"> </w:t>
      </w:r>
      <w:r>
        <w:rPr>
          <w:spacing w:val="-1"/>
        </w:rPr>
        <w:t>out</w:t>
      </w:r>
      <w:r>
        <w:t>-</w:t>
      </w:r>
      <w:r>
        <w:rPr>
          <w:spacing w:val="-1"/>
        </w:rPr>
        <w:t>of</w:t>
      </w:r>
      <w:r>
        <w:t>-h</w:t>
      </w:r>
      <w:r>
        <w:rPr>
          <w:spacing w:val="-1"/>
        </w:rPr>
        <w:t>ours</w:t>
      </w:r>
      <w:r>
        <w:t xml:space="preserve"> </w:t>
      </w:r>
      <w:r>
        <w:rPr>
          <w:spacing w:val="-1"/>
        </w:rPr>
        <w:t>services,</w:t>
      </w:r>
      <w:r>
        <w:t xml:space="preserve"> </w:t>
      </w:r>
      <w:r>
        <w:rPr>
          <w:spacing w:val="-1"/>
        </w:rPr>
        <w:t>ambulance</w:t>
      </w:r>
      <w:r>
        <w:rPr>
          <w:spacing w:val="1"/>
        </w:rPr>
        <w:t xml:space="preserve"> </w:t>
      </w:r>
      <w:r>
        <w:rPr>
          <w:spacing w:val="-1"/>
        </w:rPr>
        <w:t>services,</w:t>
      </w:r>
      <w:r>
        <w:t xml:space="preserve"> </w:t>
      </w:r>
      <w:r>
        <w:rPr>
          <w:spacing w:val="-1"/>
        </w:rPr>
        <w:t>patient</w:t>
      </w:r>
      <w:r>
        <w:rPr>
          <w:spacing w:val="-2"/>
        </w:rPr>
        <w:t xml:space="preserve"> </w:t>
      </w:r>
      <w:r>
        <w:rPr>
          <w:spacing w:val="-1"/>
        </w:rPr>
        <w:t>transport</w:t>
      </w:r>
      <w:r>
        <w:rPr>
          <w:spacing w:val="75"/>
        </w:rPr>
        <w:t xml:space="preserve"> </w:t>
      </w:r>
      <w:r>
        <w:rPr>
          <w:spacing w:val="-1"/>
        </w:rPr>
        <w:t>services, community services and mental</w:t>
      </w:r>
      <w:r>
        <w:t xml:space="preserve"> </w:t>
      </w:r>
      <w:r>
        <w:rPr>
          <w:spacing w:val="-1"/>
        </w:rPr>
        <w:t>health</w:t>
      </w:r>
      <w:r>
        <w:rPr>
          <w:spacing w:val="1"/>
        </w:rPr>
        <w:t xml:space="preserve"> </w:t>
      </w:r>
      <w:r>
        <w:rPr>
          <w:spacing w:val="-1"/>
        </w:rPr>
        <w:t>services.</w:t>
      </w:r>
      <w:r>
        <w:rPr>
          <w:spacing w:val="-2"/>
        </w:rPr>
        <w:t xml:space="preserve"> </w:t>
      </w:r>
      <w:r>
        <w:rPr>
          <w:spacing w:val="-1"/>
        </w:rPr>
        <w:t>The</w:t>
      </w:r>
      <w:r>
        <w:rPr>
          <w:spacing w:val="1"/>
        </w:rPr>
        <w:t xml:space="preserve"> </w:t>
      </w:r>
      <w:r>
        <w:rPr>
          <w:spacing w:val="-1"/>
        </w:rPr>
        <w:t>JC also</w:t>
      </w:r>
      <w:r>
        <w:rPr>
          <w:spacing w:val="1"/>
        </w:rPr>
        <w:t xml:space="preserve"> </w:t>
      </w:r>
      <w:r>
        <w:rPr>
          <w:spacing w:val="-1"/>
        </w:rPr>
        <w:t>played</w:t>
      </w:r>
      <w:r>
        <w:rPr>
          <w:spacing w:val="1"/>
        </w:rPr>
        <w:t xml:space="preserve"> </w:t>
      </w:r>
      <w:r>
        <w:t>a</w:t>
      </w:r>
      <w:r>
        <w:rPr>
          <w:spacing w:val="-1"/>
        </w:rPr>
        <w:t xml:space="preserve"> role</w:t>
      </w:r>
      <w:r>
        <w:rPr>
          <w:spacing w:val="1"/>
        </w:rPr>
        <w:t xml:space="preserve"> </w:t>
      </w:r>
      <w:r>
        <w:rPr>
          <w:spacing w:val="-1"/>
        </w:rPr>
        <w:t>in decision-</w:t>
      </w:r>
      <w:r>
        <w:rPr>
          <w:spacing w:val="65"/>
        </w:rPr>
        <w:t xml:space="preserve"> </w:t>
      </w:r>
      <w:r>
        <w:t>making</w:t>
      </w:r>
      <w:r>
        <w:rPr>
          <w:spacing w:val="-1"/>
        </w:rPr>
        <w:t xml:space="preserve"> about</w:t>
      </w:r>
      <w:r>
        <w:t xml:space="preserve"> </w:t>
      </w:r>
      <w:r>
        <w:rPr>
          <w:spacing w:val="-1"/>
        </w:rPr>
        <w:t>Learning</w:t>
      </w:r>
      <w:r>
        <w:rPr>
          <w:spacing w:val="-4"/>
        </w:rPr>
        <w:t xml:space="preserve"> </w:t>
      </w:r>
      <w:r>
        <w:rPr>
          <w:spacing w:val="-1"/>
        </w:rPr>
        <w:t>Disability</w:t>
      </w:r>
      <w:r>
        <w:rPr>
          <w:spacing w:val="-2"/>
        </w:rPr>
        <w:t xml:space="preserve"> </w:t>
      </w:r>
      <w:r>
        <w:rPr>
          <w:spacing w:val="-1"/>
        </w:rPr>
        <w:t>services</w:t>
      </w:r>
      <w:r>
        <w:t xml:space="preserve"> </w:t>
      </w:r>
      <w:r>
        <w:rPr>
          <w:spacing w:val="-1"/>
        </w:rPr>
        <w:t>within</w:t>
      </w:r>
      <w:r>
        <w:rPr>
          <w:spacing w:val="1"/>
        </w:rPr>
        <w:t xml:space="preserve"> </w:t>
      </w:r>
      <w:r>
        <w:rPr>
          <w:spacing w:val="-1"/>
        </w:rPr>
        <w:t>the</w:t>
      </w:r>
      <w:r>
        <w:rPr>
          <w:spacing w:val="1"/>
        </w:rPr>
        <w:t xml:space="preserve"> </w:t>
      </w:r>
      <w:r>
        <w:rPr>
          <w:spacing w:val="-1"/>
        </w:rPr>
        <w:t>existing pan-Essex</w:t>
      </w:r>
      <w:r>
        <w:rPr>
          <w:spacing w:val="-2"/>
        </w:rPr>
        <w:t xml:space="preserve"> </w:t>
      </w:r>
      <w:r>
        <w:rPr>
          <w:spacing w:val="-1"/>
        </w:rPr>
        <w:t>arrangements.</w:t>
      </w:r>
    </w:p>
    <w:p w14:paraId="0B06E900" w14:textId="05E901A0" w:rsidR="00193030" w:rsidRDefault="00193030" w:rsidP="007A6C09">
      <w:pPr>
        <w:pStyle w:val="BodyText"/>
        <w:tabs>
          <w:tab w:val="left" w:pos="9493"/>
        </w:tabs>
        <w:kinsoku w:val="0"/>
        <w:overflowPunct w:val="0"/>
        <w:ind w:right="153"/>
        <w:rPr>
          <w:spacing w:val="-1"/>
        </w:rPr>
      </w:pPr>
      <w:r>
        <w:t>Due</w:t>
      </w:r>
      <w:r>
        <w:rPr>
          <w:spacing w:val="-1"/>
        </w:rPr>
        <w:t xml:space="preserve"> </w:t>
      </w:r>
      <w:r>
        <w:t>to</w:t>
      </w:r>
      <w:r>
        <w:rPr>
          <w:spacing w:val="-1"/>
        </w:rPr>
        <w:t xml:space="preserve"> business</w:t>
      </w:r>
      <w:r>
        <w:rPr>
          <w:spacing w:val="-2"/>
        </w:rPr>
        <w:t xml:space="preserve"> </w:t>
      </w:r>
      <w:r>
        <w:rPr>
          <w:spacing w:val="-1"/>
        </w:rPr>
        <w:t>continuity</w:t>
      </w:r>
      <w:r>
        <w:rPr>
          <w:spacing w:val="-2"/>
        </w:rPr>
        <w:t xml:space="preserve"> </w:t>
      </w:r>
      <w:r>
        <w:rPr>
          <w:spacing w:val="-1"/>
        </w:rPr>
        <w:t>arrangements</w:t>
      </w:r>
      <w:r>
        <w:t xml:space="preserve"> </w:t>
      </w:r>
      <w:r>
        <w:rPr>
          <w:spacing w:val="-1"/>
        </w:rPr>
        <w:t>implemented</w:t>
      </w:r>
      <w:r>
        <w:rPr>
          <w:spacing w:val="1"/>
        </w:rPr>
        <w:t xml:space="preserve"> by the CCG from mid-December 2021 to the end of February 2022 </w:t>
      </w:r>
      <w:r>
        <w:t>as</w:t>
      </w:r>
      <w:r>
        <w:rPr>
          <w:spacing w:val="-2"/>
        </w:rPr>
        <w:t xml:space="preserve"> </w:t>
      </w:r>
      <w:r>
        <w:t>a</w:t>
      </w:r>
      <w:r>
        <w:rPr>
          <w:spacing w:val="1"/>
        </w:rPr>
        <w:t xml:space="preserve"> </w:t>
      </w:r>
      <w:r>
        <w:rPr>
          <w:spacing w:val="-1"/>
        </w:rPr>
        <w:t>result</w:t>
      </w:r>
      <w:r>
        <w:t xml:space="preserve"> </w:t>
      </w:r>
      <w:r>
        <w:rPr>
          <w:spacing w:val="-1"/>
        </w:rPr>
        <w:t>of</w:t>
      </w:r>
      <w:r>
        <w:rPr>
          <w:spacing w:val="-2"/>
        </w:rPr>
        <w:t xml:space="preserve"> </w:t>
      </w:r>
      <w:r>
        <w:t>the</w:t>
      </w:r>
      <w:r>
        <w:rPr>
          <w:spacing w:val="1"/>
        </w:rPr>
        <w:t xml:space="preserve"> ongoing </w:t>
      </w:r>
      <w:r>
        <w:rPr>
          <w:spacing w:val="-1"/>
        </w:rPr>
        <w:t>C</w:t>
      </w:r>
      <w:r w:rsidR="003067AE">
        <w:rPr>
          <w:spacing w:val="-1"/>
        </w:rPr>
        <w:t>ovid</w:t>
      </w:r>
      <w:r>
        <w:rPr>
          <w:spacing w:val="-1"/>
        </w:rPr>
        <w:t>-19 pandemic (Omicron variant) and the need to support the vaccination booster programme, the J</w:t>
      </w:r>
      <w:r>
        <w:t xml:space="preserve">C </w:t>
      </w:r>
      <w:r>
        <w:rPr>
          <w:spacing w:val="-1"/>
        </w:rPr>
        <w:t>did</w:t>
      </w:r>
      <w:r>
        <w:rPr>
          <w:spacing w:val="1"/>
        </w:rPr>
        <w:t xml:space="preserve"> </w:t>
      </w:r>
      <w:r>
        <w:rPr>
          <w:spacing w:val="-1"/>
        </w:rPr>
        <w:t>not</w:t>
      </w:r>
      <w:r>
        <w:rPr>
          <w:spacing w:val="-2"/>
        </w:rPr>
        <w:t xml:space="preserve"> </w:t>
      </w:r>
      <w:r>
        <w:rPr>
          <w:spacing w:val="-1"/>
        </w:rPr>
        <w:t xml:space="preserve">meet from December 2021 through to February 2022.   </w:t>
      </w:r>
      <w:r>
        <w:t xml:space="preserve"> From March 2022 a</w:t>
      </w:r>
      <w:r>
        <w:rPr>
          <w:spacing w:val="-1"/>
        </w:rPr>
        <w:t>lternative</w:t>
      </w:r>
      <w:r>
        <w:rPr>
          <w:spacing w:val="1"/>
        </w:rPr>
        <w:t xml:space="preserve"> </w:t>
      </w:r>
      <w:r>
        <w:rPr>
          <w:spacing w:val="-1"/>
        </w:rPr>
        <w:t>committee/Board decision making arrangements</w:t>
      </w:r>
      <w:r>
        <w:t xml:space="preserve"> were </w:t>
      </w:r>
      <w:r>
        <w:rPr>
          <w:spacing w:val="-1"/>
        </w:rPr>
        <w:t xml:space="preserve">implemented </w:t>
      </w:r>
      <w:r>
        <w:t>to</w:t>
      </w:r>
      <w:r>
        <w:rPr>
          <w:spacing w:val="77"/>
        </w:rPr>
        <w:t xml:space="preserve"> </w:t>
      </w:r>
      <w:r>
        <w:t xml:space="preserve">deal </w:t>
      </w:r>
      <w:r>
        <w:rPr>
          <w:spacing w:val="-1"/>
        </w:rPr>
        <w:t>with</w:t>
      </w:r>
      <w:r>
        <w:rPr>
          <w:spacing w:val="1"/>
        </w:rPr>
        <w:t xml:space="preserve"> </w:t>
      </w:r>
      <w:r>
        <w:rPr>
          <w:spacing w:val="-1"/>
        </w:rPr>
        <w:t>issues</w:t>
      </w:r>
      <w:r>
        <w:t xml:space="preserve"> </w:t>
      </w:r>
      <w:r>
        <w:rPr>
          <w:spacing w:val="-1"/>
        </w:rPr>
        <w:t xml:space="preserve">within </w:t>
      </w:r>
      <w:r>
        <w:t>the</w:t>
      </w:r>
      <w:r>
        <w:rPr>
          <w:spacing w:val="1"/>
        </w:rPr>
        <w:t xml:space="preserve"> </w:t>
      </w:r>
      <w:r>
        <w:rPr>
          <w:spacing w:val="-1"/>
        </w:rPr>
        <w:t>JC’s</w:t>
      </w:r>
      <w:r>
        <w:t xml:space="preserve"> </w:t>
      </w:r>
      <w:r>
        <w:rPr>
          <w:spacing w:val="-1"/>
        </w:rPr>
        <w:t>remit</w:t>
      </w:r>
      <w:r>
        <w:t xml:space="preserve"> as</w:t>
      </w:r>
      <w:r>
        <w:rPr>
          <w:spacing w:val="-2"/>
        </w:rPr>
        <w:t xml:space="preserve"> </w:t>
      </w:r>
      <w:r>
        <w:rPr>
          <w:spacing w:val="-1"/>
        </w:rPr>
        <w:t>detailed</w:t>
      </w:r>
      <w:r>
        <w:rPr>
          <w:spacing w:val="1"/>
        </w:rPr>
        <w:t xml:space="preserve"> </w:t>
      </w:r>
      <w:r>
        <w:rPr>
          <w:spacing w:val="-1"/>
        </w:rPr>
        <w:t>in the following paragraph and the individual</w:t>
      </w:r>
      <w:r>
        <w:rPr>
          <w:spacing w:val="-3"/>
        </w:rPr>
        <w:t xml:space="preserve"> </w:t>
      </w:r>
      <w:r>
        <w:rPr>
          <w:spacing w:val="-1"/>
        </w:rPr>
        <w:t>committee headings</w:t>
      </w:r>
      <w:r>
        <w:t xml:space="preserve"> </w:t>
      </w:r>
      <w:r>
        <w:rPr>
          <w:spacing w:val="-1"/>
        </w:rPr>
        <w:t xml:space="preserve">below.   </w:t>
      </w:r>
    </w:p>
    <w:p w14:paraId="6A5896A5" w14:textId="5872A24C" w:rsidR="00193030" w:rsidRDefault="00193030" w:rsidP="007A6C09">
      <w:pPr>
        <w:pStyle w:val="BodyText"/>
        <w:tabs>
          <w:tab w:val="left" w:pos="9493"/>
        </w:tabs>
        <w:kinsoku w:val="0"/>
        <w:overflowPunct w:val="0"/>
        <w:ind w:right="153"/>
        <w:rPr>
          <w:spacing w:val="-1"/>
        </w:rPr>
      </w:pPr>
      <w:r>
        <w:rPr>
          <w:spacing w:val="-1"/>
        </w:rPr>
        <w:t xml:space="preserve">The five MSE CCG Boards met </w:t>
      </w:r>
      <w:r w:rsidR="00E24278">
        <w:rPr>
          <w:spacing w:val="-1"/>
        </w:rPr>
        <w:t>‘</w:t>
      </w:r>
      <w:r>
        <w:rPr>
          <w:spacing w:val="-1"/>
        </w:rPr>
        <w:t>in common</w:t>
      </w:r>
      <w:r w:rsidR="00E24278">
        <w:rPr>
          <w:spacing w:val="-1"/>
        </w:rPr>
        <w:t>’</w:t>
      </w:r>
      <w:r>
        <w:rPr>
          <w:spacing w:val="-1"/>
        </w:rPr>
        <w:t xml:space="preserve"> on 24 February 2022 and agreed to hold all future CCG Board meetings </w:t>
      </w:r>
      <w:r w:rsidR="00E24278">
        <w:rPr>
          <w:spacing w:val="-1"/>
        </w:rPr>
        <w:t>‘</w:t>
      </w:r>
      <w:r>
        <w:rPr>
          <w:spacing w:val="-1"/>
        </w:rPr>
        <w:t>in common</w:t>
      </w:r>
      <w:r w:rsidR="00E24278">
        <w:rPr>
          <w:spacing w:val="-1"/>
        </w:rPr>
        <w:t>’</w:t>
      </w:r>
      <w:r>
        <w:rPr>
          <w:spacing w:val="-1"/>
        </w:rPr>
        <w:t xml:space="preserve"> until the MSE Integrated Care Board (ICB) is established.  During this transition period, the Boards meeting in common will conduct all business delegated to the JC.  Consequently, the JC will not meet again.  </w:t>
      </w:r>
    </w:p>
    <w:p w14:paraId="60D9FEAF" w14:textId="0F9F7A51" w:rsidR="00193030" w:rsidRDefault="00193030" w:rsidP="007A6C09">
      <w:pPr>
        <w:pStyle w:val="BodyText"/>
        <w:kinsoku w:val="0"/>
        <w:overflowPunct w:val="0"/>
        <w:rPr>
          <w:spacing w:val="-1"/>
        </w:rPr>
      </w:pPr>
      <w:r>
        <w:rPr>
          <w:spacing w:val="-1"/>
        </w:rPr>
        <w:t>All</w:t>
      </w:r>
      <w:r>
        <w:t xml:space="preserve"> other</w:t>
      </w:r>
      <w:r>
        <w:rPr>
          <w:spacing w:val="-3"/>
        </w:rPr>
        <w:t xml:space="preserve"> </w:t>
      </w:r>
      <w:r>
        <w:rPr>
          <w:spacing w:val="-1"/>
        </w:rPr>
        <w:t>decisions</w:t>
      </w:r>
      <w:r>
        <w:rPr>
          <w:spacing w:val="-2"/>
        </w:rPr>
        <w:t xml:space="preserve"> </w:t>
      </w:r>
      <w:r>
        <w:rPr>
          <w:spacing w:val="-1"/>
        </w:rPr>
        <w:t>about</w:t>
      </w:r>
      <w:r>
        <w:t xml:space="preserve"> </w:t>
      </w:r>
      <w:r>
        <w:rPr>
          <w:spacing w:val="-1"/>
        </w:rPr>
        <w:t>healthcare</w:t>
      </w:r>
      <w:r>
        <w:rPr>
          <w:spacing w:val="1"/>
        </w:rPr>
        <w:t xml:space="preserve"> </w:t>
      </w:r>
      <w:r>
        <w:rPr>
          <w:spacing w:val="-1"/>
        </w:rPr>
        <w:t>continued</w:t>
      </w:r>
      <w:r>
        <w:rPr>
          <w:spacing w:val="1"/>
        </w:rPr>
        <w:t xml:space="preserve"> </w:t>
      </w:r>
      <w:r>
        <w:t>to</w:t>
      </w:r>
      <w:r>
        <w:rPr>
          <w:spacing w:val="-1"/>
        </w:rPr>
        <w:t xml:space="preserve"> </w:t>
      </w:r>
      <w:r>
        <w:t>be</w:t>
      </w:r>
      <w:r>
        <w:rPr>
          <w:spacing w:val="-1"/>
        </w:rPr>
        <w:t xml:space="preserve"> taken</w:t>
      </w:r>
      <w:r>
        <w:rPr>
          <w:spacing w:val="1"/>
        </w:rPr>
        <w:t xml:space="preserve"> </w:t>
      </w:r>
      <w:r>
        <w:rPr>
          <w:spacing w:val="-1"/>
        </w:rPr>
        <w:t>locally</w:t>
      </w:r>
      <w:r>
        <w:rPr>
          <w:spacing w:val="-2"/>
        </w:rPr>
        <w:t xml:space="preserve"> </w:t>
      </w:r>
      <w:r>
        <w:t>by</w:t>
      </w:r>
      <w:r>
        <w:rPr>
          <w:spacing w:val="-2"/>
        </w:rPr>
        <w:t xml:space="preserve"> </w:t>
      </w:r>
      <w:r>
        <w:t>the</w:t>
      </w:r>
      <w:r>
        <w:rPr>
          <w:spacing w:val="1"/>
        </w:rPr>
        <w:t xml:space="preserve"> </w:t>
      </w:r>
      <w:r>
        <w:rPr>
          <w:spacing w:val="-1"/>
        </w:rPr>
        <w:t>relevant</w:t>
      </w:r>
      <w:r>
        <w:t xml:space="preserve"> </w:t>
      </w:r>
      <w:r>
        <w:rPr>
          <w:spacing w:val="-1"/>
        </w:rPr>
        <w:t>CCG.</w:t>
      </w:r>
    </w:p>
    <w:p w14:paraId="45E2D814" w14:textId="77777777" w:rsidR="00E06CCF" w:rsidRPr="00B365E9" w:rsidRDefault="00E06CCF" w:rsidP="00B365E9">
      <w:pPr>
        <w:tabs>
          <w:tab w:val="num" w:pos="360"/>
        </w:tabs>
        <w:spacing w:before="120" w:after="120"/>
        <w:ind w:left="567" w:hanging="567"/>
        <w:rPr>
          <w:rFonts w:eastAsia="SimSun" w:cs="Times New Roman"/>
          <w:b/>
          <w:bCs/>
          <w:i/>
          <w:szCs w:val="20"/>
        </w:rPr>
      </w:pPr>
      <w:r w:rsidRPr="00B365E9">
        <w:rPr>
          <w:rFonts w:eastAsia="SimSun" w:cs="Times New Roman"/>
          <w:b/>
          <w:bCs/>
          <w:szCs w:val="20"/>
        </w:rPr>
        <w:t>Scope of responsibility</w:t>
      </w:r>
      <w:bookmarkEnd w:id="136"/>
    </w:p>
    <w:p w14:paraId="6CC96AF4" w14:textId="77777777" w:rsidR="007A6C09" w:rsidRDefault="007A6C09" w:rsidP="007A6C09">
      <w:pPr>
        <w:pStyle w:val="BodyText"/>
        <w:kinsoku w:val="0"/>
        <w:overflowPunct w:val="0"/>
        <w:spacing w:before="239"/>
        <w:ind w:right="182"/>
        <w:rPr>
          <w:spacing w:val="-1"/>
        </w:rPr>
      </w:pPr>
      <w:r>
        <w:t xml:space="preserve">As </w:t>
      </w:r>
      <w:r>
        <w:rPr>
          <w:spacing w:val="-1"/>
        </w:rPr>
        <w:t>Accountable</w:t>
      </w:r>
      <w:r>
        <w:rPr>
          <w:spacing w:val="1"/>
        </w:rPr>
        <w:t xml:space="preserve"> </w:t>
      </w:r>
      <w:r>
        <w:rPr>
          <w:spacing w:val="-1"/>
        </w:rPr>
        <w:t>Officer,</w:t>
      </w:r>
      <w:r>
        <w:t xml:space="preserve"> I </w:t>
      </w:r>
      <w:r>
        <w:rPr>
          <w:spacing w:val="-2"/>
        </w:rPr>
        <w:t>have</w:t>
      </w:r>
      <w:r>
        <w:rPr>
          <w:spacing w:val="1"/>
        </w:rPr>
        <w:t xml:space="preserve"> </w:t>
      </w:r>
      <w:r>
        <w:rPr>
          <w:spacing w:val="-1"/>
        </w:rPr>
        <w:t>responsibility</w:t>
      </w:r>
      <w:r>
        <w:rPr>
          <w:spacing w:val="-2"/>
        </w:rPr>
        <w:t xml:space="preserve"> </w:t>
      </w:r>
      <w:r>
        <w:t>for</w:t>
      </w:r>
      <w:r>
        <w:rPr>
          <w:spacing w:val="-1"/>
        </w:rPr>
        <w:t xml:space="preserve"> maintaining </w:t>
      </w:r>
      <w:r>
        <w:t>a</w:t>
      </w:r>
      <w:r>
        <w:rPr>
          <w:spacing w:val="-1"/>
        </w:rPr>
        <w:t xml:space="preserve"> sound system</w:t>
      </w:r>
      <w:r>
        <w:rPr>
          <w:spacing w:val="2"/>
        </w:rPr>
        <w:t xml:space="preserve"> </w:t>
      </w:r>
      <w:r>
        <w:rPr>
          <w:spacing w:val="-1"/>
        </w:rPr>
        <w:t>of</w:t>
      </w:r>
      <w:r>
        <w:t xml:space="preserve"> </w:t>
      </w:r>
      <w:r>
        <w:rPr>
          <w:spacing w:val="-1"/>
        </w:rPr>
        <w:t>internal</w:t>
      </w:r>
      <w:r>
        <w:t xml:space="preserve"> </w:t>
      </w:r>
      <w:r>
        <w:rPr>
          <w:spacing w:val="-1"/>
        </w:rPr>
        <w:t>control</w:t>
      </w:r>
      <w:r>
        <w:t xml:space="preserve"> that</w:t>
      </w:r>
      <w:r>
        <w:rPr>
          <w:spacing w:val="77"/>
        </w:rPr>
        <w:t xml:space="preserve"> </w:t>
      </w:r>
      <w:r>
        <w:rPr>
          <w:spacing w:val="-1"/>
        </w:rPr>
        <w:t>supports</w:t>
      </w:r>
      <w:r>
        <w:t xml:space="preserve"> </w:t>
      </w:r>
      <w:r>
        <w:rPr>
          <w:spacing w:val="-1"/>
        </w:rPr>
        <w:t>the</w:t>
      </w:r>
      <w:r>
        <w:rPr>
          <w:spacing w:val="1"/>
        </w:rPr>
        <w:t xml:space="preserve"> </w:t>
      </w:r>
      <w:r>
        <w:rPr>
          <w:spacing w:val="-1"/>
        </w:rPr>
        <w:t>achievement</w:t>
      </w:r>
      <w:r>
        <w:rPr>
          <w:spacing w:val="-2"/>
        </w:rPr>
        <w:t xml:space="preserve"> </w:t>
      </w:r>
      <w:r>
        <w:rPr>
          <w:spacing w:val="-1"/>
        </w:rPr>
        <w:t>of</w:t>
      </w:r>
      <w:r>
        <w:rPr>
          <w:spacing w:val="3"/>
        </w:rPr>
        <w:t xml:space="preserve"> </w:t>
      </w:r>
      <w:r>
        <w:rPr>
          <w:spacing w:val="-1"/>
        </w:rPr>
        <w:t>the</w:t>
      </w:r>
      <w:r>
        <w:rPr>
          <w:spacing w:val="1"/>
        </w:rPr>
        <w:t xml:space="preserve"> </w:t>
      </w:r>
      <w:r>
        <w:rPr>
          <w:spacing w:val="-1"/>
        </w:rPr>
        <w:t>clinical</w:t>
      </w:r>
      <w:r>
        <w:t xml:space="preserve"> </w:t>
      </w:r>
      <w:r>
        <w:rPr>
          <w:spacing w:val="-1"/>
        </w:rPr>
        <w:t>commissioning group’s</w:t>
      </w:r>
      <w:r>
        <w:t xml:space="preserve"> </w:t>
      </w:r>
      <w:r>
        <w:rPr>
          <w:spacing w:val="-1"/>
        </w:rPr>
        <w:t>policies,</w:t>
      </w:r>
      <w:r>
        <w:t xml:space="preserve"> aims</w:t>
      </w:r>
      <w:r>
        <w:rPr>
          <w:spacing w:val="-2"/>
        </w:rPr>
        <w:t xml:space="preserve"> </w:t>
      </w:r>
      <w:r>
        <w:rPr>
          <w:spacing w:val="-1"/>
        </w:rPr>
        <w:t>and</w:t>
      </w:r>
      <w:r>
        <w:rPr>
          <w:spacing w:val="1"/>
        </w:rPr>
        <w:t xml:space="preserve"> </w:t>
      </w:r>
      <w:r>
        <w:rPr>
          <w:spacing w:val="-1"/>
        </w:rPr>
        <w:t>objectives,</w:t>
      </w:r>
      <w:r>
        <w:rPr>
          <w:spacing w:val="69"/>
        </w:rPr>
        <w:t xml:space="preserve"> </w:t>
      </w:r>
      <w:r>
        <w:rPr>
          <w:spacing w:val="-1"/>
        </w:rPr>
        <w:t>whilst</w:t>
      </w:r>
      <w:r>
        <w:t xml:space="preserve"> </w:t>
      </w:r>
      <w:r>
        <w:rPr>
          <w:spacing w:val="-1"/>
        </w:rPr>
        <w:t>safeguarding the public</w:t>
      </w:r>
      <w:r>
        <w:rPr>
          <w:spacing w:val="-2"/>
        </w:rPr>
        <w:t xml:space="preserve"> </w:t>
      </w:r>
      <w:r>
        <w:t>funds</w:t>
      </w:r>
      <w:r>
        <w:rPr>
          <w:spacing w:val="-2"/>
        </w:rPr>
        <w:t xml:space="preserve"> </w:t>
      </w:r>
      <w:r>
        <w:rPr>
          <w:spacing w:val="-1"/>
        </w:rPr>
        <w:t>and</w:t>
      </w:r>
      <w:r>
        <w:rPr>
          <w:spacing w:val="1"/>
        </w:rPr>
        <w:t xml:space="preserve"> </w:t>
      </w:r>
      <w:r>
        <w:rPr>
          <w:spacing w:val="-1"/>
        </w:rPr>
        <w:t>assets</w:t>
      </w:r>
      <w:r>
        <w:t xml:space="preserve"> for</w:t>
      </w:r>
      <w:r>
        <w:rPr>
          <w:spacing w:val="-1"/>
        </w:rPr>
        <w:t xml:space="preserve"> which</w:t>
      </w:r>
      <w:r>
        <w:rPr>
          <w:spacing w:val="1"/>
        </w:rPr>
        <w:t xml:space="preserve"> </w:t>
      </w:r>
      <w:r>
        <w:t xml:space="preserve">I </w:t>
      </w:r>
      <w:r>
        <w:rPr>
          <w:spacing w:val="-1"/>
        </w:rPr>
        <w:t>am</w:t>
      </w:r>
      <w:r>
        <w:rPr>
          <w:spacing w:val="2"/>
        </w:rPr>
        <w:t xml:space="preserve"> </w:t>
      </w:r>
      <w:r>
        <w:rPr>
          <w:spacing w:val="-1"/>
        </w:rPr>
        <w:t>personally</w:t>
      </w:r>
      <w:r>
        <w:rPr>
          <w:spacing w:val="-2"/>
        </w:rPr>
        <w:t xml:space="preserve"> </w:t>
      </w:r>
      <w:r>
        <w:rPr>
          <w:spacing w:val="-1"/>
        </w:rPr>
        <w:t>responsible,</w:t>
      </w:r>
      <w:r>
        <w:t xml:space="preserve"> </w:t>
      </w:r>
      <w:r>
        <w:rPr>
          <w:spacing w:val="-2"/>
        </w:rPr>
        <w:t>in</w:t>
      </w:r>
      <w:r>
        <w:rPr>
          <w:spacing w:val="65"/>
        </w:rPr>
        <w:t xml:space="preserve"> </w:t>
      </w:r>
      <w:r>
        <w:rPr>
          <w:spacing w:val="-1"/>
        </w:rPr>
        <w:t>accordance</w:t>
      </w:r>
      <w:r>
        <w:rPr>
          <w:spacing w:val="1"/>
        </w:rPr>
        <w:t xml:space="preserve"> </w:t>
      </w:r>
      <w:r>
        <w:rPr>
          <w:spacing w:val="-1"/>
        </w:rPr>
        <w:t>with</w:t>
      </w:r>
      <w:r>
        <w:rPr>
          <w:spacing w:val="1"/>
        </w:rPr>
        <w:t xml:space="preserve"> </w:t>
      </w:r>
      <w:r>
        <w:rPr>
          <w:spacing w:val="-1"/>
        </w:rPr>
        <w:t>the</w:t>
      </w:r>
      <w:r>
        <w:rPr>
          <w:spacing w:val="1"/>
        </w:rPr>
        <w:t xml:space="preserve"> </w:t>
      </w:r>
      <w:r>
        <w:rPr>
          <w:spacing w:val="-1"/>
        </w:rPr>
        <w:t>responsibilities</w:t>
      </w:r>
      <w:r>
        <w:rPr>
          <w:spacing w:val="-2"/>
        </w:rPr>
        <w:t xml:space="preserve"> </w:t>
      </w:r>
      <w:r>
        <w:rPr>
          <w:spacing w:val="-1"/>
        </w:rPr>
        <w:t xml:space="preserve">assigned </w:t>
      </w:r>
      <w:r>
        <w:t>to</w:t>
      </w:r>
      <w:r>
        <w:rPr>
          <w:spacing w:val="-1"/>
        </w:rPr>
        <w:t xml:space="preserve"> </w:t>
      </w:r>
      <w:r>
        <w:t>me</w:t>
      </w:r>
      <w:r>
        <w:rPr>
          <w:spacing w:val="1"/>
        </w:rPr>
        <w:t xml:space="preserve"> </w:t>
      </w:r>
      <w:r>
        <w:rPr>
          <w:spacing w:val="-1"/>
        </w:rPr>
        <w:t>in</w:t>
      </w:r>
      <w:r>
        <w:rPr>
          <w:spacing w:val="1"/>
        </w:rPr>
        <w:t xml:space="preserve"> </w:t>
      </w:r>
      <w:r>
        <w:rPr>
          <w:spacing w:val="-1"/>
        </w:rPr>
        <w:t>Managing Public</w:t>
      </w:r>
      <w:r>
        <w:t xml:space="preserve"> </w:t>
      </w:r>
      <w:r>
        <w:rPr>
          <w:spacing w:val="-1"/>
        </w:rPr>
        <w:t>Money.</w:t>
      </w:r>
      <w:r>
        <w:t xml:space="preserve"> I </w:t>
      </w:r>
      <w:r>
        <w:rPr>
          <w:spacing w:val="-1"/>
        </w:rPr>
        <w:t>also</w:t>
      </w:r>
      <w:r>
        <w:rPr>
          <w:spacing w:val="63"/>
        </w:rPr>
        <w:t xml:space="preserve"> </w:t>
      </w:r>
      <w:r>
        <w:rPr>
          <w:spacing w:val="-1"/>
        </w:rPr>
        <w:t>acknowledge</w:t>
      </w:r>
      <w:r>
        <w:rPr>
          <w:spacing w:val="1"/>
        </w:rPr>
        <w:t xml:space="preserve"> </w:t>
      </w:r>
      <w:r>
        <w:t>my</w:t>
      </w:r>
      <w:r>
        <w:rPr>
          <w:spacing w:val="-2"/>
        </w:rPr>
        <w:t xml:space="preserve"> </w:t>
      </w:r>
      <w:r>
        <w:rPr>
          <w:spacing w:val="-1"/>
        </w:rPr>
        <w:t>responsibilities</w:t>
      </w:r>
      <w:r>
        <w:t xml:space="preserve"> as </w:t>
      </w:r>
      <w:r>
        <w:rPr>
          <w:spacing w:val="-1"/>
        </w:rPr>
        <w:t>set</w:t>
      </w:r>
      <w:r>
        <w:t xml:space="preserve"> </w:t>
      </w:r>
      <w:r>
        <w:rPr>
          <w:spacing w:val="-1"/>
        </w:rPr>
        <w:t>out</w:t>
      </w:r>
      <w:r>
        <w:t xml:space="preserve"> </w:t>
      </w:r>
      <w:r>
        <w:rPr>
          <w:spacing w:val="-1"/>
        </w:rPr>
        <w:t>under the</w:t>
      </w:r>
      <w:r>
        <w:rPr>
          <w:spacing w:val="1"/>
        </w:rPr>
        <w:t xml:space="preserve"> </w:t>
      </w:r>
      <w:r>
        <w:rPr>
          <w:spacing w:val="-1"/>
        </w:rPr>
        <w:t>National</w:t>
      </w:r>
      <w:r>
        <w:t xml:space="preserve"> </w:t>
      </w:r>
      <w:r>
        <w:rPr>
          <w:spacing w:val="-1"/>
        </w:rPr>
        <w:t>Health Service</w:t>
      </w:r>
      <w:r>
        <w:rPr>
          <w:spacing w:val="1"/>
        </w:rPr>
        <w:t xml:space="preserve"> </w:t>
      </w:r>
      <w:r>
        <w:t xml:space="preserve">Act </w:t>
      </w:r>
      <w:r>
        <w:rPr>
          <w:spacing w:val="-1"/>
        </w:rPr>
        <w:t>2006</w:t>
      </w:r>
      <w:r>
        <w:rPr>
          <w:spacing w:val="1"/>
        </w:rPr>
        <w:t xml:space="preserve"> </w:t>
      </w:r>
      <w:r>
        <w:rPr>
          <w:spacing w:val="-1"/>
        </w:rPr>
        <w:t>(as</w:t>
      </w:r>
      <w:r>
        <w:rPr>
          <w:spacing w:val="61"/>
        </w:rPr>
        <w:t xml:space="preserve"> </w:t>
      </w:r>
      <w:r>
        <w:rPr>
          <w:spacing w:val="-1"/>
        </w:rPr>
        <w:t>amended) and</w:t>
      </w:r>
      <w:r>
        <w:rPr>
          <w:spacing w:val="1"/>
        </w:rPr>
        <w:t xml:space="preserve"> </w:t>
      </w:r>
      <w:r>
        <w:rPr>
          <w:spacing w:val="-1"/>
        </w:rPr>
        <w:t xml:space="preserve">in </w:t>
      </w:r>
      <w:r>
        <w:t>my</w:t>
      </w:r>
      <w:r>
        <w:rPr>
          <w:spacing w:val="-2"/>
        </w:rPr>
        <w:t xml:space="preserve"> </w:t>
      </w:r>
      <w:r>
        <w:rPr>
          <w:spacing w:val="-1"/>
        </w:rPr>
        <w:t>Clinical Commissioning</w:t>
      </w:r>
      <w:r>
        <w:rPr>
          <w:spacing w:val="-4"/>
        </w:rPr>
        <w:t xml:space="preserve"> </w:t>
      </w:r>
      <w:r>
        <w:rPr>
          <w:spacing w:val="-1"/>
        </w:rPr>
        <w:t>Group Accountable</w:t>
      </w:r>
      <w:r>
        <w:rPr>
          <w:spacing w:val="1"/>
        </w:rPr>
        <w:t xml:space="preserve"> </w:t>
      </w:r>
      <w:r>
        <w:rPr>
          <w:spacing w:val="-1"/>
        </w:rPr>
        <w:t>Officer Appointment</w:t>
      </w:r>
      <w:r>
        <w:t xml:space="preserve"> </w:t>
      </w:r>
      <w:r>
        <w:rPr>
          <w:spacing w:val="-1"/>
        </w:rPr>
        <w:t>Letter.</w:t>
      </w:r>
    </w:p>
    <w:p w14:paraId="0A92FE9E" w14:textId="77777777" w:rsidR="007A6C09" w:rsidRDefault="007A6C09" w:rsidP="007A6C09">
      <w:pPr>
        <w:pStyle w:val="BodyText"/>
        <w:kinsoku w:val="0"/>
        <w:overflowPunct w:val="0"/>
        <w:ind w:right="203"/>
        <w:rPr>
          <w:spacing w:val="-1"/>
        </w:rPr>
      </w:pPr>
      <w:r>
        <w:t xml:space="preserve">I </w:t>
      </w:r>
      <w:r>
        <w:rPr>
          <w:spacing w:val="-1"/>
        </w:rPr>
        <w:t>am</w:t>
      </w:r>
      <w:r>
        <w:rPr>
          <w:spacing w:val="2"/>
        </w:rPr>
        <w:t xml:space="preserve"> </w:t>
      </w:r>
      <w:r>
        <w:rPr>
          <w:spacing w:val="-1"/>
        </w:rPr>
        <w:t xml:space="preserve">responsible </w:t>
      </w:r>
      <w:r>
        <w:t>for</w:t>
      </w:r>
      <w:r>
        <w:rPr>
          <w:spacing w:val="-1"/>
        </w:rPr>
        <w:t xml:space="preserve"> ensuring </w:t>
      </w:r>
      <w:r>
        <w:t xml:space="preserve">that </w:t>
      </w:r>
      <w:r>
        <w:rPr>
          <w:spacing w:val="-1"/>
        </w:rPr>
        <w:t>the</w:t>
      </w:r>
      <w:r>
        <w:rPr>
          <w:spacing w:val="1"/>
        </w:rPr>
        <w:t xml:space="preserve"> </w:t>
      </w:r>
      <w:r>
        <w:rPr>
          <w:spacing w:val="-1"/>
        </w:rPr>
        <w:t>CCG</w:t>
      </w:r>
      <w:r>
        <w:rPr>
          <w:spacing w:val="1"/>
        </w:rPr>
        <w:t xml:space="preserve"> </w:t>
      </w:r>
      <w:r>
        <w:rPr>
          <w:spacing w:val="-2"/>
        </w:rPr>
        <w:t>is</w:t>
      </w:r>
      <w:r>
        <w:t xml:space="preserve"> </w:t>
      </w:r>
      <w:r>
        <w:rPr>
          <w:spacing w:val="-1"/>
        </w:rPr>
        <w:t>administered</w:t>
      </w:r>
      <w:r>
        <w:rPr>
          <w:spacing w:val="1"/>
        </w:rPr>
        <w:t xml:space="preserve"> </w:t>
      </w:r>
      <w:r>
        <w:rPr>
          <w:spacing w:val="-1"/>
        </w:rPr>
        <w:t>prudently</w:t>
      </w:r>
      <w:r>
        <w:rPr>
          <w:spacing w:val="-2"/>
        </w:rPr>
        <w:t xml:space="preserve"> </w:t>
      </w:r>
      <w:r>
        <w:t>and</w:t>
      </w:r>
      <w:r>
        <w:rPr>
          <w:spacing w:val="63"/>
        </w:rPr>
        <w:t xml:space="preserve"> </w:t>
      </w:r>
      <w:r>
        <w:rPr>
          <w:spacing w:val="-1"/>
        </w:rPr>
        <w:t>economically</w:t>
      </w:r>
      <w:r>
        <w:rPr>
          <w:spacing w:val="-2"/>
        </w:rPr>
        <w:t xml:space="preserve"> </w:t>
      </w:r>
      <w:r>
        <w:t>and</w:t>
      </w:r>
      <w:r>
        <w:rPr>
          <w:spacing w:val="-1"/>
        </w:rPr>
        <w:t xml:space="preserve"> that</w:t>
      </w:r>
      <w:r>
        <w:rPr>
          <w:spacing w:val="-2"/>
        </w:rPr>
        <w:t xml:space="preserve"> </w:t>
      </w:r>
      <w:r>
        <w:rPr>
          <w:spacing w:val="-1"/>
        </w:rPr>
        <w:t>resources</w:t>
      </w:r>
      <w:r>
        <w:t xml:space="preserve"> </w:t>
      </w:r>
      <w:r>
        <w:rPr>
          <w:spacing w:val="-2"/>
        </w:rPr>
        <w:t>are</w:t>
      </w:r>
      <w:r>
        <w:rPr>
          <w:spacing w:val="1"/>
        </w:rPr>
        <w:t xml:space="preserve"> </w:t>
      </w:r>
      <w:r>
        <w:rPr>
          <w:spacing w:val="-1"/>
        </w:rPr>
        <w:t>applied efficiently</w:t>
      </w:r>
      <w:r>
        <w:rPr>
          <w:spacing w:val="-2"/>
        </w:rPr>
        <w:t xml:space="preserve"> </w:t>
      </w:r>
      <w:r>
        <w:t>and</w:t>
      </w:r>
      <w:r>
        <w:rPr>
          <w:spacing w:val="-1"/>
        </w:rPr>
        <w:t xml:space="preserve"> effectively,</w:t>
      </w:r>
      <w:r>
        <w:t xml:space="preserve"> </w:t>
      </w:r>
      <w:r>
        <w:rPr>
          <w:spacing w:val="-1"/>
        </w:rPr>
        <w:t>safeguarding financial</w:t>
      </w:r>
      <w:r>
        <w:rPr>
          <w:spacing w:val="91"/>
        </w:rPr>
        <w:t xml:space="preserve"> </w:t>
      </w:r>
      <w:r>
        <w:rPr>
          <w:spacing w:val="-1"/>
        </w:rPr>
        <w:t>propriety</w:t>
      </w:r>
      <w:r>
        <w:rPr>
          <w:spacing w:val="-2"/>
        </w:rPr>
        <w:t xml:space="preserve"> </w:t>
      </w:r>
      <w:r>
        <w:t>and</w:t>
      </w:r>
      <w:r>
        <w:rPr>
          <w:spacing w:val="1"/>
        </w:rPr>
        <w:t xml:space="preserve"> </w:t>
      </w:r>
      <w:r>
        <w:rPr>
          <w:spacing w:val="-1"/>
        </w:rPr>
        <w:t>regularity.</w:t>
      </w:r>
      <w:r>
        <w:t xml:space="preserve"> I</w:t>
      </w:r>
      <w:r>
        <w:rPr>
          <w:spacing w:val="1"/>
        </w:rPr>
        <w:t xml:space="preserve"> </w:t>
      </w:r>
      <w:r>
        <w:rPr>
          <w:spacing w:val="-1"/>
        </w:rPr>
        <w:t>also have</w:t>
      </w:r>
      <w:r>
        <w:rPr>
          <w:spacing w:val="1"/>
        </w:rPr>
        <w:t xml:space="preserve"> </w:t>
      </w:r>
      <w:r>
        <w:rPr>
          <w:spacing w:val="-1"/>
        </w:rPr>
        <w:t>responsibility</w:t>
      </w:r>
      <w:r>
        <w:rPr>
          <w:spacing w:val="-2"/>
        </w:rPr>
        <w:t xml:space="preserve"> </w:t>
      </w:r>
      <w:r>
        <w:t>for</w:t>
      </w:r>
      <w:r>
        <w:rPr>
          <w:spacing w:val="-1"/>
        </w:rPr>
        <w:t xml:space="preserve"> reviewing </w:t>
      </w:r>
      <w:r>
        <w:t>the</w:t>
      </w:r>
      <w:r>
        <w:rPr>
          <w:spacing w:val="1"/>
        </w:rPr>
        <w:t xml:space="preserve"> </w:t>
      </w:r>
      <w:r>
        <w:rPr>
          <w:spacing w:val="-1"/>
        </w:rPr>
        <w:t>effectiveness</w:t>
      </w:r>
      <w:r>
        <w:t xml:space="preserve"> </w:t>
      </w:r>
      <w:r>
        <w:rPr>
          <w:spacing w:val="-1"/>
        </w:rPr>
        <w:t>of</w:t>
      </w:r>
      <w:r>
        <w:t xml:space="preserve"> </w:t>
      </w:r>
      <w:r>
        <w:rPr>
          <w:spacing w:val="-1"/>
        </w:rPr>
        <w:t>the</w:t>
      </w:r>
      <w:r>
        <w:rPr>
          <w:spacing w:val="1"/>
        </w:rPr>
        <w:t xml:space="preserve"> </w:t>
      </w:r>
      <w:r>
        <w:rPr>
          <w:spacing w:val="-1"/>
        </w:rPr>
        <w:t>system</w:t>
      </w:r>
      <w:r>
        <w:rPr>
          <w:spacing w:val="2"/>
        </w:rPr>
        <w:t xml:space="preserve"> </w:t>
      </w:r>
      <w:r>
        <w:rPr>
          <w:spacing w:val="-1"/>
        </w:rPr>
        <w:t>of</w:t>
      </w:r>
      <w:r>
        <w:rPr>
          <w:spacing w:val="65"/>
        </w:rPr>
        <w:t xml:space="preserve"> </w:t>
      </w:r>
      <w:r>
        <w:rPr>
          <w:spacing w:val="-1"/>
        </w:rPr>
        <w:t>internal</w:t>
      </w:r>
      <w:r>
        <w:t xml:space="preserve"> </w:t>
      </w:r>
      <w:r>
        <w:rPr>
          <w:spacing w:val="-1"/>
        </w:rPr>
        <w:t>control</w:t>
      </w:r>
      <w:r>
        <w:t xml:space="preserve"> </w:t>
      </w:r>
      <w:r>
        <w:rPr>
          <w:spacing w:val="-1"/>
        </w:rPr>
        <w:t>within</w:t>
      </w:r>
      <w:r>
        <w:rPr>
          <w:spacing w:val="1"/>
        </w:rPr>
        <w:t xml:space="preserve"> </w:t>
      </w:r>
      <w:r>
        <w:rPr>
          <w:spacing w:val="-1"/>
        </w:rPr>
        <w:t>the</w:t>
      </w:r>
      <w:r>
        <w:rPr>
          <w:spacing w:val="1"/>
        </w:rPr>
        <w:t xml:space="preserve"> </w:t>
      </w:r>
      <w:r>
        <w:rPr>
          <w:spacing w:val="-1"/>
        </w:rPr>
        <w:t>clinical</w:t>
      </w:r>
      <w:r>
        <w:t xml:space="preserve"> </w:t>
      </w:r>
      <w:r>
        <w:rPr>
          <w:spacing w:val="-1"/>
        </w:rPr>
        <w:t>commissioning group</w:t>
      </w:r>
      <w:r>
        <w:rPr>
          <w:spacing w:val="1"/>
        </w:rPr>
        <w:t xml:space="preserve"> </w:t>
      </w:r>
      <w:r>
        <w:t xml:space="preserve">as </w:t>
      </w:r>
      <w:r>
        <w:rPr>
          <w:spacing w:val="-1"/>
        </w:rPr>
        <w:t>set</w:t>
      </w:r>
      <w:r>
        <w:t xml:space="preserve"> </w:t>
      </w:r>
      <w:r>
        <w:rPr>
          <w:spacing w:val="-1"/>
        </w:rPr>
        <w:t>out</w:t>
      </w:r>
      <w:r>
        <w:t xml:space="preserve"> </w:t>
      </w:r>
      <w:r>
        <w:rPr>
          <w:spacing w:val="-1"/>
        </w:rPr>
        <w:t>in this</w:t>
      </w:r>
      <w:r>
        <w:t xml:space="preserve"> </w:t>
      </w:r>
      <w:r>
        <w:rPr>
          <w:spacing w:val="-1"/>
        </w:rPr>
        <w:t>governance</w:t>
      </w:r>
      <w:r>
        <w:rPr>
          <w:spacing w:val="1"/>
        </w:rPr>
        <w:t xml:space="preserve"> </w:t>
      </w:r>
      <w:r>
        <w:rPr>
          <w:spacing w:val="-1"/>
        </w:rPr>
        <w:t>statement.</w:t>
      </w:r>
    </w:p>
    <w:p w14:paraId="3618C03D" w14:textId="77777777" w:rsidR="00E06CCF" w:rsidRPr="007830C3" w:rsidRDefault="00E06CCF" w:rsidP="00E06CCF">
      <w:pPr>
        <w:keepNext/>
        <w:keepLines/>
        <w:spacing w:before="200" w:after="0"/>
        <w:outlineLvl w:val="3"/>
        <w:rPr>
          <w:rFonts w:eastAsiaTheme="majorEastAsia" w:cs="Arial"/>
          <w:b/>
          <w:bCs/>
        </w:rPr>
      </w:pPr>
      <w:r w:rsidRPr="007830C3">
        <w:rPr>
          <w:rFonts w:eastAsiaTheme="majorEastAsia" w:cs="Arial"/>
          <w:b/>
          <w:bCs/>
        </w:rPr>
        <w:t>Governance arrangements and effectiveness</w:t>
      </w:r>
    </w:p>
    <w:p w14:paraId="1F1C9086" w14:textId="683386F1" w:rsidR="007A6C09" w:rsidRDefault="007A6C09" w:rsidP="007A6C09">
      <w:pPr>
        <w:pStyle w:val="BodyText"/>
        <w:kinsoku w:val="0"/>
        <w:overflowPunct w:val="0"/>
        <w:ind w:right="153"/>
        <w:rPr>
          <w:spacing w:val="-1"/>
        </w:rPr>
      </w:pPr>
      <w:bookmarkStart w:id="137" w:name="_Toc437807151"/>
      <w:bookmarkStart w:id="138" w:name="_Toc94188196"/>
      <w:bookmarkStart w:id="139" w:name="_Toc97218347"/>
      <w:r>
        <w:t>The</w:t>
      </w:r>
      <w:r>
        <w:rPr>
          <w:spacing w:val="-1"/>
        </w:rPr>
        <w:t xml:space="preserve"> </w:t>
      </w:r>
      <w:r>
        <w:t>main</w:t>
      </w:r>
      <w:r>
        <w:rPr>
          <w:spacing w:val="-1"/>
        </w:rPr>
        <w:t xml:space="preserve"> function of</w:t>
      </w:r>
      <w:r>
        <w:rPr>
          <w:spacing w:val="3"/>
        </w:rPr>
        <w:t xml:space="preserve"> </w:t>
      </w:r>
      <w:r>
        <w:rPr>
          <w:spacing w:val="-2"/>
        </w:rPr>
        <w:t>the</w:t>
      </w:r>
      <w:r>
        <w:rPr>
          <w:spacing w:val="1"/>
        </w:rPr>
        <w:t xml:space="preserve"> </w:t>
      </w:r>
      <w:r>
        <w:rPr>
          <w:spacing w:val="-1"/>
        </w:rPr>
        <w:t xml:space="preserve">governing </w:t>
      </w:r>
      <w:r>
        <w:t>body</w:t>
      </w:r>
      <w:r>
        <w:rPr>
          <w:spacing w:val="-2"/>
        </w:rPr>
        <w:t xml:space="preserve"> </w:t>
      </w:r>
      <w:r>
        <w:rPr>
          <w:spacing w:val="-1"/>
        </w:rPr>
        <w:t>(the Board) is</w:t>
      </w:r>
      <w:r>
        <w:t xml:space="preserve"> </w:t>
      </w:r>
      <w:r>
        <w:rPr>
          <w:spacing w:val="-1"/>
        </w:rPr>
        <w:t>to</w:t>
      </w:r>
      <w:r>
        <w:rPr>
          <w:spacing w:val="1"/>
        </w:rPr>
        <w:t xml:space="preserve"> </w:t>
      </w:r>
      <w:r>
        <w:rPr>
          <w:spacing w:val="-1"/>
        </w:rPr>
        <w:t>ensure</w:t>
      </w:r>
      <w:r>
        <w:rPr>
          <w:spacing w:val="1"/>
        </w:rPr>
        <w:t xml:space="preserve"> </w:t>
      </w:r>
      <w:r>
        <w:rPr>
          <w:spacing w:val="-1"/>
        </w:rPr>
        <w:t>that</w:t>
      </w:r>
      <w:r>
        <w:t xml:space="preserve"> the</w:t>
      </w:r>
      <w:r>
        <w:rPr>
          <w:spacing w:val="-1"/>
        </w:rPr>
        <w:t xml:space="preserve"> group</w:t>
      </w:r>
      <w:r>
        <w:rPr>
          <w:spacing w:val="1"/>
        </w:rPr>
        <w:t xml:space="preserve"> </w:t>
      </w:r>
      <w:r>
        <w:rPr>
          <w:spacing w:val="-1"/>
        </w:rPr>
        <w:t>has</w:t>
      </w:r>
      <w:r>
        <w:rPr>
          <w:spacing w:val="-2"/>
        </w:rPr>
        <w:t xml:space="preserve"> </w:t>
      </w:r>
      <w:r>
        <w:rPr>
          <w:spacing w:val="-1"/>
        </w:rPr>
        <w:t>made</w:t>
      </w:r>
      <w:r>
        <w:rPr>
          <w:spacing w:val="53"/>
        </w:rPr>
        <w:t xml:space="preserve"> </w:t>
      </w:r>
      <w:r>
        <w:rPr>
          <w:spacing w:val="-1"/>
        </w:rPr>
        <w:t>appropriate arrangements</w:t>
      </w:r>
      <w:r>
        <w:rPr>
          <w:spacing w:val="-2"/>
        </w:rPr>
        <w:t xml:space="preserve"> </w:t>
      </w:r>
      <w:r>
        <w:t>for</w:t>
      </w:r>
      <w:r>
        <w:rPr>
          <w:spacing w:val="-3"/>
        </w:rPr>
        <w:t xml:space="preserve"> </w:t>
      </w:r>
      <w:r>
        <w:rPr>
          <w:spacing w:val="-1"/>
        </w:rPr>
        <w:t>ensuring that</w:t>
      </w:r>
      <w:r>
        <w:t xml:space="preserve"> </w:t>
      </w:r>
      <w:r>
        <w:rPr>
          <w:spacing w:val="-1"/>
        </w:rPr>
        <w:t>it</w:t>
      </w:r>
      <w:r>
        <w:rPr>
          <w:spacing w:val="-4"/>
        </w:rPr>
        <w:t xml:space="preserve"> </w:t>
      </w:r>
      <w:r>
        <w:rPr>
          <w:spacing w:val="-1"/>
        </w:rPr>
        <w:t>exercises</w:t>
      </w:r>
      <w:r>
        <w:t xml:space="preserve"> </w:t>
      </w:r>
      <w:r>
        <w:rPr>
          <w:spacing w:val="-1"/>
        </w:rPr>
        <w:t>its</w:t>
      </w:r>
      <w:r>
        <w:t xml:space="preserve"> </w:t>
      </w:r>
      <w:r>
        <w:rPr>
          <w:spacing w:val="-1"/>
        </w:rPr>
        <w:t>functions</w:t>
      </w:r>
      <w:r>
        <w:rPr>
          <w:spacing w:val="-2"/>
        </w:rPr>
        <w:t xml:space="preserve"> </w:t>
      </w:r>
      <w:r>
        <w:rPr>
          <w:spacing w:val="-1"/>
        </w:rPr>
        <w:t>effectively,</w:t>
      </w:r>
      <w:r>
        <w:t xml:space="preserve"> </w:t>
      </w:r>
      <w:r>
        <w:rPr>
          <w:spacing w:val="-1"/>
        </w:rPr>
        <w:t>efficiently</w:t>
      </w:r>
      <w:r>
        <w:rPr>
          <w:spacing w:val="-2"/>
        </w:rPr>
        <w:t xml:space="preserve"> </w:t>
      </w:r>
      <w:r>
        <w:t xml:space="preserve">and  </w:t>
      </w:r>
      <w:r>
        <w:rPr>
          <w:spacing w:val="-1"/>
        </w:rPr>
        <w:t>economically</w:t>
      </w:r>
      <w:r>
        <w:rPr>
          <w:spacing w:val="-2"/>
        </w:rPr>
        <w:t xml:space="preserve"> </w:t>
      </w:r>
      <w:r>
        <w:t>and</w:t>
      </w:r>
      <w:r>
        <w:rPr>
          <w:spacing w:val="1"/>
        </w:rPr>
        <w:t xml:space="preserve"> </w:t>
      </w:r>
      <w:r>
        <w:rPr>
          <w:spacing w:val="-1"/>
        </w:rPr>
        <w:t>complies</w:t>
      </w:r>
      <w:r>
        <w:t xml:space="preserve"> </w:t>
      </w:r>
      <w:r>
        <w:rPr>
          <w:spacing w:val="-1"/>
        </w:rPr>
        <w:t>with</w:t>
      </w:r>
      <w:r>
        <w:rPr>
          <w:spacing w:val="1"/>
        </w:rPr>
        <w:t xml:space="preserve"> </w:t>
      </w:r>
      <w:r>
        <w:t>such</w:t>
      </w:r>
      <w:r>
        <w:rPr>
          <w:spacing w:val="1"/>
        </w:rPr>
        <w:t xml:space="preserve"> </w:t>
      </w:r>
      <w:r>
        <w:rPr>
          <w:spacing w:val="-1"/>
        </w:rPr>
        <w:t>generally</w:t>
      </w:r>
      <w:r>
        <w:rPr>
          <w:spacing w:val="-2"/>
        </w:rPr>
        <w:t xml:space="preserve"> </w:t>
      </w:r>
      <w:r>
        <w:t>accepted</w:t>
      </w:r>
      <w:r>
        <w:rPr>
          <w:spacing w:val="-1"/>
        </w:rPr>
        <w:t xml:space="preserve"> principles</w:t>
      </w:r>
      <w:r>
        <w:rPr>
          <w:spacing w:val="-2"/>
        </w:rPr>
        <w:t xml:space="preserve"> </w:t>
      </w:r>
      <w:r>
        <w:rPr>
          <w:spacing w:val="-1"/>
        </w:rPr>
        <w:t>of</w:t>
      </w:r>
      <w:r>
        <w:rPr>
          <w:spacing w:val="3"/>
        </w:rPr>
        <w:t xml:space="preserve"> </w:t>
      </w:r>
      <w:r>
        <w:rPr>
          <w:spacing w:val="-1"/>
        </w:rPr>
        <w:t>good governance</w:t>
      </w:r>
      <w:r>
        <w:rPr>
          <w:spacing w:val="1"/>
        </w:rPr>
        <w:t xml:space="preserve"> </w:t>
      </w:r>
      <w:r>
        <w:t>as</w:t>
      </w:r>
      <w:r>
        <w:rPr>
          <w:spacing w:val="-2"/>
        </w:rPr>
        <w:t xml:space="preserve"> </w:t>
      </w:r>
      <w:r>
        <w:rPr>
          <w:spacing w:val="-1"/>
        </w:rPr>
        <w:t>are</w:t>
      </w:r>
      <w:r>
        <w:rPr>
          <w:spacing w:val="49"/>
        </w:rPr>
        <w:t xml:space="preserve"> </w:t>
      </w:r>
      <w:r>
        <w:rPr>
          <w:spacing w:val="-1"/>
        </w:rPr>
        <w:t>relevant</w:t>
      </w:r>
      <w:r>
        <w:t xml:space="preserve"> to</w:t>
      </w:r>
      <w:r>
        <w:rPr>
          <w:spacing w:val="1"/>
        </w:rPr>
        <w:t xml:space="preserve"> </w:t>
      </w:r>
      <w:r>
        <w:rPr>
          <w:spacing w:val="-1"/>
        </w:rPr>
        <w:t>it.</w:t>
      </w:r>
    </w:p>
    <w:p w14:paraId="2E05EBFD" w14:textId="77777777" w:rsidR="007A6C09" w:rsidRDefault="007A6C09" w:rsidP="007A6C09">
      <w:pPr>
        <w:pStyle w:val="BodyText"/>
        <w:kinsoku w:val="0"/>
        <w:overflowPunct w:val="0"/>
        <w:ind w:right="183"/>
        <w:rPr>
          <w:spacing w:val="-1"/>
        </w:rPr>
      </w:pPr>
      <w:r>
        <w:rPr>
          <w:spacing w:val="-1"/>
        </w:rPr>
        <w:t>CCGs</w:t>
      </w:r>
      <w:r>
        <w:t xml:space="preserve"> </w:t>
      </w:r>
      <w:r>
        <w:rPr>
          <w:spacing w:val="-1"/>
        </w:rPr>
        <w:t>are</w:t>
      </w:r>
      <w:r>
        <w:rPr>
          <w:spacing w:val="1"/>
        </w:rPr>
        <w:t xml:space="preserve"> </w:t>
      </w:r>
      <w:r>
        <w:rPr>
          <w:spacing w:val="-1"/>
        </w:rPr>
        <w:t>clinically-led</w:t>
      </w:r>
      <w:r>
        <w:rPr>
          <w:spacing w:val="1"/>
        </w:rPr>
        <w:t xml:space="preserve"> </w:t>
      </w:r>
      <w:r>
        <w:rPr>
          <w:spacing w:val="-1"/>
        </w:rPr>
        <w:t>membership organisations</w:t>
      </w:r>
      <w:r>
        <w:t xml:space="preserve"> </w:t>
      </w:r>
      <w:r>
        <w:rPr>
          <w:spacing w:val="-1"/>
        </w:rPr>
        <w:t>made</w:t>
      </w:r>
      <w:r>
        <w:rPr>
          <w:spacing w:val="1"/>
        </w:rPr>
        <w:t xml:space="preserve"> </w:t>
      </w:r>
      <w:r>
        <w:rPr>
          <w:spacing w:val="-1"/>
        </w:rPr>
        <w:t>up</w:t>
      </w:r>
      <w:r>
        <w:rPr>
          <w:spacing w:val="1"/>
        </w:rPr>
        <w:t xml:space="preserve"> </w:t>
      </w:r>
      <w:r>
        <w:rPr>
          <w:spacing w:val="-1"/>
        </w:rPr>
        <w:t>of</w:t>
      </w:r>
      <w:r>
        <w:t xml:space="preserve"> </w:t>
      </w:r>
      <w:r>
        <w:rPr>
          <w:spacing w:val="-1"/>
        </w:rPr>
        <w:t>general</w:t>
      </w:r>
      <w:r>
        <w:t xml:space="preserve"> </w:t>
      </w:r>
      <w:r>
        <w:rPr>
          <w:spacing w:val="-1"/>
        </w:rPr>
        <w:t>practices.</w:t>
      </w:r>
      <w:r>
        <w:rPr>
          <w:spacing w:val="-4"/>
        </w:rPr>
        <w:t xml:space="preserve"> </w:t>
      </w:r>
      <w:r>
        <w:t>The</w:t>
      </w:r>
      <w:r>
        <w:rPr>
          <w:spacing w:val="-1"/>
        </w:rPr>
        <w:t xml:space="preserve"> members</w:t>
      </w:r>
      <w:r>
        <w:t xml:space="preserve"> </w:t>
      </w:r>
      <w:r>
        <w:rPr>
          <w:spacing w:val="-1"/>
        </w:rPr>
        <w:t>of</w:t>
      </w:r>
      <w:r>
        <w:rPr>
          <w:spacing w:val="73"/>
        </w:rPr>
        <w:t xml:space="preserve"> </w:t>
      </w:r>
      <w:r>
        <w:t>the</w:t>
      </w:r>
      <w:r>
        <w:rPr>
          <w:spacing w:val="1"/>
        </w:rPr>
        <w:t xml:space="preserve"> Basildon and Brentwood </w:t>
      </w:r>
      <w:r w:rsidRPr="002D2917">
        <w:rPr>
          <w:spacing w:val="-1"/>
        </w:rPr>
        <w:t>CCG</w:t>
      </w:r>
      <w:r w:rsidRPr="008179CB">
        <w:t xml:space="preserve"> </w:t>
      </w:r>
      <w:r w:rsidRPr="008179CB">
        <w:rPr>
          <w:spacing w:val="-2"/>
        </w:rPr>
        <w:t>have</w:t>
      </w:r>
      <w:r w:rsidRPr="008179CB">
        <w:rPr>
          <w:spacing w:val="1"/>
        </w:rPr>
        <w:t xml:space="preserve"> </w:t>
      </w:r>
      <w:r w:rsidRPr="00A2784B">
        <w:rPr>
          <w:spacing w:val="-1"/>
        </w:rPr>
        <w:t xml:space="preserve">determined </w:t>
      </w:r>
      <w:r w:rsidRPr="00A2784B">
        <w:t>the</w:t>
      </w:r>
      <w:r w:rsidRPr="005D1AD5">
        <w:rPr>
          <w:spacing w:val="-1"/>
        </w:rPr>
        <w:t xml:space="preserve"> governing arrangements</w:t>
      </w:r>
      <w:r w:rsidRPr="005D1AD5">
        <w:rPr>
          <w:spacing w:val="-2"/>
        </w:rPr>
        <w:t xml:space="preserve"> </w:t>
      </w:r>
      <w:r w:rsidRPr="005D1AD5">
        <w:rPr>
          <w:spacing w:val="-1"/>
        </w:rPr>
        <w:t xml:space="preserve">for </w:t>
      </w:r>
      <w:r w:rsidRPr="008179CB">
        <w:t>the</w:t>
      </w:r>
      <w:r w:rsidRPr="008179CB">
        <w:rPr>
          <w:spacing w:val="1"/>
        </w:rPr>
        <w:t xml:space="preserve"> </w:t>
      </w:r>
      <w:r w:rsidRPr="008179CB">
        <w:rPr>
          <w:spacing w:val="-1"/>
        </w:rPr>
        <w:t>CCG</w:t>
      </w:r>
      <w:r w:rsidRPr="008179CB">
        <w:rPr>
          <w:spacing w:val="-2"/>
        </w:rPr>
        <w:t xml:space="preserve"> </w:t>
      </w:r>
      <w:r w:rsidRPr="008179CB">
        <w:t xml:space="preserve">as </w:t>
      </w:r>
      <w:r w:rsidRPr="008179CB">
        <w:rPr>
          <w:spacing w:val="-1"/>
        </w:rPr>
        <w:t>set</w:t>
      </w:r>
      <w:r w:rsidRPr="008179CB">
        <w:t xml:space="preserve"> </w:t>
      </w:r>
      <w:r w:rsidRPr="008179CB">
        <w:rPr>
          <w:spacing w:val="-1"/>
        </w:rPr>
        <w:t>out</w:t>
      </w:r>
      <w:r w:rsidRPr="008179CB">
        <w:t xml:space="preserve"> </w:t>
      </w:r>
      <w:r w:rsidRPr="008179CB">
        <w:rPr>
          <w:spacing w:val="-2"/>
        </w:rPr>
        <w:t>in</w:t>
      </w:r>
      <w:r w:rsidRPr="008179CB">
        <w:rPr>
          <w:spacing w:val="1"/>
        </w:rPr>
        <w:t xml:space="preserve"> </w:t>
      </w:r>
      <w:r w:rsidRPr="008179CB">
        <w:rPr>
          <w:spacing w:val="-1"/>
        </w:rPr>
        <w:t>its</w:t>
      </w:r>
      <w:r w:rsidRPr="008179CB">
        <w:rPr>
          <w:spacing w:val="63"/>
        </w:rPr>
        <w:t xml:space="preserve"> </w:t>
      </w:r>
      <w:r w:rsidRPr="008179CB">
        <w:rPr>
          <w:spacing w:val="-1"/>
        </w:rPr>
        <w:t>constitution,</w:t>
      </w:r>
      <w:r w:rsidRPr="008179CB">
        <w:rPr>
          <w:spacing w:val="-2"/>
        </w:rPr>
        <w:t xml:space="preserve"> </w:t>
      </w:r>
      <w:r w:rsidRPr="008179CB">
        <w:rPr>
          <w:spacing w:val="-1"/>
        </w:rPr>
        <w:t>which</w:t>
      </w:r>
      <w:r w:rsidRPr="008179CB">
        <w:rPr>
          <w:spacing w:val="1"/>
        </w:rPr>
        <w:t xml:space="preserve"> </w:t>
      </w:r>
      <w:r w:rsidRPr="008179CB">
        <w:rPr>
          <w:spacing w:val="-1"/>
        </w:rPr>
        <w:t>was</w:t>
      </w:r>
      <w:r w:rsidRPr="008179CB">
        <w:rPr>
          <w:spacing w:val="2"/>
        </w:rPr>
        <w:t xml:space="preserve"> </w:t>
      </w:r>
      <w:r w:rsidRPr="008179CB">
        <w:rPr>
          <w:spacing w:val="-1"/>
        </w:rPr>
        <w:t>based</w:t>
      </w:r>
      <w:r w:rsidRPr="008179CB">
        <w:rPr>
          <w:spacing w:val="1"/>
        </w:rPr>
        <w:t xml:space="preserve"> </w:t>
      </w:r>
      <w:r w:rsidRPr="008179CB">
        <w:rPr>
          <w:spacing w:val="-1"/>
        </w:rPr>
        <w:t>on</w:t>
      </w:r>
      <w:r w:rsidRPr="008179CB">
        <w:rPr>
          <w:spacing w:val="1"/>
        </w:rPr>
        <w:t xml:space="preserve"> </w:t>
      </w:r>
      <w:r w:rsidRPr="008179CB">
        <w:rPr>
          <w:spacing w:val="-1"/>
        </w:rPr>
        <w:t>the</w:t>
      </w:r>
      <w:r w:rsidRPr="008179CB">
        <w:rPr>
          <w:spacing w:val="1"/>
        </w:rPr>
        <w:t xml:space="preserve"> </w:t>
      </w:r>
      <w:r w:rsidRPr="008179CB">
        <w:rPr>
          <w:spacing w:val="-1"/>
        </w:rPr>
        <w:t>Model</w:t>
      </w:r>
      <w:r w:rsidRPr="008179CB">
        <w:t xml:space="preserve"> </w:t>
      </w:r>
      <w:r w:rsidRPr="008179CB">
        <w:rPr>
          <w:spacing w:val="-1"/>
        </w:rPr>
        <w:t>Constitution</w:t>
      </w:r>
      <w:r w:rsidRPr="008179CB">
        <w:rPr>
          <w:spacing w:val="1"/>
        </w:rPr>
        <w:t xml:space="preserve"> </w:t>
      </w:r>
      <w:r w:rsidRPr="008179CB">
        <w:rPr>
          <w:spacing w:val="-1"/>
        </w:rPr>
        <w:t>Framework</w:t>
      </w:r>
      <w:r w:rsidRPr="008179CB">
        <w:t xml:space="preserve"> for</w:t>
      </w:r>
      <w:r w:rsidRPr="008179CB">
        <w:rPr>
          <w:spacing w:val="-1"/>
        </w:rPr>
        <w:t xml:space="preserve"> CCGs</w:t>
      </w:r>
      <w:r w:rsidRPr="008179CB">
        <w:t xml:space="preserve"> </w:t>
      </w:r>
      <w:r w:rsidRPr="008179CB">
        <w:rPr>
          <w:spacing w:val="-1"/>
        </w:rPr>
        <w:t>and</w:t>
      </w:r>
      <w:r w:rsidRPr="008179CB">
        <w:rPr>
          <w:spacing w:val="1"/>
        </w:rPr>
        <w:t xml:space="preserve"> </w:t>
      </w:r>
      <w:r w:rsidRPr="008179CB">
        <w:rPr>
          <w:spacing w:val="-1"/>
        </w:rPr>
        <w:t>originally</w:t>
      </w:r>
      <w:r w:rsidRPr="008179CB">
        <w:rPr>
          <w:spacing w:val="59"/>
        </w:rPr>
        <w:t xml:space="preserve"> </w:t>
      </w:r>
      <w:r w:rsidRPr="008179CB">
        <w:rPr>
          <w:spacing w:val="-1"/>
        </w:rPr>
        <w:t xml:space="preserve">approved in </w:t>
      </w:r>
      <w:r w:rsidRPr="002D2917">
        <w:rPr>
          <w:spacing w:val="-1"/>
        </w:rPr>
        <w:t>March 2013.</w:t>
      </w:r>
      <w:r w:rsidRPr="002D2917">
        <w:rPr>
          <w:spacing w:val="65"/>
        </w:rPr>
        <w:t xml:space="preserve"> </w:t>
      </w:r>
      <w:r w:rsidRPr="002D2917">
        <w:rPr>
          <w:spacing w:val="-1"/>
        </w:rPr>
        <w:t>The</w:t>
      </w:r>
      <w:r w:rsidRPr="002D2917">
        <w:rPr>
          <w:spacing w:val="1"/>
        </w:rPr>
        <w:t xml:space="preserve"> </w:t>
      </w:r>
      <w:r w:rsidRPr="002D2917">
        <w:rPr>
          <w:spacing w:val="-1"/>
        </w:rPr>
        <w:t>CCG</w:t>
      </w:r>
      <w:r w:rsidRPr="002D2917">
        <w:rPr>
          <w:spacing w:val="-2"/>
        </w:rPr>
        <w:t xml:space="preserve"> </w:t>
      </w:r>
      <w:r w:rsidRPr="002D2917">
        <w:t>undertook</w:t>
      </w:r>
      <w:r w:rsidRPr="002D2917">
        <w:rPr>
          <w:spacing w:val="1"/>
        </w:rPr>
        <w:t xml:space="preserve"> </w:t>
      </w:r>
      <w:r w:rsidRPr="002D2917">
        <w:t>a</w:t>
      </w:r>
      <w:r w:rsidRPr="002D2917">
        <w:rPr>
          <w:spacing w:val="-1"/>
        </w:rPr>
        <w:t xml:space="preserve"> thorough review</w:t>
      </w:r>
      <w:r w:rsidRPr="002D2917">
        <w:rPr>
          <w:spacing w:val="-3"/>
        </w:rPr>
        <w:t xml:space="preserve"> </w:t>
      </w:r>
      <w:r w:rsidRPr="002D2917">
        <w:t>of</w:t>
      </w:r>
      <w:r w:rsidRPr="002D2917">
        <w:rPr>
          <w:spacing w:val="3"/>
        </w:rPr>
        <w:t xml:space="preserve"> </w:t>
      </w:r>
      <w:r w:rsidRPr="002D2917">
        <w:rPr>
          <w:spacing w:val="-1"/>
        </w:rPr>
        <w:t>its</w:t>
      </w:r>
      <w:r w:rsidRPr="002D2917">
        <w:t xml:space="preserve"> </w:t>
      </w:r>
      <w:r w:rsidRPr="002D2917">
        <w:rPr>
          <w:spacing w:val="-1"/>
        </w:rPr>
        <w:t>constitution,</w:t>
      </w:r>
      <w:r w:rsidRPr="002D2917">
        <w:t xml:space="preserve"> </w:t>
      </w:r>
      <w:r w:rsidRPr="002D2917">
        <w:rPr>
          <w:spacing w:val="-1"/>
        </w:rPr>
        <w:t>in line</w:t>
      </w:r>
      <w:r w:rsidRPr="002D2917">
        <w:rPr>
          <w:spacing w:val="1"/>
        </w:rPr>
        <w:t xml:space="preserve"> </w:t>
      </w:r>
      <w:r w:rsidRPr="002D2917">
        <w:rPr>
          <w:spacing w:val="-1"/>
        </w:rPr>
        <w:t>with</w:t>
      </w:r>
      <w:r w:rsidRPr="002D2917">
        <w:rPr>
          <w:spacing w:val="1"/>
        </w:rPr>
        <w:t xml:space="preserve"> </w:t>
      </w:r>
      <w:r w:rsidRPr="002D2917">
        <w:t>the</w:t>
      </w:r>
      <w:r w:rsidRPr="002D2917">
        <w:rPr>
          <w:spacing w:val="1"/>
        </w:rPr>
        <w:t xml:space="preserve"> </w:t>
      </w:r>
      <w:r w:rsidRPr="002D2917">
        <w:rPr>
          <w:spacing w:val="-1"/>
        </w:rPr>
        <w:t>NHS</w:t>
      </w:r>
      <w:r w:rsidRPr="002D2917">
        <w:rPr>
          <w:spacing w:val="1"/>
        </w:rPr>
        <w:t xml:space="preserve"> </w:t>
      </w:r>
      <w:r w:rsidRPr="002D2917">
        <w:rPr>
          <w:spacing w:val="-1"/>
        </w:rPr>
        <w:t>CCG</w:t>
      </w:r>
      <w:r w:rsidRPr="002D2917">
        <w:rPr>
          <w:spacing w:val="-2"/>
        </w:rPr>
        <w:t xml:space="preserve"> </w:t>
      </w:r>
      <w:r w:rsidRPr="002D2917">
        <w:rPr>
          <w:spacing w:val="-1"/>
        </w:rPr>
        <w:t>New</w:t>
      </w:r>
      <w:r w:rsidRPr="002D2917">
        <w:rPr>
          <w:spacing w:val="-3"/>
        </w:rPr>
        <w:t xml:space="preserve"> </w:t>
      </w:r>
      <w:r w:rsidRPr="002D2917">
        <w:rPr>
          <w:spacing w:val="-1"/>
        </w:rPr>
        <w:t>Model</w:t>
      </w:r>
      <w:r w:rsidRPr="002D2917">
        <w:t xml:space="preserve"> </w:t>
      </w:r>
      <w:r w:rsidRPr="002D2917">
        <w:rPr>
          <w:spacing w:val="-1"/>
        </w:rPr>
        <w:t>Constitution,</w:t>
      </w:r>
      <w:r w:rsidRPr="002D2917">
        <w:t xml:space="preserve"> </w:t>
      </w:r>
      <w:r w:rsidRPr="002D2917">
        <w:rPr>
          <w:spacing w:val="-1"/>
        </w:rPr>
        <w:t>to</w:t>
      </w:r>
      <w:r w:rsidRPr="002D2917">
        <w:rPr>
          <w:spacing w:val="1"/>
        </w:rPr>
        <w:t xml:space="preserve"> </w:t>
      </w:r>
      <w:r w:rsidRPr="002D2917">
        <w:rPr>
          <w:spacing w:val="-1"/>
        </w:rPr>
        <w:t>enable</w:t>
      </w:r>
      <w:r w:rsidRPr="002D2917">
        <w:rPr>
          <w:spacing w:val="1"/>
        </w:rPr>
        <w:t xml:space="preserve"> </w:t>
      </w:r>
      <w:r w:rsidRPr="002D2917">
        <w:rPr>
          <w:spacing w:val="-1"/>
        </w:rPr>
        <w:t>the</w:t>
      </w:r>
      <w:r w:rsidRPr="002D2917">
        <w:rPr>
          <w:spacing w:val="1"/>
        </w:rPr>
        <w:t xml:space="preserve"> </w:t>
      </w:r>
      <w:r w:rsidRPr="002D2917">
        <w:rPr>
          <w:spacing w:val="-1"/>
        </w:rPr>
        <w:t>CCG</w:t>
      </w:r>
      <w:r w:rsidRPr="002D2917">
        <w:rPr>
          <w:spacing w:val="-2"/>
        </w:rPr>
        <w:t xml:space="preserve"> </w:t>
      </w:r>
      <w:r w:rsidRPr="002D2917">
        <w:t>to</w:t>
      </w:r>
      <w:r w:rsidRPr="002D2917">
        <w:rPr>
          <w:spacing w:val="1"/>
        </w:rPr>
        <w:t xml:space="preserve"> </w:t>
      </w:r>
      <w:r w:rsidRPr="002D2917">
        <w:rPr>
          <w:spacing w:val="-1"/>
        </w:rPr>
        <w:t>take</w:t>
      </w:r>
      <w:r w:rsidRPr="002D2917">
        <w:rPr>
          <w:spacing w:val="1"/>
        </w:rPr>
        <w:t xml:space="preserve"> </w:t>
      </w:r>
      <w:r w:rsidRPr="002D2917">
        <w:rPr>
          <w:spacing w:val="-1"/>
        </w:rPr>
        <w:t>on fully</w:t>
      </w:r>
      <w:r w:rsidRPr="002D2917">
        <w:rPr>
          <w:spacing w:val="-2"/>
        </w:rPr>
        <w:t xml:space="preserve"> </w:t>
      </w:r>
      <w:r w:rsidRPr="002D2917">
        <w:rPr>
          <w:spacing w:val="-1"/>
        </w:rPr>
        <w:t>delegated</w:t>
      </w:r>
      <w:r w:rsidRPr="002D2917">
        <w:rPr>
          <w:spacing w:val="63"/>
        </w:rPr>
        <w:t xml:space="preserve"> </w:t>
      </w:r>
      <w:r w:rsidRPr="002D2917">
        <w:rPr>
          <w:spacing w:val="-1"/>
        </w:rPr>
        <w:t>primary</w:t>
      </w:r>
      <w:r w:rsidRPr="002D2917">
        <w:rPr>
          <w:spacing w:val="-2"/>
        </w:rPr>
        <w:t xml:space="preserve"> </w:t>
      </w:r>
      <w:r w:rsidRPr="002D2917">
        <w:rPr>
          <w:spacing w:val="-1"/>
        </w:rPr>
        <w:t>care</w:t>
      </w:r>
      <w:r w:rsidRPr="002D2917">
        <w:rPr>
          <w:spacing w:val="1"/>
        </w:rPr>
        <w:t xml:space="preserve"> </w:t>
      </w:r>
      <w:r w:rsidRPr="002D2917">
        <w:rPr>
          <w:spacing w:val="-1"/>
        </w:rPr>
        <w:t>commissioning with</w:t>
      </w:r>
      <w:r w:rsidRPr="002D2917">
        <w:rPr>
          <w:spacing w:val="1"/>
        </w:rPr>
        <w:t xml:space="preserve"> </w:t>
      </w:r>
      <w:r w:rsidRPr="002D2917">
        <w:t>effect</w:t>
      </w:r>
      <w:r w:rsidRPr="002D2917">
        <w:rPr>
          <w:spacing w:val="-4"/>
        </w:rPr>
        <w:t xml:space="preserve"> </w:t>
      </w:r>
      <w:r w:rsidRPr="002D2917">
        <w:t>from</w:t>
      </w:r>
      <w:r w:rsidRPr="002D2917">
        <w:rPr>
          <w:spacing w:val="-3"/>
        </w:rPr>
        <w:t xml:space="preserve"> </w:t>
      </w:r>
      <w:r w:rsidRPr="002D2917">
        <w:t>1</w:t>
      </w:r>
      <w:r w:rsidRPr="002D2917">
        <w:rPr>
          <w:spacing w:val="1"/>
        </w:rPr>
        <w:t xml:space="preserve"> </w:t>
      </w:r>
      <w:r w:rsidRPr="002D2917">
        <w:rPr>
          <w:spacing w:val="-1"/>
        </w:rPr>
        <w:t>April</w:t>
      </w:r>
      <w:r w:rsidRPr="002D2917">
        <w:t xml:space="preserve"> </w:t>
      </w:r>
      <w:r w:rsidRPr="002D2917">
        <w:rPr>
          <w:spacing w:val="-1"/>
        </w:rPr>
        <w:t>2021 and</w:t>
      </w:r>
      <w:r w:rsidRPr="002D2917">
        <w:rPr>
          <w:spacing w:val="1"/>
        </w:rPr>
        <w:t xml:space="preserve"> </w:t>
      </w:r>
      <w:r w:rsidRPr="002D2917">
        <w:t>to</w:t>
      </w:r>
      <w:r w:rsidRPr="002D2917">
        <w:rPr>
          <w:spacing w:val="-1"/>
        </w:rPr>
        <w:t xml:space="preserve"> align</w:t>
      </w:r>
      <w:r w:rsidRPr="002D2917">
        <w:rPr>
          <w:spacing w:val="1"/>
        </w:rPr>
        <w:t xml:space="preserve"> </w:t>
      </w:r>
      <w:r w:rsidRPr="002D2917">
        <w:rPr>
          <w:spacing w:val="-1"/>
        </w:rPr>
        <w:t>its</w:t>
      </w:r>
      <w:r w:rsidRPr="002D2917">
        <w:t xml:space="preserve"> </w:t>
      </w:r>
      <w:r w:rsidRPr="002D2917">
        <w:rPr>
          <w:spacing w:val="-1"/>
        </w:rPr>
        <w:t>constitution</w:t>
      </w:r>
      <w:r w:rsidRPr="002D2917">
        <w:rPr>
          <w:spacing w:val="1"/>
        </w:rPr>
        <w:t xml:space="preserve"> </w:t>
      </w:r>
      <w:r w:rsidRPr="002D2917">
        <w:rPr>
          <w:spacing w:val="-1"/>
        </w:rPr>
        <w:t>with</w:t>
      </w:r>
      <w:r w:rsidRPr="002D2917">
        <w:rPr>
          <w:spacing w:val="1"/>
        </w:rPr>
        <w:t xml:space="preserve"> </w:t>
      </w:r>
      <w:r w:rsidRPr="002D2917">
        <w:rPr>
          <w:spacing w:val="-1"/>
        </w:rPr>
        <w:t>the</w:t>
      </w:r>
      <w:r w:rsidRPr="002D2917">
        <w:rPr>
          <w:spacing w:val="1"/>
        </w:rPr>
        <w:t xml:space="preserve"> </w:t>
      </w:r>
      <w:r w:rsidRPr="002D2917">
        <w:rPr>
          <w:spacing w:val="-1"/>
        </w:rPr>
        <w:t xml:space="preserve">other </w:t>
      </w:r>
      <w:r w:rsidRPr="002D2917">
        <w:t>mid</w:t>
      </w:r>
      <w:r w:rsidRPr="002D2917">
        <w:rPr>
          <w:spacing w:val="1"/>
        </w:rPr>
        <w:t xml:space="preserve"> </w:t>
      </w:r>
      <w:r w:rsidRPr="002D2917">
        <w:rPr>
          <w:spacing w:val="-1"/>
        </w:rPr>
        <w:t>and</w:t>
      </w:r>
      <w:r w:rsidRPr="002D2917">
        <w:rPr>
          <w:spacing w:val="1"/>
        </w:rPr>
        <w:t xml:space="preserve"> </w:t>
      </w:r>
      <w:r w:rsidRPr="002D2917">
        <w:rPr>
          <w:spacing w:val="-1"/>
        </w:rPr>
        <w:t>south</w:t>
      </w:r>
      <w:r w:rsidRPr="002D2917">
        <w:rPr>
          <w:spacing w:val="1"/>
        </w:rPr>
        <w:t xml:space="preserve"> </w:t>
      </w:r>
      <w:r w:rsidRPr="002D2917">
        <w:rPr>
          <w:spacing w:val="-1"/>
        </w:rPr>
        <w:t>Essex</w:t>
      </w:r>
      <w:r w:rsidRPr="002D2917">
        <w:rPr>
          <w:spacing w:val="-2"/>
        </w:rPr>
        <w:t xml:space="preserve"> </w:t>
      </w:r>
      <w:r w:rsidRPr="002D2917">
        <w:rPr>
          <w:spacing w:val="-1"/>
        </w:rPr>
        <w:t>CCGs</w:t>
      </w:r>
      <w:r w:rsidRPr="002D2917">
        <w:t xml:space="preserve"> </w:t>
      </w:r>
      <w:r w:rsidRPr="002D2917">
        <w:rPr>
          <w:spacing w:val="-1"/>
        </w:rPr>
        <w:t>in</w:t>
      </w:r>
      <w:r w:rsidRPr="002D2917">
        <w:rPr>
          <w:spacing w:val="1"/>
        </w:rPr>
        <w:t xml:space="preserve"> </w:t>
      </w:r>
      <w:r w:rsidRPr="002D2917">
        <w:rPr>
          <w:spacing w:val="-1"/>
        </w:rPr>
        <w:t>preparation</w:t>
      </w:r>
      <w:r w:rsidRPr="002D2917">
        <w:rPr>
          <w:spacing w:val="-4"/>
        </w:rPr>
        <w:t xml:space="preserve"> </w:t>
      </w:r>
      <w:r w:rsidRPr="002D2917">
        <w:t>for</w:t>
      </w:r>
      <w:r w:rsidRPr="002D2917">
        <w:rPr>
          <w:spacing w:val="-1"/>
        </w:rPr>
        <w:t xml:space="preserve"> </w:t>
      </w:r>
      <w:r w:rsidRPr="002D2917">
        <w:t>the</w:t>
      </w:r>
      <w:r w:rsidRPr="002D2917">
        <w:rPr>
          <w:spacing w:val="1"/>
        </w:rPr>
        <w:t xml:space="preserve"> </w:t>
      </w:r>
      <w:r w:rsidRPr="002D2917">
        <w:rPr>
          <w:spacing w:val="-1"/>
        </w:rPr>
        <w:t>development</w:t>
      </w:r>
      <w:r w:rsidRPr="002D2917">
        <w:rPr>
          <w:spacing w:val="-2"/>
        </w:rPr>
        <w:t xml:space="preserve"> </w:t>
      </w:r>
      <w:r w:rsidRPr="002D2917">
        <w:rPr>
          <w:spacing w:val="-1"/>
        </w:rPr>
        <w:t>of</w:t>
      </w:r>
      <w:r w:rsidRPr="002D2917">
        <w:t xml:space="preserve"> </w:t>
      </w:r>
      <w:r w:rsidRPr="002D2917">
        <w:rPr>
          <w:spacing w:val="-1"/>
        </w:rPr>
        <w:t>an</w:t>
      </w:r>
      <w:r w:rsidRPr="002D2917">
        <w:rPr>
          <w:spacing w:val="1"/>
        </w:rPr>
        <w:t xml:space="preserve"> </w:t>
      </w:r>
      <w:r w:rsidRPr="002D2917">
        <w:rPr>
          <w:spacing w:val="-1"/>
        </w:rPr>
        <w:t>Integrated</w:t>
      </w:r>
      <w:r w:rsidRPr="002D2917">
        <w:rPr>
          <w:spacing w:val="1"/>
        </w:rPr>
        <w:t xml:space="preserve"> </w:t>
      </w:r>
      <w:r w:rsidRPr="002D2917">
        <w:rPr>
          <w:spacing w:val="-1"/>
        </w:rPr>
        <w:t>Care</w:t>
      </w:r>
      <w:r w:rsidRPr="002D2917">
        <w:rPr>
          <w:spacing w:val="1"/>
        </w:rPr>
        <w:t xml:space="preserve"> </w:t>
      </w:r>
      <w:r w:rsidRPr="002D2917">
        <w:rPr>
          <w:spacing w:val="-1"/>
        </w:rPr>
        <w:t>System.</w:t>
      </w:r>
    </w:p>
    <w:p w14:paraId="05E1CC37" w14:textId="1A1EE362" w:rsidR="007A6C09" w:rsidRDefault="007A6C09" w:rsidP="007A6C09">
      <w:pPr>
        <w:pStyle w:val="BodyText"/>
        <w:kinsoku w:val="0"/>
        <w:overflowPunct w:val="0"/>
        <w:ind w:right="183"/>
        <w:rPr>
          <w:spacing w:val="-1"/>
        </w:rPr>
      </w:pPr>
      <w:r w:rsidRPr="002D2917">
        <w:t>The</w:t>
      </w:r>
      <w:r w:rsidRPr="002D2917">
        <w:rPr>
          <w:spacing w:val="1"/>
        </w:rPr>
        <w:t xml:space="preserve"> </w:t>
      </w:r>
      <w:r w:rsidRPr="002D2917">
        <w:rPr>
          <w:spacing w:val="-1"/>
        </w:rPr>
        <w:t>revised</w:t>
      </w:r>
      <w:r w:rsidRPr="002D2917">
        <w:rPr>
          <w:spacing w:val="1"/>
        </w:rPr>
        <w:t xml:space="preserve"> </w:t>
      </w:r>
      <w:r w:rsidRPr="002D2917">
        <w:rPr>
          <w:spacing w:val="-1"/>
        </w:rPr>
        <w:t>constitution</w:t>
      </w:r>
      <w:r w:rsidRPr="002D2917">
        <w:rPr>
          <w:spacing w:val="1"/>
        </w:rPr>
        <w:t xml:space="preserve"> </w:t>
      </w:r>
      <w:r w:rsidRPr="002D2917">
        <w:rPr>
          <w:spacing w:val="-1"/>
        </w:rPr>
        <w:t>was</w:t>
      </w:r>
      <w:r w:rsidRPr="002D2917">
        <w:t xml:space="preserve"> </w:t>
      </w:r>
      <w:r w:rsidRPr="002D2917">
        <w:rPr>
          <w:spacing w:val="-1"/>
        </w:rPr>
        <w:t xml:space="preserve">approved </w:t>
      </w:r>
      <w:r w:rsidRPr="002D2917">
        <w:t>by</w:t>
      </w:r>
      <w:r w:rsidRPr="002D2917">
        <w:rPr>
          <w:spacing w:val="-2"/>
        </w:rPr>
        <w:t xml:space="preserve"> </w:t>
      </w:r>
      <w:r w:rsidRPr="002D2917">
        <w:t>the</w:t>
      </w:r>
      <w:r w:rsidRPr="002D2917">
        <w:rPr>
          <w:spacing w:val="-1"/>
        </w:rPr>
        <w:t xml:space="preserve"> Board </w:t>
      </w:r>
      <w:r w:rsidRPr="002D2917">
        <w:t xml:space="preserve">at </w:t>
      </w:r>
      <w:r w:rsidRPr="002D2917">
        <w:rPr>
          <w:spacing w:val="-1"/>
        </w:rPr>
        <w:t>its</w:t>
      </w:r>
      <w:r w:rsidRPr="002D2917">
        <w:rPr>
          <w:spacing w:val="-2"/>
        </w:rPr>
        <w:t xml:space="preserve"> </w:t>
      </w:r>
      <w:r w:rsidRPr="002D2917">
        <w:rPr>
          <w:spacing w:val="-1"/>
        </w:rPr>
        <w:t>meeting on</w:t>
      </w:r>
      <w:r w:rsidRPr="002D2917">
        <w:rPr>
          <w:spacing w:val="1"/>
        </w:rPr>
        <w:t xml:space="preserve"> </w:t>
      </w:r>
      <w:r w:rsidRPr="002D2917">
        <w:t>25</w:t>
      </w:r>
      <w:r w:rsidRPr="002D2917">
        <w:rPr>
          <w:spacing w:val="-1"/>
        </w:rPr>
        <w:t xml:space="preserve"> March</w:t>
      </w:r>
      <w:r w:rsidRPr="002D2917">
        <w:rPr>
          <w:spacing w:val="1"/>
        </w:rPr>
        <w:t xml:space="preserve"> </w:t>
      </w:r>
      <w:r w:rsidRPr="002D2917">
        <w:rPr>
          <w:spacing w:val="-1"/>
        </w:rPr>
        <w:t>2021.</w:t>
      </w:r>
    </w:p>
    <w:p w14:paraId="159879D5" w14:textId="5684A4C9" w:rsidR="007A6C09" w:rsidRDefault="007A6C09" w:rsidP="007A6C09">
      <w:pPr>
        <w:pStyle w:val="BodyText"/>
        <w:kinsoku w:val="0"/>
        <w:overflowPunct w:val="0"/>
        <w:ind w:right="126"/>
        <w:rPr>
          <w:spacing w:val="-1"/>
        </w:rPr>
      </w:pPr>
      <w:r>
        <w:rPr>
          <w:spacing w:val="-1"/>
        </w:rPr>
        <w:t>There</w:t>
      </w:r>
      <w:r>
        <w:rPr>
          <w:spacing w:val="1"/>
        </w:rPr>
        <w:t xml:space="preserve"> </w:t>
      </w:r>
      <w:r>
        <w:rPr>
          <w:spacing w:val="-1"/>
        </w:rPr>
        <w:t xml:space="preserve">are </w:t>
      </w:r>
      <w:r w:rsidRPr="002D2917">
        <w:t xml:space="preserve">35 </w:t>
      </w:r>
      <w:r w:rsidRPr="002D6EB2">
        <w:rPr>
          <w:spacing w:val="-1"/>
        </w:rPr>
        <w:t xml:space="preserve"> m</w:t>
      </w:r>
      <w:r>
        <w:rPr>
          <w:spacing w:val="-1"/>
        </w:rPr>
        <w:t>ember</w:t>
      </w:r>
      <w:r>
        <w:rPr>
          <w:spacing w:val="-3"/>
        </w:rPr>
        <w:t xml:space="preserve"> </w:t>
      </w:r>
      <w:r>
        <w:rPr>
          <w:spacing w:val="-1"/>
        </w:rPr>
        <w:t>practices</w:t>
      </w:r>
      <w:r>
        <w:t xml:space="preserve"> </w:t>
      </w:r>
      <w:r>
        <w:rPr>
          <w:spacing w:val="-1"/>
        </w:rPr>
        <w:t>within</w:t>
      </w:r>
      <w:r>
        <w:rPr>
          <w:spacing w:val="1"/>
        </w:rPr>
        <w:t xml:space="preserve"> the </w:t>
      </w:r>
      <w:r w:rsidRPr="002D2917">
        <w:rPr>
          <w:spacing w:val="-1"/>
        </w:rPr>
        <w:t>CCG</w:t>
      </w:r>
      <w:r w:rsidRPr="008179CB">
        <w:rPr>
          <w:spacing w:val="-1"/>
        </w:rPr>
        <w:t>,</w:t>
      </w:r>
      <w:r>
        <w:t xml:space="preserve"> </w:t>
      </w:r>
      <w:r>
        <w:rPr>
          <w:spacing w:val="-1"/>
        </w:rPr>
        <w:t xml:space="preserve">serving </w:t>
      </w:r>
      <w:r>
        <w:t>a</w:t>
      </w:r>
      <w:r>
        <w:rPr>
          <w:spacing w:val="1"/>
        </w:rPr>
        <w:t xml:space="preserve"> </w:t>
      </w:r>
      <w:r>
        <w:rPr>
          <w:spacing w:val="-1"/>
        </w:rPr>
        <w:t>registered</w:t>
      </w:r>
      <w:r>
        <w:rPr>
          <w:spacing w:val="1"/>
        </w:rPr>
        <w:t xml:space="preserve"> </w:t>
      </w:r>
      <w:r>
        <w:rPr>
          <w:spacing w:val="-1"/>
        </w:rPr>
        <w:t>population</w:t>
      </w:r>
      <w:r>
        <w:rPr>
          <w:spacing w:val="1"/>
        </w:rPr>
        <w:t xml:space="preserve"> </w:t>
      </w:r>
      <w:r w:rsidRPr="002D6EB2">
        <w:rPr>
          <w:spacing w:val="-1"/>
        </w:rPr>
        <w:t>of</w:t>
      </w:r>
      <w:r w:rsidRPr="002D6EB2">
        <w:rPr>
          <w:spacing w:val="-2"/>
        </w:rPr>
        <w:t xml:space="preserve"> </w:t>
      </w:r>
      <w:r>
        <w:rPr>
          <w:spacing w:val="-2"/>
        </w:rPr>
        <w:t xml:space="preserve">275,000 </w:t>
      </w:r>
      <w:r>
        <w:t>.</w:t>
      </w:r>
      <w:r>
        <w:rPr>
          <w:spacing w:val="-2"/>
        </w:rPr>
        <w:t xml:space="preserve"> </w:t>
      </w:r>
      <w:r w:rsidRPr="002D2917">
        <w:rPr>
          <w:spacing w:val="-1"/>
        </w:rPr>
        <w:t>The practices</w:t>
      </w:r>
      <w:r w:rsidRPr="002D2917">
        <w:t xml:space="preserve"> </w:t>
      </w:r>
      <w:r w:rsidRPr="002D2917">
        <w:rPr>
          <w:spacing w:val="-1"/>
        </w:rPr>
        <w:t xml:space="preserve">were formed into </w:t>
      </w:r>
      <w:r>
        <w:rPr>
          <w:spacing w:val="-1"/>
        </w:rPr>
        <w:t xml:space="preserve">six </w:t>
      </w:r>
      <w:r w:rsidRPr="002D2917">
        <w:rPr>
          <w:spacing w:val="-1"/>
        </w:rPr>
        <w:t>Primary</w:t>
      </w:r>
      <w:r w:rsidRPr="002D2917">
        <w:rPr>
          <w:spacing w:val="-2"/>
        </w:rPr>
        <w:t xml:space="preserve"> </w:t>
      </w:r>
      <w:r w:rsidRPr="002D2917">
        <w:rPr>
          <w:spacing w:val="-1"/>
        </w:rPr>
        <w:t>Care</w:t>
      </w:r>
      <w:r w:rsidRPr="002D2917">
        <w:rPr>
          <w:spacing w:val="1"/>
        </w:rPr>
        <w:t xml:space="preserve"> </w:t>
      </w:r>
      <w:r w:rsidRPr="002D2917">
        <w:rPr>
          <w:spacing w:val="-1"/>
        </w:rPr>
        <w:t>Networks</w:t>
      </w:r>
      <w:r w:rsidRPr="002D2917">
        <w:t xml:space="preserve"> </w:t>
      </w:r>
      <w:r w:rsidRPr="002D2917">
        <w:rPr>
          <w:spacing w:val="-1"/>
        </w:rPr>
        <w:t>(PCNs)</w:t>
      </w:r>
      <w:r w:rsidRPr="002D2917">
        <w:rPr>
          <w:spacing w:val="77"/>
        </w:rPr>
        <w:t xml:space="preserve"> </w:t>
      </w:r>
      <w:r w:rsidRPr="002D2917">
        <w:rPr>
          <w:spacing w:val="-1"/>
        </w:rPr>
        <w:t>across</w:t>
      </w:r>
      <w:r w:rsidRPr="002D2917">
        <w:t xml:space="preserve"> </w:t>
      </w:r>
      <w:r>
        <w:t xml:space="preserve">the Basildon and Brentwood footprint </w:t>
      </w:r>
      <w:r w:rsidRPr="002D2917">
        <w:rPr>
          <w:spacing w:val="-1"/>
        </w:rPr>
        <w:t xml:space="preserve">from </w:t>
      </w:r>
      <w:r w:rsidRPr="002D2917">
        <w:t>1</w:t>
      </w:r>
      <w:r w:rsidRPr="002D2917">
        <w:rPr>
          <w:spacing w:val="1"/>
        </w:rPr>
        <w:t xml:space="preserve"> </w:t>
      </w:r>
      <w:r w:rsidRPr="002D2917">
        <w:rPr>
          <w:spacing w:val="-1"/>
        </w:rPr>
        <w:t>July</w:t>
      </w:r>
      <w:r w:rsidRPr="002D2917">
        <w:rPr>
          <w:spacing w:val="-2"/>
        </w:rPr>
        <w:t xml:space="preserve"> </w:t>
      </w:r>
      <w:r w:rsidRPr="002D2917">
        <w:rPr>
          <w:spacing w:val="-1"/>
        </w:rPr>
        <w:t>2019.</w:t>
      </w:r>
      <w:r w:rsidRPr="002D2917">
        <w:t xml:space="preserve"> </w:t>
      </w:r>
      <w:r w:rsidRPr="002D2917">
        <w:rPr>
          <w:spacing w:val="-1"/>
        </w:rPr>
        <w:t>Details</w:t>
      </w:r>
      <w:r w:rsidRPr="002D2917">
        <w:t xml:space="preserve"> </w:t>
      </w:r>
      <w:r w:rsidRPr="002D2917">
        <w:rPr>
          <w:spacing w:val="-1"/>
        </w:rPr>
        <w:t>of</w:t>
      </w:r>
      <w:r w:rsidRPr="002D2917">
        <w:t xml:space="preserve"> the</w:t>
      </w:r>
      <w:r w:rsidRPr="002D2917">
        <w:rPr>
          <w:spacing w:val="-1"/>
        </w:rPr>
        <w:t xml:space="preserve"> </w:t>
      </w:r>
      <w:r>
        <w:rPr>
          <w:spacing w:val="-1"/>
        </w:rPr>
        <w:t xml:space="preserve">six </w:t>
      </w:r>
      <w:r w:rsidRPr="002D2917">
        <w:rPr>
          <w:spacing w:val="-1"/>
        </w:rPr>
        <w:t>PCNs</w:t>
      </w:r>
      <w:r w:rsidRPr="002D2917">
        <w:t xml:space="preserve"> </w:t>
      </w:r>
      <w:r>
        <w:t>and their Clinical Director</w:t>
      </w:r>
      <w:r w:rsidR="00E24278">
        <w:t>s</w:t>
      </w:r>
      <w:r>
        <w:t xml:space="preserve"> </w:t>
      </w:r>
      <w:r w:rsidR="00E24278">
        <w:t>are</w:t>
      </w:r>
      <w:r>
        <w:t xml:space="preserve"> </w:t>
      </w:r>
      <w:r>
        <w:rPr>
          <w:spacing w:val="1"/>
        </w:rPr>
        <w:t xml:space="preserve">set out on </w:t>
      </w:r>
      <w:r w:rsidRPr="007B70C6">
        <w:rPr>
          <w:spacing w:val="1"/>
        </w:rPr>
        <w:t>pages 4</w:t>
      </w:r>
      <w:r w:rsidR="00C84D27">
        <w:rPr>
          <w:spacing w:val="1"/>
        </w:rPr>
        <w:t>6</w:t>
      </w:r>
      <w:r w:rsidRPr="007B70C6">
        <w:rPr>
          <w:spacing w:val="1"/>
        </w:rPr>
        <w:t xml:space="preserve"> and 4</w:t>
      </w:r>
      <w:r w:rsidR="00C84D27">
        <w:rPr>
          <w:spacing w:val="1"/>
        </w:rPr>
        <w:t>7</w:t>
      </w:r>
      <w:r>
        <w:rPr>
          <w:spacing w:val="1"/>
        </w:rPr>
        <w:t xml:space="preserve"> of this Annual Report </w:t>
      </w:r>
    </w:p>
    <w:p w14:paraId="2C6462D9" w14:textId="4D5D788C" w:rsidR="00D43A59" w:rsidRPr="00D43A59" w:rsidRDefault="00E06CCF" w:rsidP="00F25E52">
      <w:pPr>
        <w:pStyle w:val="Heading3"/>
        <w:spacing w:before="360"/>
      </w:pPr>
      <w:bookmarkStart w:id="140" w:name="_Toc107389466"/>
      <w:r w:rsidRPr="00D43A59">
        <w:t>UK Corporate Governance Code</w:t>
      </w:r>
      <w:bookmarkEnd w:id="137"/>
      <w:bookmarkEnd w:id="138"/>
      <w:bookmarkEnd w:id="139"/>
      <w:bookmarkEnd w:id="140"/>
      <w:r w:rsidR="00D43A59" w:rsidRPr="00D43A59">
        <w:t xml:space="preserve"> </w:t>
      </w:r>
    </w:p>
    <w:p w14:paraId="752C0391" w14:textId="36D53523" w:rsidR="00D43A59" w:rsidRDefault="00D43A59" w:rsidP="00D43A59">
      <w:pPr>
        <w:pStyle w:val="BodyText"/>
        <w:kinsoku w:val="0"/>
        <w:overflowPunct w:val="0"/>
        <w:spacing w:before="120"/>
        <w:ind w:right="220"/>
        <w:rPr>
          <w:spacing w:val="-1"/>
        </w:rPr>
      </w:pPr>
      <w:r>
        <w:t>The</w:t>
      </w:r>
      <w:r>
        <w:rPr>
          <w:spacing w:val="1"/>
        </w:rPr>
        <w:t xml:space="preserve"> </w:t>
      </w:r>
      <w:r>
        <w:rPr>
          <w:spacing w:val="-1"/>
        </w:rPr>
        <w:t>CCG</w:t>
      </w:r>
      <w:r>
        <w:t xml:space="preserve"> </w:t>
      </w:r>
      <w:r>
        <w:rPr>
          <w:spacing w:val="-1"/>
        </w:rPr>
        <w:t>is</w:t>
      </w:r>
      <w:r>
        <w:t xml:space="preserve"> </w:t>
      </w:r>
      <w:r>
        <w:rPr>
          <w:spacing w:val="-1"/>
        </w:rPr>
        <w:t>not</w:t>
      </w:r>
      <w:r>
        <w:t xml:space="preserve"> </w:t>
      </w:r>
      <w:r>
        <w:rPr>
          <w:spacing w:val="-1"/>
        </w:rPr>
        <w:t>required</w:t>
      </w:r>
      <w:r>
        <w:rPr>
          <w:spacing w:val="1"/>
        </w:rPr>
        <w:t xml:space="preserve"> </w:t>
      </w:r>
      <w:r>
        <w:rPr>
          <w:spacing w:val="-1"/>
        </w:rPr>
        <w:t>to</w:t>
      </w:r>
      <w:r>
        <w:rPr>
          <w:spacing w:val="1"/>
        </w:rPr>
        <w:t xml:space="preserve"> </w:t>
      </w:r>
      <w:r>
        <w:rPr>
          <w:spacing w:val="-1"/>
        </w:rPr>
        <w:t>comply</w:t>
      </w:r>
      <w:r>
        <w:rPr>
          <w:spacing w:val="-2"/>
        </w:rPr>
        <w:t xml:space="preserve"> </w:t>
      </w:r>
      <w:r>
        <w:rPr>
          <w:spacing w:val="-1"/>
        </w:rPr>
        <w:t>with</w:t>
      </w:r>
      <w:r>
        <w:rPr>
          <w:spacing w:val="1"/>
        </w:rPr>
        <w:t xml:space="preserve"> </w:t>
      </w:r>
      <w:r>
        <w:t>the</w:t>
      </w:r>
      <w:r>
        <w:rPr>
          <w:spacing w:val="-1"/>
        </w:rPr>
        <w:t xml:space="preserve"> UK</w:t>
      </w:r>
      <w:r>
        <w:rPr>
          <w:spacing w:val="1"/>
        </w:rPr>
        <w:t xml:space="preserve"> </w:t>
      </w:r>
      <w:r>
        <w:rPr>
          <w:spacing w:val="-1"/>
        </w:rPr>
        <w:t>Code of</w:t>
      </w:r>
      <w:r>
        <w:rPr>
          <w:spacing w:val="3"/>
        </w:rPr>
        <w:t xml:space="preserve"> </w:t>
      </w:r>
      <w:r>
        <w:rPr>
          <w:spacing w:val="-1"/>
        </w:rPr>
        <w:t>Corporate Governance.</w:t>
      </w:r>
      <w:r>
        <w:rPr>
          <w:spacing w:val="-2"/>
        </w:rPr>
        <w:t xml:space="preserve"> </w:t>
      </w:r>
      <w:r>
        <w:rPr>
          <w:spacing w:val="-1"/>
        </w:rPr>
        <w:t>However,</w:t>
      </w:r>
      <w:r>
        <w:rPr>
          <w:spacing w:val="3"/>
        </w:rPr>
        <w:t xml:space="preserve"> </w:t>
      </w:r>
      <w:r>
        <w:rPr>
          <w:spacing w:val="-2"/>
        </w:rPr>
        <w:t>we</w:t>
      </w:r>
      <w:r>
        <w:rPr>
          <w:spacing w:val="49"/>
        </w:rPr>
        <w:t xml:space="preserve"> </w:t>
      </w:r>
      <w:r>
        <w:rPr>
          <w:spacing w:val="-1"/>
        </w:rPr>
        <w:t>have</w:t>
      </w:r>
      <w:r>
        <w:rPr>
          <w:spacing w:val="1"/>
        </w:rPr>
        <w:t xml:space="preserve"> </w:t>
      </w:r>
      <w:r>
        <w:rPr>
          <w:spacing w:val="-1"/>
        </w:rPr>
        <w:t>reported</w:t>
      </w:r>
      <w:r>
        <w:rPr>
          <w:spacing w:val="1"/>
        </w:rPr>
        <w:t xml:space="preserve"> </w:t>
      </w:r>
      <w:r>
        <w:rPr>
          <w:spacing w:val="-1"/>
        </w:rPr>
        <w:t>on</w:t>
      </w:r>
      <w:r>
        <w:rPr>
          <w:spacing w:val="1"/>
        </w:rPr>
        <w:t xml:space="preserve"> </w:t>
      </w:r>
      <w:r>
        <w:rPr>
          <w:spacing w:val="-1"/>
        </w:rPr>
        <w:t>our</w:t>
      </w:r>
      <w:r>
        <w:rPr>
          <w:spacing w:val="-3"/>
        </w:rPr>
        <w:t xml:space="preserve"> </w:t>
      </w:r>
      <w:r>
        <w:rPr>
          <w:spacing w:val="-1"/>
        </w:rPr>
        <w:t>Corporate Governance arrangements</w:t>
      </w:r>
      <w:r>
        <w:rPr>
          <w:spacing w:val="-2"/>
        </w:rPr>
        <w:t xml:space="preserve"> </w:t>
      </w:r>
      <w:r>
        <w:t>by</w:t>
      </w:r>
      <w:r>
        <w:rPr>
          <w:spacing w:val="-2"/>
        </w:rPr>
        <w:t xml:space="preserve"> </w:t>
      </w:r>
      <w:r>
        <w:rPr>
          <w:spacing w:val="-1"/>
        </w:rPr>
        <w:t xml:space="preserve">drawing </w:t>
      </w:r>
      <w:r>
        <w:t>upon</w:t>
      </w:r>
      <w:r>
        <w:rPr>
          <w:spacing w:val="-1"/>
        </w:rPr>
        <w:t xml:space="preserve"> </w:t>
      </w:r>
      <w:r>
        <w:t>best</w:t>
      </w:r>
      <w:r>
        <w:rPr>
          <w:spacing w:val="-2"/>
        </w:rPr>
        <w:t xml:space="preserve"> </w:t>
      </w:r>
      <w:r>
        <w:rPr>
          <w:spacing w:val="-1"/>
        </w:rPr>
        <w:t>practice</w:t>
      </w:r>
      <w:r>
        <w:rPr>
          <w:spacing w:val="59"/>
        </w:rPr>
        <w:t xml:space="preserve"> </w:t>
      </w:r>
      <w:r>
        <w:rPr>
          <w:spacing w:val="-1"/>
        </w:rPr>
        <w:t>available,</w:t>
      </w:r>
      <w:r>
        <w:t xml:space="preserve"> </w:t>
      </w:r>
      <w:r>
        <w:rPr>
          <w:spacing w:val="-1"/>
        </w:rPr>
        <w:t>including those</w:t>
      </w:r>
      <w:r>
        <w:rPr>
          <w:spacing w:val="1"/>
        </w:rPr>
        <w:t xml:space="preserve"> </w:t>
      </w:r>
      <w:r>
        <w:rPr>
          <w:spacing w:val="-1"/>
        </w:rPr>
        <w:t>aspects</w:t>
      </w:r>
      <w:r>
        <w:rPr>
          <w:spacing w:val="-2"/>
        </w:rPr>
        <w:t xml:space="preserve"> </w:t>
      </w:r>
      <w:r>
        <w:rPr>
          <w:spacing w:val="-1"/>
        </w:rPr>
        <w:t>of</w:t>
      </w:r>
      <w:r>
        <w:rPr>
          <w:spacing w:val="3"/>
        </w:rPr>
        <w:t xml:space="preserve"> </w:t>
      </w:r>
      <w:r>
        <w:rPr>
          <w:spacing w:val="-1"/>
        </w:rPr>
        <w:t>the</w:t>
      </w:r>
      <w:r>
        <w:rPr>
          <w:spacing w:val="1"/>
        </w:rPr>
        <w:t xml:space="preserve"> </w:t>
      </w:r>
      <w:r>
        <w:rPr>
          <w:spacing w:val="-1"/>
        </w:rPr>
        <w:t>UK</w:t>
      </w:r>
      <w:r>
        <w:rPr>
          <w:spacing w:val="1"/>
        </w:rPr>
        <w:t xml:space="preserve"> </w:t>
      </w:r>
      <w:r>
        <w:rPr>
          <w:spacing w:val="-1"/>
        </w:rPr>
        <w:t>Corporate</w:t>
      </w:r>
      <w:r>
        <w:rPr>
          <w:spacing w:val="1"/>
        </w:rPr>
        <w:t xml:space="preserve"> </w:t>
      </w:r>
      <w:r>
        <w:rPr>
          <w:spacing w:val="-1"/>
        </w:rPr>
        <w:t>Governance Code</w:t>
      </w:r>
      <w:r>
        <w:rPr>
          <w:spacing w:val="1"/>
        </w:rPr>
        <w:t xml:space="preserve"> </w:t>
      </w:r>
      <w:r>
        <w:rPr>
          <w:spacing w:val="-2"/>
        </w:rPr>
        <w:t>we</w:t>
      </w:r>
      <w:r>
        <w:rPr>
          <w:spacing w:val="1"/>
        </w:rPr>
        <w:t xml:space="preserve"> </w:t>
      </w:r>
      <w:r>
        <w:rPr>
          <w:spacing w:val="-1"/>
        </w:rPr>
        <w:t xml:space="preserve">consider </w:t>
      </w:r>
      <w:r>
        <w:t>to</w:t>
      </w:r>
      <w:r>
        <w:rPr>
          <w:spacing w:val="-1"/>
        </w:rPr>
        <w:t xml:space="preserve"> be</w:t>
      </w:r>
      <w:r>
        <w:rPr>
          <w:spacing w:val="65"/>
        </w:rPr>
        <w:t xml:space="preserve"> </w:t>
      </w:r>
      <w:r>
        <w:rPr>
          <w:spacing w:val="-1"/>
        </w:rPr>
        <w:t>relevant</w:t>
      </w:r>
      <w:r>
        <w:t xml:space="preserve"> to</w:t>
      </w:r>
      <w:r>
        <w:rPr>
          <w:spacing w:val="1"/>
        </w:rPr>
        <w:t xml:space="preserve"> </w:t>
      </w:r>
      <w:r>
        <w:rPr>
          <w:spacing w:val="-1"/>
        </w:rPr>
        <w:t>the</w:t>
      </w:r>
      <w:r>
        <w:rPr>
          <w:spacing w:val="1"/>
        </w:rPr>
        <w:t xml:space="preserve"> </w:t>
      </w:r>
      <w:r>
        <w:rPr>
          <w:spacing w:val="-1"/>
        </w:rPr>
        <w:t>CCG</w:t>
      </w:r>
      <w:r>
        <w:rPr>
          <w:spacing w:val="-2"/>
        </w:rPr>
        <w:t xml:space="preserve"> </w:t>
      </w:r>
      <w:r>
        <w:rPr>
          <w:spacing w:val="-1"/>
        </w:rPr>
        <w:t>and</w:t>
      </w:r>
      <w:r>
        <w:rPr>
          <w:spacing w:val="1"/>
        </w:rPr>
        <w:t xml:space="preserve"> </w:t>
      </w:r>
      <w:r>
        <w:rPr>
          <w:spacing w:val="-1"/>
        </w:rPr>
        <w:t>best</w:t>
      </w:r>
      <w:r>
        <w:rPr>
          <w:spacing w:val="1"/>
        </w:rPr>
        <w:t xml:space="preserve"> </w:t>
      </w:r>
      <w:r>
        <w:rPr>
          <w:spacing w:val="-1"/>
        </w:rPr>
        <w:t>practice.</w:t>
      </w:r>
    </w:p>
    <w:p w14:paraId="3491C118" w14:textId="77777777" w:rsidR="00D43A59" w:rsidRDefault="00D43A59" w:rsidP="00D43A59">
      <w:pPr>
        <w:pStyle w:val="BodyText"/>
        <w:kinsoku w:val="0"/>
        <w:overflowPunct w:val="0"/>
        <w:spacing w:before="69"/>
        <w:ind w:right="153"/>
        <w:rPr>
          <w:spacing w:val="-1"/>
        </w:rPr>
      </w:pPr>
      <w:r>
        <w:t xml:space="preserve">As </w:t>
      </w:r>
      <w:r>
        <w:rPr>
          <w:spacing w:val="-1"/>
        </w:rPr>
        <w:t>part</w:t>
      </w:r>
      <w:r>
        <w:rPr>
          <w:spacing w:val="-2"/>
        </w:rPr>
        <w:t xml:space="preserve"> </w:t>
      </w:r>
      <w:r>
        <w:rPr>
          <w:spacing w:val="-1"/>
        </w:rPr>
        <w:t>of</w:t>
      </w:r>
      <w:r>
        <w:rPr>
          <w:spacing w:val="3"/>
        </w:rPr>
        <w:t xml:space="preserve"> </w:t>
      </w:r>
      <w:r>
        <w:rPr>
          <w:spacing w:val="-1"/>
        </w:rPr>
        <w:t>its</w:t>
      </w:r>
      <w:r>
        <w:rPr>
          <w:spacing w:val="-2"/>
        </w:rPr>
        <w:t xml:space="preserve"> </w:t>
      </w:r>
      <w:r>
        <w:rPr>
          <w:spacing w:val="-1"/>
        </w:rPr>
        <w:t>annual</w:t>
      </w:r>
      <w:r>
        <w:t xml:space="preserve"> </w:t>
      </w:r>
      <w:r>
        <w:rPr>
          <w:spacing w:val="-1"/>
        </w:rPr>
        <w:t>review</w:t>
      </w:r>
      <w:r>
        <w:rPr>
          <w:spacing w:val="-3"/>
        </w:rPr>
        <w:t xml:space="preserve"> </w:t>
      </w:r>
      <w:r>
        <w:t>of</w:t>
      </w:r>
      <w:r>
        <w:rPr>
          <w:spacing w:val="3"/>
        </w:rPr>
        <w:t xml:space="preserve"> </w:t>
      </w:r>
      <w:r>
        <w:rPr>
          <w:spacing w:val="-1"/>
        </w:rPr>
        <w:t>effectiveness,</w:t>
      </w:r>
      <w:r>
        <w:rPr>
          <w:spacing w:val="-2"/>
        </w:rPr>
        <w:t xml:space="preserve"> </w:t>
      </w:r>
      <w:r>
        <w:rPr>
          <w:spacing w:val="-1"/>
        </w:rPr>
        <w:t>the</w:t>
      </w:r>
      <w:r>
        <w:rPr>
          <w:spacing w:val="1"/>
        </w:rPr>
        <w:t xml:space="preserve"> </w:t>
      </w:r>
      <w:r>
        <w:rPr>
          <w:spacing w:val="-1"/>
        </w:rPr>
        <w:t>CCG</w:t>
      </w:r>
      <w:r>
        <w:t xml:space="preserve"> </w:t>
      </w:r>
      <w:r>
        <w:rPr>
          <w:spacing w:val="-1"/>
        </w:rPr>
        <w:t>Board undertook</w:t>
      </w:r>
      <w:r>
        <w:t xml:space="preserve"> an</w:t>
      </w:r>
      <w:r>
        <w:rPr>
          <w:spacing w:val="-1"/>
        </w:rPr>
        <w:t xml:space="preserve"> assessment</w:t>
      </w:r>
      <w:r>
        <w:t xml:space="preserve"> </w:t>
      </w:r>
      <w:r>
        <w:rPr>
          <w:spacing w:val="-1"/>
        </w:rPr>
        <w:t>which</w:t>
      </w:r>
      <w:r>
        <w:rPr>
          <w:spacing w:val="69"/>
        </w:rPr>
        <w:t xml:space="preserve"> </w:t>
      </w:r>
      <w:r>
        <w:rPr>
          <w:spacing w:val="-1"/>
        </w:rPr>
        <w:t>encompassed the</w:t>
      </w:r>
      <w:r>
        <w:rPr>
          <w:spacing w:val="1"/>
        </w:rPr>
        <w:t xml:space="preserve"> </w:t>
      </w:r>
      <w:r>
        <w:rPr>
          <w:spacing w:val="-1"/>
        </w:rPr>
        <w:t>relevant</w:t>
      </w:r>
      <w:r>
        <w:t xml:space="preserve"> </w:t>
      </w:r>
      <w:r>
        <w:rPr>
          <w:spacing w:val="-1"/>
        </w:rPr>
        <w:t>principles</w:t>
      </w:r>
      <w:r>
        <w:t xml:space="preserve"> </w:t>
      </w:r>
      <w:r>
        <w:rPr>
          <w:spacing w:val="-1"/>
        </w:rPr>
        <w:t>of</w:t>
      </w:r>
      <w:r>
        <w:t xml:space="preserve"> </w:t>
      </w:r>
      <w:r>
        <w:rPr>
          <w:spacing w:val="-1"/>
        </w:rPr>
        <w:t>the</w:t>
      </w:r>
      <w:r>
        <w:rPr>
          <w:spacing w:val="1"/>
        </w:rPr>
        <w:t xml:space="preserve"> </w:t>
      </w:r>
      <w:r>
        <w:rPr>
          <w:spacing w:val="-2"/>
        </w:rPr>
        <w:t>UK</w:t>
      </w:r>
      <w:r>
        <w:rPr>
          <w:spacing w:val="1"/>
        </w:rPr>
        <w:t xml:space="preserve"> </w:t>
      </w:r>
      <w:r>
        <w:rPr>
          <w:spacing w:val="-1"/>
        </w:rPr>
        <w:t>Corporate</w:t>
      </w:r>
      <w:r>
        <w:rPr>
          <w:spacing w:val="1"/>
        </w:rPr>
        <w:t xml:space="preserve"> </w:t>
      </w:r>
      <w:r>
        <w:rPr>
          <w:spacing w:val="-1"/>
        </w:rPr>
        <w:t>Governance</w:t>
      </w:r>
      <w:r>
        <w:rPr>
          <w:spacing w:val="1"/>
        </w:rPr>
        <w:t xml:space="preserve"> </w:t>
      </w:r>
      <w:r>
        <w:rPr>
          <w:spacing w:val="-1"/>
        </w:rPr>
        <w:t>Code.</w:t>
      </w:r>
    </w:p>
    <w:p w14:paraId="56A99374" w14:textId="77777777" w:rsidR="00D43A59" w:rsidRDefault="00D43A59" w:rsidP="00D43A59">
      <w:pPr>
        <w:pStyle w:val="BodyText"/>
        <w:kinsoku w:val="0"/>
        <w:overflowPunct w:val="0"/>
        <w:ind w:right="244"/>
        <w:rPr>
          <w:spacing w:val="-1"/>
        </w:rPr>
      </w:pPr>
      <w:r>
        <w:t>The</w:t>
      </w:r>
      <w:r>
        <w:rPr>
          <w:spacing w:val="1"/>
        </w:rPr>
        <w:t xml:space="preserve"> </w:t>
      </w:r>
      <w:r>
        <w:rPr>
          <w:spacing w:val="-1"/>
        </w:rPr>
        <w:t>Board</w:t>
      </w:r>
      <w:r>
        <w:rPr>
          <w:spacing w:val="1"/>
        </w:rPr>
        <w:t xml:space="preserve"> </w:t>
      </w:r>
      <w:r>
        <w:rPr>
          <w:spacing w:val="-1"/>
        </w:rPr>
        <w:t>concluded</w:t>
      </w:r>
      <w:r>
        <w:rPr>
          <w:spacing w:val="-4"/>
        </w:rPr>
        <w:t xml:space="preserve"> </w:t>
      </w:r>
      <w:r>
        <w:rPr>
          <w:spacing w:val="-1"/>
        </w:rPr>
        <w:t>from</w:t>
      </w:r>
      <w:r>
        <w:rPr>
          <w:spacing w:val="2"/>
        </w:rPr>
        <w:t xml:space="preserve"> </w:t>
      </w:r>
      <w:r>
        <w:rPr>
          <w:spacing w:val="-1"/>
        </w:rPr>
        <w:t>this</w:t>
      </w:r>
      <w:r>
        <w:t xml:space="preserve"> </w:t>
      </w:r>
      <w:r>
        <w:rPr>
          <w:spacing w:val="-1"/>
        </w:rPr>
        <w:t>assessment</w:t>
      </w:r>
      <w:r>
        <w:t xml:space="preserve"> </w:t>
      </w:r>
      <w:r>
        <w:rPr>
          <w:spacing w:val="-1"/>
        </w:rPr>
        <w:t>that</w:t>
      </w:r>
      <w:r>
        <w:t xml:space="preserve"> </w:t>
      </w:r>
      <w:r>
        <w:rPr>
          <w:spacing w:val="-1"/>
        </w:rPr>
        <w:t>it</w:t>
      </w:r>
      <w:r>
        <w:t xml:space="preserve"> </w:t>
      </w:r>
      <w:r>
        <w:rPr>
          <w:spacing w:val="-1"/>
        </w:rPr>
        <w:t>was</w:t>
      </w:r>
      <w:r>
        <w:t xml:space="preserve"> </w:t>
      </w:r>
      <w:r>
        <w:rPr>
          <w:spacing w:val="-1"/>
        </w:rPr>
        <w:t>generally</w:t>
      </w:r>
      <w:r>
        <w:rPr>
          <w:spacing w:val="-2"/>
        </w:rPr>
        <w:t xml:space="preserve"> </w:t>
      </w:r>
      <w:r>
        <w:rPr>
          <w:spacing w:val="-1"/>
        </w:rPr>
        <w:t xml:space="preserve">following </w:t>
      </w:r>
      <w:r>
        <w:t>best</w:t>
      </w:r>
      <w:r>
        <w:rPr>
          <w:spacing w:val="1"/>
        </w:rPr>
        <w:t xml:space="preserve"> </w:t>
      </w:r>
      <w:r>
        <w:rPr>
          <w:spacing w:val="-1"/>
        </w:rPr>
        <w:t>practice</w:t>
      </w:r>
      <w:r>
        <w:rPr>
          <w:spacing w:val="1"/>
        </w:rPr>
        <w:t xml:space="preserve"> </w:t>
      </w:r>
      <w:r>
        <w:rPr>
          <w:spacing w:val="-1"/>
        </w:rPr>
        <w:t>in relation</w:t>
      </w:r>
      <w:r>
        <w:rPr>
          <w:spacing w:val="75"/>
        </w:rPr>
        <w:t xml:space="preserve"> </w:t>
      </w:r>
      <w:r>
        <w:t>to</w:t>
      </w:r>
      <w:r>
        <w:rPr>
          <w:spacing w:val="1"/>
        </w:rPr>
        <w:t xml:space="preserve"> </w:t>
      </w:r>
      <w:r>
        <w:rPr>
          <w:spacing w:val="-1"/>
        </w:rPr>
        <w:t>providing effective</w:t>
      </w:r>
      <w:r>
        <w:rPr>
          <w:spacing w:val="1"/>
        </w:rPr>
        <w:t xml:space="preserve"> </w:t>
      </w:r>
      <w:r>
        <w:rPr>
          <w:spacing w:val="-1"/>
        </w:rPr>
        <w:t>leadership,</w:t>
      </w:r>
      <w:r>
        <w:t xml:space="preserve"> </w:t>
      </w:r>
      <w:r>
        <w:rPr>
          <w:spacing w:val="-1"/>
        </w:rPr>
        <w:t xml:space="preserve">having </w:t>
      </w:r>
      <w:r>
        <w:t>an</w:t>
      </w:r>
      <w:r>
        <w:rPr>
          <w:spacing w:val="1"/>
        </w:rPr>
        <w:t xml:space="preserve"> </w:t>
      </w:r>
      <w:r>
        <w:rPr>
          <w:spacing w:val="-1"/>
        </w:rPr>
        <w:t>appropriate balance of</w:t>
      </w:r>
      <w:r>
        <w:rPr>
          <w:spacing w:val="3"/>
        </w:rPr>
        <w:t xml:space="preserve"> </w:t>
      </w:r>
      <w:r>
        <w:rPr>
          <w:spacing w:val="-1"/>
        </w:rPr>
        <w:t>skills,</w:t>
      </w:r>
      <w:r>
        <w:t xml:space="preserve"> </w:t>
      </w:r>
      <w:r>
        <w:rPr>
          <w:spacing w:val="-1"/>
        </w:rPr>
        <w:t>experience,</w:t>
      </w:r>
      <w:r>
        <w:rPr>
          <w:spacing w:val="57"/>
        </w:rPr>
        <w:t xml:space="preserve"> </w:t>
      </w:r>
      <w:r>
        <w:rPr>
          <w:spacing w:val="-1"/>
        </w:rPr>
        <w:t>independence</w:t>
      </w:r>
      <w:r>
        <w:rPr>
          <w:spacing w:val="1"/>
        </w:rPr>
        <w:t xml:space="preserve"> </w:t>
      </w:r>
      <w:r>
        <w:rPr>
          <w:spacing w:val="-1"/>
        </w:rPr>
        <w:t>and</w:t>
      </w:r>
      <w:r>
        <w:rPr>
          <w:spacing w:val="1"/>
        </w:rPr>
        <w:t xml:space="preserve"> </w:t>
      </w:r>
      <w:r>
        <w:rPr>
          <w:spacing w:val="-2"/>
        </w:rPr>
        <w:t>knowledge</w:t>
      </w:r>
      <w:r>
        <w:rPr>
          <w:spacing w:val="1"/>
        </w:rPr>
        <w:t xml:space="preserve"> </w:t>
      </w:r>
      <w:r>
        <w:t>to</w:t>
      </w:r>
      <w:r>
        <w:rPr>
          <w:spacing w:val="1"/>
        </w:rPr>
        <w:t xml:space="preserve"> </w:t>
      </w:r>
      <w:r>
        <w:rPr>
          <w:spacing w:val="-1"/>
        </w:rPr>
        <w:t>enable</w:t>
      </w:r>
      <w:r>
        <w:rPr>
          <w:spacing w:val="1"/>
        </w:rPr>
        <w:t xml:space="preserve"> </w:t>
      </w:r>
      <w:r>
        <w:rPr>
          <w:spacing w:val="-2"/>
        </w:rPr>
        <w:t>Board</w:t>
      </w:r>
      <w:r>
        <w:rPr>
          <w:spacing w:val="1"/>
        </w:rPr>
        <w:t xml:space="preserve"> </w:t>
      </w:r>
      <w:r>
        <w:rPr>
          <w:spacing w:val="-1"/>
        </w:rPr>
        <w:t>members</w:t>
      </w:r>
      <w:r>
        <w:t xml:space="preserve"> </w:t>
      </w:r>
      <w:r>
        <w:rPr>
          <w:spacing w:val="-1"/>
        </w:rPr>
        <w:t>to</w:t>
      </w:r>
      <w:r>
        <w:rPr>
          <w:spacing w:val="1"/>
        </w:rPr>
        <w:t xml:space="preserve"> </w:t>
      </w:r>
      <w:r>
        <w:rPr>
          <w:spacing w:val="-1"/>
        </w:rPr>
        <w:t>discharge</w:t>
      </w:r>
      <w:r>
        <w:rPr>
          <w:spacing w:val="1"/>
        </w:rPr>
        <w:t xml:space="preserve"> </w:t>
      </w:r>
      <w:r>
        <w:rPr>
          <w:spacing w:val="-1"/>
        </w:rPr>
        <w:t>their duties</w:t>
      </w:r>
      <w:r>
        <w:rPr>
          <w:spacing w:val="-2"/>
        </w:rPr>
        <w:t xml:space="preserve"> </w:t>
      </w:r>
      <w:r>
        <w:rPr>
          <w:spacing w:val="-1"/>
        </w:rPr>
        <w:t>and</w:t>
      </w:r>
      <w:r>
        <w:rPr>
          <w:spacing w:val="69"/>
        </w:rPr>
        <w:t xml:space="preserve"> </w:t>
      </w:r>
      <w:r>
        <w:rPr>
          <w:spacing w:val="-1"/>
        </w:rPr>
        <w:t>responsibilities</w:t>
      </w:r>
      <w:r>
        <w:rPr>
          <w:spacing w:val="-2"/>
        </w:rPr>
        <w:t xml:space="preserve"> </w:t>
      </w:r>
      <w:r>
        <w:rPr>
          <w:spacing w:val="-1"/>
        </w:rPr>
        <w:t>effectively,</w:t>
      </w:r>
      <w:r>
        <w:t xml:space="preserve"> </w:t>
      </w:r>
      <w:r>
        <w:rPr>
          <w:spacing w:val="-1"/>
        </w:rPr>
        <w:t xml:space="preserve">presenting </w:t>
      </w:r>
      <w:r>
        <w:t>a</w:t>
      </w:r>
      <w:r>
        <w:rPr>
          <w:spacing w:val="-1"/>
        </w:rPr>
        <w:t xml:space="preserve"> balanced</w:t>
      </w:r>
      <w:r>
        <w:rPr>
          <w:spacing w:val="1"/>
        </w:rPr>
        <w:t xml:space="preserve"> </w:t>
      </w:r>
      <w:r>
        <w:rPr>
          <w:spacing w:val="-1"/>
        </w:rPr>
        <w:t>and understandable</w:t>
      </w:r>
      <w:r>
        <w:rPr>
          <w:spacing w:val="1"/>
        </w:rPr>
        <w:t xml:space="preserve"> </w:t>
      </w:r>
      <w:r>
        <w:rPr>
          <w:spacing w:val="-1"/>
        </w:rPr>
        <w:t>assessment</w:t>
      </w:r>
      <w:r>
        <w:rPr>
          <w:spacing w:val="-2"/>
        </w:rPr>
        <w:t xml:space="preserve"> </w:t>
      </w:r>
      <w:r>
        <w:rPr>
          <w:spacing w:val="-1"/>
        </w:rPr>
        <w:t>of</w:t>
      </w:r>
      <w:r>
        <w:rPr>
          <w:spacing w:val="3"/>
        </w:rPr>
        <w:t xml:space="preserve"> </w:t>
      </w:r>
      <w:r>
        <w:rPr>
          <w:spacing w:val="-1"/>
        </w:rPr>
        <w:t>the</w:t>
      </w:r>
      <w:r>
        <w:rPr>
          <w:spacing w:val="1"/>
        </w:rPr>
        <w:t xml:space="preserve"> </w:t>
      </w:r>
      <w:r>
        <w:rPr>
          <w:spacing w:val="-1"/>
        </w:rPr>
        <w:t>CCG’s</w:t>
      </w:r>
      <w:r>
        <w:rPr>
          <w:spacing w:val="79"/>
        </w:rPr>
        <w:t xml:space="preserve"> </w:t>
      </w:r>
      <w:r>
        <w:rPr>
          <w:spacing w:val="-1"/>
        </w:rPr>
        <w:t>position in</w:t>
      </w:r>
      <w:r>
        <w:rPr>
          <w:spacing w:val="1"/>
        </w:rPr>
        <w:t xml:space="preserve"> </w:t>
      </w:r>
      <w:r>
        <w:rPr>
          <w:spacing w:val="-1"/>
        </w:rPr>
        <w:t>its</w:t>
      </w:r>
      <w:r>
        <w:rPr>
          <w:spacing w:val="-2"/>
        </w:rPr>
        <w:t xml:space="preserve"> </w:t>
      </w:r>
      <w:r>
        <w:rPr>
          <w:spacing w:val="-1"/>
        </w:rPr>
        <w:t>financial</w:t>
      </w:r>
      <w:r>
        <w:rPr>
          <w:spacing w:val="-3"/>
        </w:rPr>
        <w:t xml:space="preserve"> </w:t>
      </w:r>
      <w:r>
        <w:t>and</w:t>
      </w:r>
      <w:r>
        <w:rPr>
          <w:spacing w:val="-1"/>
        </w:rPr>
        <w:t xml:space="preserve"> other reporting and</w:t>
      </w:r>
      <w:r>
        <w:rPr>
          <w:spacing w:val="1"/>
        </w:rPr>
        <w:t xml:space="preserve"> </w:t>
      </w:r>
      <w:r>
        <w:rPr>
          <w:spacing w:val="-1"/>
        </w:rPr>
        <w:t xml:space="preserve">ensuring </w:t>
      </w:r>
      <w:r>
        <w:t>that</w:t>
      </w:r>
      <w:r>
        <w:rPr>
          <w:spacing w:val="-2"/>
        </w:rPr>
        <w:t xml:space="preserve"> </w:t>
      </w:r>
      <w:r>
        <w:rPr>
          <w:spacing w:val="-1"/>
        </w:rPr>
        <w:t>remuneration</w:t>
      </w:r>
      <w:r>
        <w:rPr>
          <w:spacing w:val="1"/>
        </w:rPr>
        <w:t xml:space="preserve"> </w:t>
      </w:r>
      <w:r>
        <w:rPr>
          <w:spacing w:val="-1"/>
        </w:rPr>
        <w:t>is</w:t>
      </w:r>
      <w:r>
        <w:t xml:space="preserve"> </w:t>
      </w:r>
      <w:r>
        <w:rPr>
          <w:spacing w:val="-1"/>
        </w:rPr>
        <w:t>set</w:t>
      </w:r>
      <w:r>
        <w:rPr>
          <w:spacing w:val="-2"/>
        </w:rPr>
        <w:t xml:space="preserve"> </w:t>
      </w:r>
      <w:r>
        <w:rPr>
          <w:spacing w:val="-1"/>
        </w:rPr>
        <w:t>appropriately.</w:t>
      </w:r>
    </w:p>
    <w:p w14:paraId="7899AB94" w14:textId="705B69F6" w:rsidR="00E06CCF" w:rsidRDefault="00E06CCF" w:rsidP="00F25E52">
      <w:pPr>
        <w:pStyle w:val="Heading3"/>
        <w:spacing w:before="360"/>
      </w:pPr>
      <w:bookmarkStart w:id="141" w:name="_Toc437807166"/>
      <w:bookmarkStart w:id="142" w:name="_Toc94188197"/>
      <w:bookmarkStart w:id="143" w:name="_Toc97218348"/>
      <w:bookmarkStart w:id="144" w:name="_Toc107389467"/>
      <w:r w:rsidRPr="00D43A59">
        <w:t>Discharge of Statutory Functions</w:t>
      </w:r>
      <w:bookmarkStart w:id="145" w:name="_Toc437807153"/>
      <w:bookmarkEnd w:id="141"/>
      <w:bookmarkEnd w:id="142"/>
      <w:bookmarkEnd w:id="143"/>
      <w:bookmarkEnd w:id="144"/>
    </w:p>
    <w:p w14:paraId="2B2BA863" w14:textId="3DF38A83" w:rsidR="00D43A59" w:rsidRDefault="00D43A59" w:rsidP="00D43A59">
      <w:pPr>
        <w:widowControl w:val="0"/>
        <w:kinsoku w:val="0"/>
        <w:overflowPunct w:val="0"/>
        <w:autoSpaceDE w:val="0"/>
        <w:autoSpaceDN w:val="0"/>
        <w:adjustRightInd w:val="0"/>
        <w:spacing w:before="122" w:after="0"/>
        <w:ind w:right="114"/>
        <w:rPr>
          <w:rFonts w:eastAsia="Times New Roman" w:cs="Arial"/>
          <w:spacing w:val="-1"/>
          <w:szCs w:val="24"/>
          <w:lang w:eastAsia="en-GB"/>
        </w:rPr>
      </w:pPr>
      <w:r w:rsidRPr="00D43A59">
        <w:rPr>
          <w:rFonts w:eastAsia="Times New Roman" w:cs="Arial"/>
          <w:szCs w:val="24"/>
          <w:lang w:eastAsia="en-GB"/>
        </w:rPr>
        <w:t>In</w:t>
      </w:r>
      <w:r w:rsidRPr="00D43A59">
        <w:rPr>
          <w:rFonts w:eastAsia="Times New Roman" w:cs="Arial"/>
          <w:spacing w:val="1"/>
          <w:szCs w:val="24"/>
          <w:lang w:eastAsia="en-GB"/>
        </w:rPr>
        <w:t xml:space="preserve"> </w:t>
      </w:r>
      <w:r w:rsidRPr="00D43A59">
        <w:rPr>
          <w:rFonts w:eastAsia="Times New Roman" w:cs="Arial"/>
          <w:spacing w:val="-1"/>
          <w:szCs w:val="24"/>
          <w:lang w:eastAsia="en-GB"/>
        </w:rPr>
        <w:t>light</w:t>
      </w:r>
      <w:r w:rsidRPr="00D43A59">
        <w:rPr>
          <w:rFonts w:eastAsia="Times New Roman" w:cs="Arial"/>
          <w:szCs w:val="24"/>
          <w:lang w:eastAsia="en-GB"/>
        </w:rPr>
        <w:t xml:space="preserve"> </w:t>
      </w:r>
      <w:r w:rsidRPr="00D43A59">
        <w:rPr>
          <w:rFonts w:eastAsia="Times New Roman" w:cs="Arial"/>
          <w:spacing w:val="-1"/>
          <w:szCs w:val="24"/>
          <w:lang w:eastAsia="en-GB"/>
        </w:rPr>
        <w:t>of</w:t>
      </w:r>
      <w:r w:rsidRPr="00D43A59">
        <w:rPr>
          <w:rFonts w:eastAsia="Times New Roman" w:cs="Arial"/>
          <w:spacing w:val="3"/>
          <w:szCs w:val="24"/>
          <w:lang w:eastAsia="en-GB"/>
        </w:rPr>
        <w:t xml:space="preserve"> </w:t>
      </w:r>
      <w:r w:rsidRPr="00D43A59">
        <w:rPr>
          <w:rFonts w:eastAsia="Times New Roman" w:cs="Arial"/>
          <w:spacing w:val="-1"/>
          <w:szCs w:val="24"/>
          <w:lang w:eastAsia="en-GB"/>
        </w:rPr>
        <w:t>recommendations</w:t>
      </w:r>
      <w:r w:rsidRPr="00D43A59">
        <w:rPr>
          <w:rFonts w:eastAsia="Times New Roman" w:cs="Arial"/>
          <w:szCs w:val="24"/>
          <w:lang w:eastAsia="en-GB"/>
        </w:rPr>
        <w:t xml:space="preserve"> </w:t>
      </w:r>
      <w:r w:rsidRPr="00D43A59">
        <w:rPr>
          <w:rFonts w:eastAsia="Times New Roman" w:cs="Arial"/>
          <w:spacing w:val="-1"/>
          <w:szCs w:val="24"/>
          <w:lang w:eastAsia="en-GB"/>
        </w:rPr>
        <w:t>of</w:t>
      </w:r>
      <w:r w:rsidRPr="00D43A59">
        <w:rPr>
          <w:rFonts w:eastAsia="Times New Roman" w:cs="Arial"/>
          <w:szCs w:val="24"/>
          <w:lang w:eastAsia="en-GB"/>
        </w:rPr>
        <w:t xml:space="preserve"> </w:t>
      </w:r>
      <w:r w:rsidRPr="00D43A59">
        <w:rPr>
          <w:rFonts w:eastAsia="Times New Roman" w:cs="Arial"/>
          <w:spacing w:val="-1"/>
          <w:szCs w:val="24"/>
          <w:lang w:eastAsia="en-GB"/>
        </w:rPr>
        <w:t>the</w:t>
      </w:r>
      <w:r w:rsidRPr="00D43A59">
        <w:rPr>
          <w:rFonts w:eastAsia="Times New Roman" w:cs="Arial"/>
          <w:spacing w:val="1"/>
          <w:szCs w:val="24"/>
          <w:lang w:eastAsia="en-GB"/>
        </w:rPr>
        <w:t xml:space="preserve"> </w:t>
      </w:r>
      <w:r w:rsidRPr="00D43A59">
        <w:rPr>
          <w:rFonts w:eastAsia="Times New Roman" w:cs="Arial"/>
          <w:spacing w:val="-1"/>
          <w:szCs w:val="24"/>
          <w:lang w:eastAsia="en-GB"/>
        </w:rPr>
        <w:t>2013 Harris</w:t>
      </w:r>
      <w:r w:rsidRPr="00D43A59">
        <w:rPr>
          <w:rFonts w:eastAsia="Times New Roman" w:cs="Arial"/>
          <w:szCs w:val="24"/>
          <w:lang w:eastAsia="en-GB"/>
        </w:rPr>
        <w:t xml:space="preserve"> </w:t>
      </w:r>
      <w:r w:rsidRPr="00D43A59">
        <w:rPr>
          <w:rFonts w:eastAsia="Times New Roman" w:cs="Arial"/>
          <w:spacing w:val="-1"/>
          <w:szCs w:val="24"/>
          <w:lang w:eastAsia="en-GB"/>
        </w:rPr>
        <w:t>Review,</w:t>
      </w:r>
      <w:r w:rsidRPr="00D43A59">
        <w:rPr>
          <w:rFonts w:eastAsia="Times New Roman" w:cs="Arial"/>
          <w:szCs w:val="24"/>
          <w:lang w:eastAsia="en-GB"/>
        </w:rPr>
        <w:t xml:space="preserve"> the</w:t>
      </w:r>
      <w:r w:rsidRPr="00D43A59">
        <w:rPr>
          <w:rFonts w:eastAsia="Times New Roman" w:cs="Arial"/>
          <w:spacing w:val="1"/>
          <w:szCs w:val="24"/>
          <w:lang w:eastAsia="en-GB"/>
        </w:rPr>
        <w:t xml:space="preserve"> </w:t>
      </w:r>
      <w:r w:rsidRPr="00D43A59">
        <w:rPr>
          <w:rFonts w:eastAsia="Times New Roman" w:cs="Arial"/>
          <w:spacing w:val="-1"/>
          <w:szCs w:val="24"/>
          <w:lang w:eastAsia="en-GB"/>
        </w:rPr>
        <w:t>clinical</w:t>
      </w:r>
      <w:r w:rsidRPr="00D43A59">
        <w:rPr>
          <w:rFonts w:eastAsia="Times New Roman" w:cs="Arial"/>
          <w:szCs w:val="24"/>
          <w:lang w:eastAsia="en-GB"/>
        </w:rPr>
        <w:t xml:space="preserve"> </w:t>
      </w:r>
      <w:r w:rsidRPr="00D43A59">
        <w:rPr>
          <w:rFonts w:eastAsia="Times New Roman" w:cs="Arial"/>
          <w:spacing w:val="-1"/>
          <w:szCs w:val="24"/>
          <w:lang w:eastAsia="en-GB"/>
        </w:rPr>
        <w:t>commissioning group has</w:t>
      </w:r>
      <w:r w:rsidRPr="00D43A59">
        <w:rPr>
          <w:rFonts w:eastAsia="Times New Roman" w:cs="Arial"/>
          <w:spacing w:val="55"/>
          <w:szCs w:val="24"/>
          <w:lang w:eastAsia="en-GB"/>
        </w:rPr>
        <w:t xml:space="preserve"> </w:t>
      </w:r>
      <w:r w:rsidRPr="00D43A59">
        <w:rPr>
          <w:rFonts w:eastAsia="Times New Roman" w:cs="Arial"/>
          <w:spacing w:val="-1"/>
          <w:szCs w:val="24"/>
          <w:lang w:eastAsia="en-GB"/>
        </w:rPr>
        <w:t>reviewed</w:t>
      </w:r>
      <w:r w:rsidRPr="00D43A59">
        <w:rPr>
          <w:rFonts w:eastAsia="Times New Roman" w:cs="Arial"/>
          <w:spacing w:val="1"/>
          <w:szCs w:val="24"/>
          <w:lang w:eastAsia="en-GB"/>
        </w:rPr>
        <w:t xml:space="preserve"> </w:t>
      </w:r>
      <w:r w:rsidRPr="00D43A59">
        <w:rPr>
          <w:rFonts w:eastAsia="Times New Roman" w:cs="Arial"/>
          <w:spacing w:val="-1"/>
          <w:szCs w:val="24"/>
          <w:lang w:eastAsia="en-GB"/>
        </w:rPr>
        <w:t>all</w:t>
      </w:r>
      <w:r w:rsidRPr="00D43A59">
        <w:rPr>
          <w:rFonts w:eastAsia="Times New Roman" w:cs="Arial"/>
          <w:szCs w:val="24"/>
          <w:lang w:eastAsia="en-GB"/>
        </w:rPr>
        <w:t xml:space="preserve"> </w:t>
      </w:r>
      <w:r w:rsidRPr="00D43A59">
        <w:rPr>
          <w:rFonts w:eastAsia="Times New Roman" w:cs="Arial"/>
          <w:spacing w:val="-1"/>
          <w:szCs w:val="24"/>
          <w:lang w:eastAsia="en-GB"/>
        </w:rPr>
        <w:t>of</w:t>
      </w:r>
      <w:r w:rsidRPr="00D43A59">
        <w:rPr>
          <w:rFonts w:eastAsia="Times New Roman" w:cs="Arial"/>
          <w:spacing w:val="3"/>
          <w:szCs w:val="24"/>
          <w:lang w:eastAsia="en-GB"/>
        </w:rPr>
        <w:t xml:space="preserve"> </w:t>
      </w:r>
      <w:r w:rsidRPr="00D43A59">
        <w:rPr>
          <w:rFonts w:eastAsia="Times New Roman" w:cs="Arial"/>
          <w:spacing w:val="-1"/>
          <w:szCs w:val="24"/>
          <w:lang w:eastAsia="en-GB"/>
        </w:rPr>
        <w:t>the</w:t>
      </w:r>
      <w:r w:rsidRPr="00D43A59">
        <w:rPr>
          <w:rFonts w:eastAsia="Times New Roman" w:cs="Arial"/>
          <w:spacing w:val="1"/>
          <w:szCs w:val="24"/>
          <w:lang w:eastAsia="en-GB"/>
        </w:rPr>
        <w:t xml:space="preserve"> </w:t>
      </w:r>
      <w:r w:rsidRPr="00D43A59">
        <w:rPr>
          <w:rFonts w:eastAsia="Times New Roman" w:cs="Arial"/>
          <w:spacing w:val="-1"/>
          <w:szCs w:val="24"/>
          <w:lang w:eastAsia="en-GB"/>
        </w:rPr>
        <w:t>statutory</w:t>
      </w:r>
      <w:r w:rsidRPr="00D43A59">
        <w:rPr>
          <w:rFonts w:eastAsia="Times New Roman" w:cs="Arial"/>
          <w:spacing w:val="-2"/>
          <w:szCs w:val="24"/>
          <w:lang w:eastAsia="en-GB"/>
        </w:rPr>
        <w:t xml:space="preserve"> </w:t>
      </w:r>
      <w:r w:rsidRPr="00D43A59">
        <w:rPr>
          <w:rFonts w:eastAsia="Times New Roman" w:cs="Arial"/>
          <w:spacing w:val="-1"/>
          <w:szCs w:val="24"/>
          <w:lang w:eastAsia="en-GB"/>
        </w:rPr>
        <w:t>duties</w:t>
      </w:r>
      <w:r w:rsidRPr="00D43A59">
        <w:rPr>
          <w:rFonts w:eastAsia="Times New Roman" w:cs="Arial"/>
          <w:spacing w:val="-2"/>
          <w:szCs w:val="24"/>
          <w:lang w:eastAsia="en-GB"/>
        </w:rPr>
        <w:t xml:space="preserve"> </w:t>
      </w:r>
      <w:r w:rsidRPr="00D43A59">
        <w:rPr>
          <w:rFonts w:eastAsia="Times New Roman" w:cs="Arial"/>
          <w:szCs w:val="24"/>
          <w:lang w:eastAsia="en-GB"/>
        </w:rPr>
        <w:t>and</w:t>
      </w:r>
      <w:r w:rsidRPr="00D43A59">
        <w:rPr>
          <w:rFonts w:eastAsia="Times New Roman" w:cs="Arial"/>
          <w:spacing w:val="-1"/>
          <w:szCs w:val="24"/>
          <w:lang w:eastAsia="en-GB"/>
        </w:rPr>
        <w:t xml:space="preserve"> powers</w:t>
      </w:r>
      <w:r w:rsidRPr="00D43A59">
        <w:rPr>
          <w:rFonts w:eastAsia="Times New Roman" w:cs="Arial"/>
          <w:szCs w:val="24"/>
          <w:lang w:eastAsia="en-GB"/>
        </w:rPr>
        <w:t xml:space="preserve"> </w:t>
      </w:r>
      <w:r w:rsidRPr="00D43A59">
        <w:rPr>
          <w:rFonts w:eastAsia="Times New Roman" w:cs="Arial"/>
          <w:spacing w:val="-1"/>
          <w:szCs w:val="24"/>
          <w:lang w:eastAsia="en-GB"/>
        </w:rPr>
        <w:t>conferred</w:t>
      </w:r>
      <w:r w:rsidRPr="00D43A59">
        <w:rPr>
          <w:rFonts w:eastAsia="Times New Roman" w:cs="Arial"/>
          <w:spacing w:val="1"/>
          <w:szCs w:val="24"/>
          <w:lang w:eastAsia="en-GB"/>
        </w:rPr>
        <w:t xml:space="preserve"> </w:t>
      </w:r>
      <w:r w:rsidRPr="00D43A59">
        <w:rPr>
          <w:rFonts w:eastAsia="Times New Roman" w:cs="Arial"/>
          <w:spacing w:val="-1"/>
          <w:szCs w:val="24"/>
          <w:lang w:eastAsia="en-GB"/>
        </w:rPr>
        <w:t>on</w:t>
      </w:r>
      <w:r w:rsidRPr="00D43A59">
        <w:rPr>
          <w:rFonts w:eastAsia="Times New Roman" w:cs="Arial"/>
          <w:spacing w:val="1"/>
          <w:szCs w:val="24"/>
          <w:lang w:eastAsia="en-GB"/>
        </w:rPr>
        <w:t xml:space="preserve"> </w:t>
      </w:r>
      <w:r w:rsidRPr="00D43A59">
        <w:rPr>
          <w:rFonts w:eastAsia="Times New Roman" w:cs="Arial"/>
          <w:spacing w:val="-1"/>
          <w:szCs w:val="24"/>
          <w:lang w:eastAsia="en-GB"/>
        </w:rPr>
        <w:t>it</w:t>
      </w:r>
      <w:r w:rsidRPr="00D43A59">
        <w:rPr>
          <w:rFonts w:eastAsia="Times New Roman" w:cs="Arial"/>
          <w:szCs w:val="24"/>
          <w:lang w:eastAsia="en-GB"/>
        </w:rPr>
        <w:t xml:space="preserve"> by</w:t>
      </w:r>
      <w:r w:rsidRPr="00D43A59">
        <w:rPr>
          <w:rFonts w:eastAsia="Times New Roman" w:cs="Arial"/>
          <w:spacing w:val="-2"/>
          <w:szCs w:val="24"/>
          <w:lang w:eastAsia="en-GB"/>
        </w:rPr>
        <w:t xml:space="preserve"> </w:t>
      </w:r>
      <w:r w:rsidRPr="00D43A59">
        <w:rPr>
          <w:rFonts w:eastAsia="Times New Roman" w:cs="Arial"/>
          <w:spacing w:val="-1"/>
          <w:szCs w:val="24"/>
          <w:lang w:eastAsia="en-GB"/>
        </w:rPr>
        <w:t>the National</w:t>
      </w:r>
      <w:r w:rsidRPr="00D43A59">
        <w:rPr>
          <w:rFonts w:eastAsia="Times New Roman" w:cs="Arial"/>
          <w:szCs w:val="24"/>
          <w:lang w:eastAsia="en-GB"/>
        </w:rPr>
        <w:t xml:space="preserve"> </w:t>
      </w:r>
      <w:r w:rsidRPr="00D43A59">
        <w:rPr>
          <w:rFonts w:eastAsia="Times New Roman" w:cs="Arial"/>
          <w:spacing w:val="-1"/>
          <w:szCs w:val="24"/>
          <w:lang w:eastAsia="en-GB"/>
        </w:rPr>
        <w:t>Health Service</w:t>
      </w:r>
      <w:r w:rsidRPr="00D43A59">
        <w:rPr>
          <w:rFonts w:eastAsia="Times New Roman" w:cs="Arial"/>
          <w:spacing w:val="1"/>
          <w:szCs w:val="24"/>
          <w:lang w:eastAsia="en-GB"/>
        </w:rPr>
        <w:t xml:space="preserve"> </w:t>
      </w:r>
      <w:r w:rsidRPr="00D43A59">
        <w:rPr>
          <w:rFonts w:eastAsia="Times New Roman" w:cs="Arial"/>
          <w:szCs w:val="24"/>
          <w:lang w:eastAsia="en-GB"/>
        </w:rPr>
        <w:t>Act</w:t>
      </w:r>
      <w:r w:rsidRPr="00D43A59">
        <w:rPr>
          <w:rFonts w:eastAsia="Times New Roman" w:cs="Arial"/>
          <w:spacing w:val="69"/>
          <w:szCs w:val="24"/>
          <w:lang w:eastAsia="en-GB"/>
        </w:rPr>
        <w:t xml:space="preserve"> </w:t>
      </w:r>
      <w:r w:rsidRPr="00D43A59">
        <w:rPr>
          <w:rFonts w:eastAsia="Times New Roman" w:cs="Arial"/>
          <w:spacing w:val="-1"/>
          <w:szCs w:val="24"/>
          <w:lang w:eastAsia="en-GB"/>
        </w:rPr>
        <w:t>2006</w:t>
      </w:r>
      <w:r w:rsidRPr="00D43A59">
        <w:rPr>
          <w:rFonts w:eastAsia="Times New Roman" w:cs="Arial"/>
          <w:spacing w:val="1"/>
          <w:szCs w:val="24"/>
          <w:lang w:eastAsia="en-GB"/>
        </w:rPr>
        <w:t xml:space="preserve"> </w:t>
      </w:r>
      <w:r w:rsidRPr="00D43A59">
        <w:rPr>
          <w:rFonts w:eastAsia="Times New Roman" w:cs="Arial"/>
          <w:spacing w:val="-1"/>
          <w:szCs w:val="24"/>
          <w:lang w:eastAsia="en-GB"/>
        </w:rPr>
        <w:t>(as</w:t>
      </w:r>
      <w:r w:rsidRPr="00D43A59">
        <w:rPr>
          <w:rFonts w:eastAsia="Times New Roman" w:cs="Arial"/>
          <w:szCs w:val="24"/>
          <w:lang w:eastAsia="en-GB"/>
        </w:rPr>
        <w:t xml:space="preserve"> </w:t>
      </w:r>
      <w:r w:rsidRPr="00D43A59">
        <w:rPr>
          <w:rFonts w:eastAsia="Times New Roman" w:cs="Arial"/>
          <w:spacing w:val="-1"/>
          <w:szCs w:val="24"/>
          <w:lang w:eastAsia="en-GB"/>
        </w:rPr>
        <w:t xml:space="preserve">amended) </w:t>
      </w:r>
      <w:r w:rsidRPr="00D43A59">
        <w:rPr>
          <w:rFonts w:eastAsia="Times New Roman" w:cs="Arial"/>
          <w:spacing w:val="-2"/>
          <w:szCs w:val="24"/>
          <w:lang w:eastAsia="en-GB"/>
        </w:rPr>
        <w:t>and</w:t>
      </w:r>
      <w:r w:rsidRPr="00D43A59">
        <w:rPr>
          <w:rFonts w:eastAsia="Times New Roman" w:cs="Arial"/>
          <w:spacing w:val="1"/>
          <w:szCs w:val="24"/>
          <w:lang w:eastAsia="en-GB"/>
        </w:rPr>
        <w:t xml:space="preserve"> </w:t>
      </w:r>
      <w:r w:rsidRPr="00D43A59">
        <w:rPr>
          <w:rFonts w:eastAsia="Times New Roman" w:cs="Arial"/>
          <w:spacing w:val="-1"/>
          <w:szCs w:val="24"/>
          <w:lang w:eastAsia="en-GB"/>
        </w:rPr>
        <w:t>other associated</w:t>
      </w:r>
      <w:r w:rsidRPr="00D43A59">
        <w:rPr>
          <w:rFonts w:eastAsia="Times New Roman" w:cs="Arial"/>
          <w:spacing w:val="1"/>
          <w:szCs w:val="24"/>
          <w:lang w:eastAsia="en-GB"/>
        </w:rPr>
        <w:t xml:space="preserve"> </w:t>
      </w:r>
      <w:r w:rsidRPr="00D43A59">
        <w:rPr>
          <w:rFonts w:eastAsia="Times New Roman" w:cs="Arial"/>
          <w:spacing w:val="-1"/>
          <w:szCs w:val="24"/>
          <w:lang w:eastAsia="en-GB"/>
        </w:rPr>
        <w:t>legislative</w:t>
      </w:r>
      <w:r w:rsidRPr="00D43A59">
        <w:rPr>
          <w:rFonts w:eastAsia="Times New Roman" w:cs="Arial"/>
          <w:spacing w:val="1"/>
          <w:szCs w:val="24"/>
          <w:lang w:eastAsia="en-GB"/>
        </w:rPr>
        <w:t xml:space="preserve"> </w:t>
      </w:r>
      <w:r w:rsidRPr="00D43A59">
        <w:rPr>
          <w:rFonts w:eastAsia="Times New Roman" w:cs="Arial"/>
          <w:szCs w:val="24"/>
          <w:lang w:eastAsia="en-GB"/>
        </w:rPr>
        <w:t>and</w:t>
      </w:r>
      <w:r w:rsidRPr="00D43A59">
        <w:rPr>
          <w:rFonts w:eastAsia="Times New Roman" w:cs="Arial"/>
          <w:spacing w:val="1"/>
          <w:szCs w:val="24"/>
          <w:lang w:eastAsia="en-GB"/>
        </w:rPr>
        <w:t xml:space="preserve"> </w:t>
      </w:r>
      <w:r w:rsidRPr="00D43A59">
        <w:rPr>
          <w:rFonts w:eastAsia="Times New Roman" w:cs="Arial"/>
          <w:spacing w:val="-1"/>
          <w:szCs w:val="24"/>
          <w:lang w:eastAsia="en-GB"/>
        </w:rPr>
        <w:t>regulations.</w:t>
      </w:r>
      <w:r w:rsidRPr="00D43A59">
        <w:rPr>
          <w:rFonts w:eastAsia="Times New Roman" w:cs="Arial"/>
          <w:spacing w:val="-2"/>
          <w:szCs w:val="24"/>
          <w:lang w:eastAsia="en-GB"/>
        </w:rPr>
        <w:t xml:space="preserve"> </w:t>
      </w:r>
      <w:r w:rsidRPr="00D43A59">
        <w:rPr>
          <w:rFonts w:eastAsia="Times New Roman" w:cs="Arial"/>
          <w:szCs w:val="24"/>
          <w:lang w:eastAsia="en-GB"/>
        </w:rPr>
        <w:t>As a</w:t>
      </w:r>
      <w:r w:rsidRPr="00D43A59">
        <w:rPr>
          <w:rFonts w:eastAsia="Times New Roman" w:cs="Arial"/>
          <w:spacing w:val="1"/>
          <w:szCs w:val="24"/>
          <w:lang w:eastAsia="en-GB"/>
        </w:rPr>
        <w:t xml:space="preserve"> </w:t>
      </w:r>
      <w:r w:rsidRPr="00D43A59">
        <w:rPr>
          <w:rFonts w:eastAsia="Times New Roman" w:cs="Arial"/>
          <w:spacing w:val="-1"/>
          <w:szCs w:val="24"/>
          <w:lang w:eastAsia="en-GB"/>
        </w:rPr>
        <w:t>result,</w:t>
      </w:r>
      <w:r w:rsidRPr="00D43A59">
        <w:rPr>
          <w:rFonts w:eastAsia="Times New Roman" w:cs="Arial"/>
          <w:szCs w:val="24"/>
          <w:lang w:eastAsia="en-GB"/>
        </w:rPr>
        <w:t xml:space="preserve"> I</w:t>
      </w:r>
      <w:r w:rsidRPr="00D43A59">
        <w:rPr>
          <w:rFonts w:eastAsia="Times New Roman" w:cs="Arial"/>
          <w:spacing w:val="-2"/>
          <w:szCs w:val="24"/>
          <w:lang w:eastAsia="en-GB"/>
        </w:rPr>
        <w:t xml:space="preserve"> </w:t>
      </w:r>
      <w:r w:rsidRPr="00D43A59">
        <w:rPr>
          <w:rFonts w:eastAsia="Times New Roman" w:cs="Arial"/>
          <w:szCs w:val="24"/>
          <w:lang w:eastAsia="en-GB"/>
        </w:rPr>
        <w:t>can</w:t>
      </w:r>
      <w:r w:rsidRPr="00D43A59">
        <w:rPr>
          <w:rFonts w:eastAsia="Times New Roman" w:cs="Arial"/>
          <w:spacing w:val="-1"/>
          <w:szCs w:val="24"/>
          <w:lang w:eastAsia="en-GB"/>
        </w:rPr>
        <w:t xml:space="preserve"> confirm</w:t>
      </w:r>
      <w:r w:rsidRPr="00D43A59">
        <w:rPr>
          <w:rFonts w:eastAsia="Times New Roman" w:cs="Arial"/>
          <w:spacing w:val="2"/>
          <w:szCs w:val="24"/>
          <w:lang w:eastAsia="en-GB"/>
        </w:rPr>
        <w:t xml:space="preserve"> </w:t>
      </w:r>
      <w:r w:rsidRPr="00D43A59">
        <w:rPr>
          <w:rFonts w:eastAsia="Times New Roman" w:cs="Arial"/>
          <w:spacing w:val="-1"/>
          <w:szCs w:val="24"/>
          <w:lang w:eastAsia="en-GB"/>
        </w:rPr>
        <w:t>that</w:t>
      </w:r>
      <w:r w:rsidRPr="00D43A59">
        <w:rPr>
          <w:rFonts w:eastAsia="Times New Roman" w:cs="Arial"/>
          <w:spacing w:val="61"/>
          <w:szCs w:val="24"/>
          <w:lang w:eastAsia="en-GB"/>
        </w:rPr>
        <w:t xml:space="preserve"> </w:t>
      </w:r>
      <w:r w:rsidRPr="00D43A59">
        <w:rPr>
          <w:rFonts w:eastAsia="Times New Roman" w:cs="Arial"/>
          <w:szCs w:val="24"/>
          <w:lang w:eastAsia="en-GB"/>
        </w:rPr>
        <w:t>the</w:t>
      </w:r>
      <w:r w:rsidRPr="00D43A59">
        <w:rPr>
          <w:rFonts w:eastAsia="Times New Roman" w:cs="Arial"/>
          <w:spacing w:val="1"/>
          <w:szCs w:val="24"/>
          <w:lang w:eastAsia="en-GB"/>
        </w:rPr>
        <w:t xml:space="preserve"> </w:t>
      </w:r>
      <w:r w:rsidRPr="00D43A59">
        <w:rPr>
          <w:rFonts w:eastAsia="Times New Roman" w:cs="Arial"/>
          <w:spacing w:val="-1"/>
          <w:szCs w:val="24"/>
          <w:lang w:eastAsia="en-GB"/>
        </w:rPr>
        <w:t>clinical</w:t>
      </w:r>
      <w:r w:rsidRPr="00D43A59">
        <w:rPr>
          <w:rFonts w:eastAsia="Times New Roman" w:cs="Arial"/>
          <w:szCs w:val="24"/>
          <w:lang w:eastAsia="en-GB"/>
        </w:rPr>
        <w:t xml:space="preserve"> </w:t>
      </w:r>
      <w:r w:rsidRPr="00D43A59">
        <w:rPr>
          <w:rFonts w:eastAsia="Times New Roman" w:cs="Arial"/>
          <w:spacing w:val="-1"/>
          <w:szCs w:val="24"/>
          <w:lang w:eastAsia="en-GB"/>
        </w:rPr>
        <w:t>commissioning group</w:t>
      </w:r>
      <w:r w:rsidRPr="00D43A59">
        <w:rPr>
          <w:rFonts w:eastAsia="Times New Roman" w:cs="Arial"/>
          <w:spacing w:val="1"/>
          <w:szCs w:val="24"/>
          <w:lang w:eastAsia="en-GB"/>
        </w:rPr>
        <w:t xml:space="preserve"> </w:t>
      </w:r>
      <w:r w:rsidRPr="00D43A59">
        <w:rPr>
          <w:rFonts w:eastAsia="Times New Roman" w:cs="Arial"/>
          <w:spacing w:val="-1"/>
          <w:szCs w:val="24"/>
          <w:lang w:eastAsia="en-GB"/>
        </w:rPr>
        <w:t>is</w:t>
      </w:r>
      <w:r w:rsidRPr="00D43A59">
        <w:rPr>
          <w:rFonts w:eastAsia="Times New Roman" w:cs="Arial"/>
          <w:szCs w:val="24"/>
          <w:lang w:eastAsia="en-GB"/>
        </w:rPr>
        <w:t xml:space="preserve"> </w:t>
      </w:r>
      <w:r w:rsidRPr="00D43A59">
        <w:rPr>
          <w:rFonts w:eastAsia="Times New Roman" w:cs="Arial"/>
          <w:spacing w:val="-1"/>
          <w:szCs w:val="24"/>
          <w:lang w:eastAsia="en-GB"/>
        </w:rPr>
        <w:t>clear about</w:t>
      </w:r>
      <w:r w:rsidRPr="00D43A59">
        <w:rPr>
          <w:rFonts w:eastAsia="Times New Roman" w:cs="Arial"/>
          <w:szCs w:val="24"/>
          <w:lang w:eastAsia="en-GB"/>
        </w:rPr>
        <w:t xml:space="preserve"> the</w:t>
      </w:r>
      <w:r w:rsidRPr="00D43A59">
        <w:rPr>
          <w:rFonts w:eastAsia="Times New Roman" w:cs="Arial"/>
          <w:spacing w:val="-1"/>
          <w:szCs w:val="24"/>
          <w:lang w:eastAsia="en-GB"/>
        </w:rPr>
        <w:t xml:space="preserve"> legislative</w:t>
      </w:r>
      <w:r w:rsidRPr="00D43A59">
        <w:rPr>
          <w:rFonts w:eastAsia="Times New Roman" w:cs="Arial"/>
          <w:spacing w:val="1"/>
          <w:szCs w:val="24"/>
          <w:lang w:eastAsia="en-GB"/>
        </w:rPr>
        <w:t xml:space="preserve"> </w:t>
      </w:r>
      <w:r w:rsidRPr="00D43A59">
        <w:rPr>
          <w:rFonts w:eastAsia="Times New Roman" w:cs="Arial"/>
          <w:spacing w:val="-1"/>
          <w:szCs w:val="24"/>
          <w:lang w:eastAsia="en-GB"/>
        </w:rPr>
        <w:t>requirements</w:t>
      </w:r>
      <w:r w:rsidRPr="00D43A59">
        <w:rPr>
          <w:rFonts w:eastAsia="Times New Roman" w:cs="Arial"/>
          <w:szCs w:val="24"/>
          <w:lang w:eastAsia="en-GB"/>
        </w:rPr>
        <w:t xml:space="preserve"> </w:t>
      </w:r>
      <w:r w:rsidRPr="00D43A59">
        <w:rPr>
          <w:rFonts w:eastAsia="Times New Roman" w:cs="Arial"/>
          <w:spacing w:val="-1"/>
          <w:szCs w:val="24"/>
          <w:lang w:eastAsia="en-GB"/>
        </w:rPr>
        <w:t>associated</w:t>
      </w:r>
      <w:r w:rsidRPr="00D43A59">
        <w:rPr>
          <w:rFonts w:eastAsia="Times New Roman" w:cs="Arial"/>
          <w:spacing w:val="1"/>
          <w:szCs w:val="24"/>
          <w:lang w:eastAsia="en-GB"/>
        </w:rPr>
        <w:t xml:space="preserve"> </w:t>
      </w:r>
      <w:r w:rsidRPr="00D43A59">
        <w:rPr>
          <w:rFonts w:eastAsia="Times New Roman" w:cs="Arial"/>
          <w:spacing w:val="-1"/>
          <w:szCs w:val="24"/>
          <w:lang w:eastAsia="en-GB"/>
        </w:rPr>
        <w:t>with</w:t>
      </w:r>
      <w:r w:rsidRPr="00D43A59">
        <w:rPr>
          <w:rFonts w:eastAsia="Times New Roman" w:cs="Arial"/>
          <w:spacing w:val="1"/>
          <w:szCs w:val="24"/>
          <w:lang w:eastAsia="en-GB"/>
        </w:rPr>
        <w:t xml:space="preserve"> </w:t>
      </w:r>
      <w:r w:rsidRPr="00D43A59">
        <w:rPr>
          <w:rFonts w:eastAsia="Times New Roman" w:cs="Arial"/>
          <w:szCs w:val="24"/>
          <w:lang w:eastAsia="en-GB"/>
        </w:rPr>
        <w:t>each</w:t>
      </w:r>
      <w:r w:rsidRPr="00D43A59">
        <w:rPr>
          <w:rFonts w:eastAsia="Times New Roman" w:cs="Arial"/>
          <w:spacing w:val="67"/>
          <w:szCs w:val="24"/>
          <w:lang w:eastAsia="en-GB"/>
        </w:rPr>
        <w:t xml:space="preserve"> </w:t>
      </w:r>
      <w:r w:rsidRPr="00D43A59">
        <w:rPr>
          <w:rFonts w:eastAsia="Times New Roman" w:cs="Arial"/>
          <w:spacing w:val="-1"/>
          <w:szCs w:val="24"/>
          <w:lang w:eastAsia="en-GB"/>
        </w:rPr>
        <w:t>of</w:t>
      </w:r>
      <w:r w:rsidRPr="00D43A59">
        <w:rPr>
          <w:rFonts w:eastAsia="Times New Roman" w:cs="Arial"/>
          <w:spacing w:val="3"/>
          <w:szCs w:val="24"/>
          <w:lang w:eastAsia="en-GB"/>
        </w:rPr>
        <w:t xml:space="preserve"> </w:t>
      </w:r>
      <w:r w:rsidRPr="00D43A59">
        <w:rPr>
          <w:rFonts w:eastAsia="Times New Roman" w:cs="Arial"/>
          <w:spacing w:val="-1"/>
          <w:szCs w:val="24"/>
          <w:lang w:eastAsia="en-GB"/>
        </w:rPr>
        <w:t>the</w:t>
      </w:r>
      <w:r w:rsidRPr="00D43A59">
        <w:rPr>
          <w:rFonts w:eastAsia="Times New Roman" w:cs="Arial"/>
          <w:spacing w:val="1"/>
          <w:szCs w:val="24"/>
          <w:lang w:eastAsia="en-GB"/>
        </w:rPr>
        <w:t xml:space="preserve"> </w:t>
      </w:r>
      <w:r w:rsidRPr="00D43A59">
        <w:rPr>
          <w:rFonts w:eastAsia="Times New Roman" w:cs="Arial"/>
          <w:spacing w:val="-1"/>
          <w:szCs w:val="24"/>
          <w:lang w:eastAsia="en-GB"/>
        </w:rPr>
        <w:t>statutory</w:t>
      </w:r>
      <w:r w:rsidRPr="00D43A59">
        <w:rPr>
          <w:rFonts w:eastAsia="Times New Roman" w:cs="Arial"/>
          <w:spacing w:val="-2"/>
          <w:szCs w:val="24"/>
          <w:lang w:eastAsia="en-GB"/>
        </w:rPr>
        <w:t xml:space="preserve"> </w:t>
      </w:r>
      <w:r w:rsidRPr="00D43A59">
        <w:rPr>
          <w:rFonts w:eastAsia="Times New Roman" w:cs="Arial"/>
          <w:spacing w:val="-1"/>
          <w:szCs w:val="24"/>
          <w:lang w:eastAsia="en-GB"/>
        </w:rPr>
        <w:t>functions</w:t>
      </w:r>
      <w:r w:rsidRPr="00D43A59">
        <w:rPr>
          <w:rFonts w:eastAsia="Times New Roman" w:cs="Arial"/>
          <w:spacing w:val="-2"/>
          <w:szCs w:val="24"/>
          <w:lang w:eastAsia="en-GB"/>
        </w:rPr>
        <w:t xml:space="preserve"> </w:t>
      </w:r>
      <w:r w:rsidRPr="00D43A59">
        <w:rPr>
          <w:rFonts w:eastAsia="Times New Roman" w:cs="Arial"/>
          <w:szCs w:val="24"/>
          <w:lang w:eastAsia="en-GB"/>
        </w:rPr>
        <w:t>for</w:t>
      </w:r>
      <w:r w:rsidRPr="00D43A59">
        <w:rPr>
          <w:rFonts w:eastAsia="Times New Roman" w:cs="Arial"/>
          <w:spacing w:val="-1"/>
          <w:szCs w:val="24"/>
          <w:lang w:eastAsia="en-GB"/>
        </w:rPr>
        <w:t xml:space="preserve"> which</w:t>
      </w:r>
      <w:r w:rsidRPr="00D43A59">
        <w:rPr>
          <w:rFonts w:eastAsia="Times New Roman" w:cs="Arial"/>
          <w:spacing w:val="1"/>
          <w:szCs w:val="24"/>
          <w:lang w:eastAsia="en-GB"/>
        </w:rPr>
        <w:t xml:space="preserve"> </w:t>
      </w:r>
      <w:r w:rsidRPr="00D43A59">
        <w:rPr>
          <w:rFonts w:eastAsia="Times New Roman" w:cs="Arial"/>
          <w:spacing w:val="-1"/>
          <w:szCs w:val="24"/>
          <w:lang w:eastAsia="en-GB"/>
        </w:rPr>
        <w:t>it</w:t>
      </w:r>
      <w:r w:rsidRPr="00D43A59">
        <w:rPr>
          <w:rFonts w:eastAsia="Times New Roman" w:cs="Arial"/>
          <w:szCs w:val="24"/>
          <w:lang w:eastAsia="en-GB"/>
        </w:rPr>
        <w:t xml:space="preserve"> </w:t>
      </w:r>
      <w:r w:rsidRPr="00D43A59">
        <w:rPr>
          <w:rFonts w:eastAsia="Times New Roman" w:cs="Arial"/>
          <w:spacing w:val="-1"/>
          <w:szCs w:val="24"/>
          <w:lang w:eastAsia="en-GB"/>
        </w:rPr>
        <w:t>is</w:t>
      </w:r>
      <w:r w:rsidRPr="00D43A59">
        <w:rPr>
          <w:rFonts w:eastAsia="Times New Roman" w:cs="Arial"/>
          <w:szCs w:val="24"/>
          <w:lang w:eastAsia="en-GB"/>
        </w:rPr>
        <w:t xml:space="preserve"> </w:t>
      </w:r>
      <w:r w:rsidRPr="00D43A59">
        <w:rPr>
          <w:rFonts w:eastAsia="Times New Roman" w:cs="Arial"/>
          <w:spacing w:val="-1"/>
          <w:szCs w:val="24"/>
          <w:lang w:eastAsia="en-GB"/>
        </w:rPr>
        <w:t>responsible,</w:t>
      </w:r>
      <w:r w:rsidRPr="00D43A59">
        <w:rPr>
          <w:rFonts w:eastAsia="Times New Roman" w:cs="Arial"/>
          <w:szCs w:val="24"/>
          <w:lang w:eastAsia="en-GB"/>
        </w:rPr>
        <w:t xml:space="preserve"> </w:t>
      </w:r>
      <w:r w:rsidRPr="00D43A59">
        <w:rPr>
          <w:rFonts w:eastAsia="Times New Roman" w:cs="Arial"/>
          <w:spacing w:val="-1"/>
          <w:szCs w:val="24"/>
          <w:lang w:eastAsia="en-GB"/>
        </w:rPr>
        <w:t xml:space="preserve">including </w:t>
      </w:r>
      <w:r w:rsidRPr="00D43A59">
        <w:rPr>
          <w:rFonts w:eastAsia="Times New Roman" w:cs="Arial"/>
          <w:szCs w:val="24"/>
          <w:lang w:eastAsia="en-GB"/>
        </w:rPr>
        <w:t>any</w:t>
      </w:r>
      <w:r w:rsidRPr="00D43A59">
        <w:rPr>
          <w:rFonts w:eastAsia="Times New Roman" w:cs="Arial"/>
          <w:spacing w:val="-2"/>
          <w:szCs w:val="24"/>
          <w:lang w:eastAsia="en-GB"/>
        </w:rPr>
        <w:t xml:space="preserve"> </w:t>
      </w:r>
      <w:r w:rsidRPr="00D43A59">
        <w:rPr>
          <w:rFonts w:eastAsia="Times New Roman" w:cs="Arial"/>
          <w:spacing w:val="-1"/>
          <w:szCs w:val="24"/>
          <w:lang w:eastAsia="en-GB"/>
        </w:rPr>
        <w:t>restrictions</w:t>
      </w:r>
      <w:r w:rsidRPr="00D43A59">
        <w:rPr>
          <w:rFonts w:eastAsia="Times New Roman" w:cs="Arial"/>
          <w:szCs w:val="24"/>
          <w:lang w:eastAsia="en-GB"/>
        </w:rPr>
        <w:t xml:space="preserve"> on</w:t>
      </w:r>
      <w:r w:rsidRPr="00D43A59">
        <w:rPr>
          <w:rFonts w:eastAsia="Times New Roman" w:cs="Arial"/>
          <w:spacing w:val="-1"/>
          <w:szCs w:val="24"/>
          <w:lang w:eastAsia="en-GB"/>
        </w:rPr>
        <w:t xml:space="preserve"> delegation of</w:t>
      </w:r>
      <w:r w:rsidRPr="00D43A59">
        <w:rPr>
          <w:rFonts w:eastAsia="Times New Roman" w:cs="Arial"/>
          <w:spacing w:val="69"/>
          <w:szCs w:val="24"/>
          <w:lang w:eastAsia="en-GB"/>
        </w:rPr>
        <w:t xml:space="preserve"> </w:t>
      </w:r>
      <w:r w:rsidRPr="00D43A59">
        <w:rPr>
          <w:rFonts w:eastAsia="Times New Roman" w:cs="Arial"/>
          <w:szCs w:val="24"/>
          <w:lang w:eastAsia="en-GB"/>
        </w:rPr>
        <w:t>those</w:t>
      </w:r>
      <w:r w:rsidRPr="00D43A59">
        <w:rPr>
          <w:rFonts w:eastAsia="Times New Roman" w:cs="Arial"/>
          <w:spacing w:val="-4"/>
          <w:szCs w:val="24"/>
          <w:lang w:eastAsia="en-GB"/>
        </w:rPr>
        <w:t xml:space="preserve"> </w:t>
      </w:r>
      <w:r w:rsidRPr="00D43A59">
        <w:rPr>
          <w:rFonts w:eastAsia="Times New Roman" w:cs="Arial"/>
          <w:spacing w:val="-1"/>
          <w:szCs w:val="24"/>
          <w:lang w:eastAsia="en-GB"/>
        </w:rPr>
        <w:t>functions.</w:t>
      </w:r>
      <w:r w:rsidRPr="00D43A59">
        <w:rPr>
          <w:rFonts w:eastAsia="Times New Roman" w:cs="Arial"/>
          <w:szCs w:val="24"/>
          <w:lang w:eastAsia="en-GB"/>
        </w:rPr>
        <w:t xml:space="preserve"> </w:t>
      </w:r>
      <w:r w:rsidRPr="00D43A59">
        <w:rPr>
          <w:rFonts w:eastAsia="Times New Roman" w:cs="Arial"/>
          <w:spacing w:val="1"/>
          <w:szCs w:val="24"/>
          <w:lang w:eastAsia="en-GB"/>
        </w:rPr>
        <w:t xml:space="preserve"> </w:t>
      </w:r>
      <w:r w:rsidRPr="00D43A59">
        <w:rPr>
          <w:rFonts w:eastAsia="Times New Roman" w:cs="Arial"/>
          <w:szCs w:val="24"/>
          <w:lang w:eastAsia="en-GB"/>
        </w:rPr>
        <w:t>T</w:t>
      </w:r>
      <w:r w:rsidRPr="00D43A59">
        <w:rPr>
          <w:rFonts w:eastAsia="Times New Roman" w:cs="Arial"/>
          <w:spacing w:val="-1"/>
          <w:szCs w:val="24"/>
          <w:lang w:eastAsia="en-GB"/>
        </w:rPr>
        <w:t>he</w:t>
      </w:r>
      <w:r w:rsidRPr="00D43A59">
        <w:rPr>
          <w:rFonts w:eastAsia="Times New Roman" w:cs="Arial"/>
          <w:spacing w:val="1"/>
          <w:szCs w:val="24"/>
          <w:lang w:eastAsia="en-GB"/>
        </w:rPr>
        <w:t xml:space="preserve"> </w:t>
      </w:r>
      <w:r w:rsidRPr="00D43A59">
        <w:rPr>
          <w:rFonts w:eastAsia="Times New Roman" w:cs="Arial"/>
          <w:spacing w:val="-1"/>
          <w:szCs w:val="24"/>
          <w:lang w:eastAsia="en-GB"/>
        </w:rPr>
        <w:t>CCG’s current Scheme</w:t>
      </w:r>
      <w:r w:rsidRPr="00D43A59">
        <w:rPr>
          <w:rFonts w:eastAsia="Times New Roman" w:cs="Arial"/>
          <w:spacing w:val="-2"/>
          <w:szCs w:val="24"/>
          <w:lang w:eastAsia="en-GB"/>
        </w:rPr>
        <w:t xml:space="preserve"> </w:t>
      </w:r>
      <w:r w:rsidRPr="00D43A59">
        <w:rPr>
          <w:rFonts w:eastAsia="Times New Roman" w:cs="Arial"/>
          <w:spacing w:val="-1"/>
          <w:szCs w:val="24"/>
          <w:lang w:eastAsia="en-GB"/>
        </w:rPr>
        <w:t>of</w:t>
      </w:r>
      <w:r w:rsidRPr="00D43A59">
        <w:rPr>
          <w:rFonts w:eastAsia="Times New Roman" w:cs="Arial"/>
          <w:spacing w:val="3"/>
          <w:szCs w:val="24"/>
          <w:lang w:eastAsia="en-GB"/>
        </w:rPr>
        <w:t xml:space="preserve"> R</w:t>
      </w:r>
      <w:r w:rsidRPr="00D43A59">
        <w:rPr>
          <w:rFonts w:eastAsia="Times New Roman" w:cs="Arial"/>
          <w:spacing w:val="-1"/>
          <w:szCs w:val="24"/>
          <w:lang w:eastAsia="en-GB"/>
        </w:rPr>
        <w:t>eservation</w:t>
      </w:r>
      <w:r w:rsidRPr="00D43A59">
        <w:rPr>
          <w:rFonts w:eastAsia="Times New Roman" w:cs="Arial"/>
          <w:szCs w:val="24"/>
          <w:lang w:eastAsia="en-GB"/>
        </w:rPr>
        <w:t xml:space="preserve"> and</w:t>
      </w:r>
      <w:r w:rsidRPr="00D43A59">
        <w:rPr>
          <w:rFonts w:eastAsia="Times New Roman" w:cs="Arial"/>
          <w:spacing w:val="64"/>
          <w:szCs w:val="24"/>
          <w:lang w:eastAsia="en-GB"/>
        </w:rPr>
        <w:t xml:space="preserve"> </w:t>
      </w:r>
      <w:r w:rsidRPr="00D43A59">
        <w:rPr>
          <w:rFonts w:eastAsia="Times New Roman" w:cs="Arial"/>
          <w:spacing w:val="-1"/>
          <w:szCs w:val="24"/>
          <w:lang w:eastAsia="en-GB"/>
        </w:rPr>
        <w:t>Delegation</w:t>
      </w:r>
      <w:r w:rsidRPr="00D43A59">
        <w:rPr>
          <w:rFonts w:eastAsia="Times New Roman" w:cs="Arial"/>
          <w:spacing w:val="1"/>
          <w:szCs w:val="24"/>
          <w:lang w:eastAsia="en-GB"/>
        </w:rPr>
        <w:t xml:space="preserve"> (SoRD) </w:t>
      </w:r>
      <w:r w:rsidRPr="00D43A59">
        <w:rPr>
          <w:rFonts w:eastAsia="Times New Roman" w:cs="Arial"/>
          <w:spacing w:val="-1"/>
          <w:szCs w:val="24"/>
          <w:lang w:eastAsia="en-GB"/>
        </w:rPr>
        <w:t>was</w:t>
      </w:r>
      <w:r w:rsidRPr="00D43A59">
        <w:rPr>
          <w:rFonts w:eastAsia="Times New Roman" w:cs="Arial"/>
          <w:spacing w:val="1"/>
          <w:szCs w:val="24"/>
          <w:lang w:eastAsia="en-GB"/>
        </w:rPr>
        <w:t xml:space="preserve"> </w:t>
      </w:r>
      <w:r w:rsidRPr="00D43A59">
        <w:rPr>
          <w:rFonts w:eastAsia="Times New Roman" w:cs="Arial"/>
          <w:spacing w:val="-1"/>
          <w:szCs w:val="24"/>
          <w:lang w:eastAsia="en-GB"/>
        </w:rPr>
        <w:t>approved</w:t>
      </w:r>
      <w:r w:rsidRPr="00D43A59">
        <w:rPr>
          <w:rFonts w:eastAsia="Times New Roman" w:cs="Arial"/>
          <w:spacing w:val="1"/>
          <w:szCs w:val="24"/>
          <w:lang w:eastAsia="en-GB"/>
        </w:rPr>
        <w:t xml:space="preserve"> </w:t>
      </w:r>
      <w:r w:rsidRPr="00D43A59">
        <w:rPr>
          <w:rFonts w:eastAsia="Times New Roman" w:cs="Arial"/>
          <w:szCs w:val="24"/>
          <w:lang w:eastAsia="en-GB"/>
        </w:rPr>
        <w:t>by</w:t>
      </w:r>
      <w:r w:rsidRPr="00D43A59">
        <w:rPr>
          <w:rFonts w:eastAsia="Times New Roman" w:cs="Arial"/>
          <w:spacing w:val="-2"/>
          <w:szCs w:val="24"/>
          <w:lang w:eastAsia="en-GB"/>
        </w:rPr>
        <w:t xml:space="preserve"> </w:t>
      </w:r>
      <w:r w:rsidRPr="00D43A59">
        <w:rPr>
          <w:rFonts w:eastAsia="Times New Roman" w:cs="Arial"/>
          <w:szCs w:val="24"/>
          <w:lang w:eastAsia="en-GB"/>
        </w:rPr>
        <w:t>the</w:t>
      </w:r>
      <w:r w:rsidRPr="00D43A59">
        <w:rPr>
          <w:rFonts w:eastAsia="Times New Roman" w:cs="Arial"/>
          <w:spacing w:val="-1"/>
          <w:szCs w:val="24"/>
          <w:lang w:eastAsia="en-GB"/>
        </w:rPr>
        <w:t xml:space="preserve"> Board</w:t>
      </w:r>
      <w:r w:rsidRPr="00D43A59">
        <w:rPr>
          <w:rFonts w:eastAsia="Times New Roman" w:cs="Arial"/>
          <w:spacing w:val="1"/>
          <w:szCs w:val="24"/>
          <w:lang w:eastAsia="en-GB"/>
        </w:rPr>
        <w:t xml:space="preserve"> </w:t>
      </w:r>
      <w:r w:rsidRPr="00D43A59">
        <w:rPr>
          <w:rFonts w:eastAsia="Times New Roman" w:cs="Arial"/>
          <w:spacing w:val="-2"/>
          <w:szCs w:val="24"/>
          <w:lang w:eastAsia="en-GB"/>
        </w:rPr>
        <w:t>in</w:t>
      </w:r>
      <w:r w:rsidRPr="00D43A59">
        <w:rPr>
          <w:rFonts w:eastAsia="Times New Roman" w:cs="Arial"/>
          <w:spacing w:val="1"/>
          <w:szCs w:val="24"/>
          <w:lang w:eastAsia="en-GB"/>
        </w:rPr>
        <w:t xml:space="preserve"> </w:t>
      </w:r>
      <w:r w:rsidRPr="00D43A59">
        <w:rPr>
          <w:rFonts w:eastAsia="Times New Roman" w:cs="Arial"/>
          <w:spacing w:val="-1"/>
          <w:szCs w:val="24"/>
          <w:lang w:eastAsia="en-GB"/>
        </w:rPr>
        <w:t>March</w:t>
      </w:r>
      <w:r w:rsidRPr="00D43A59">
        <w:rPr>
          <w:rFonts w:eastAsia="Times New Roman" w:cs="Arial"/>
          <w:spacing w:val="1"/>
          <w:szCs w:val="24"/>
          <w:lang w:eastAsia="en-GB"/>
        </w:rPr>
        <w:t xml:space="preserve"> </w:t>
      </w:r>
      <w:r w:rsidRPr="00D43A59">
        <w:rPr>
          <w:rFonts w:eastAsia="Times New Roman" w:cs="Arial"/>
          <w:spacing w:val="-1"/>
          <w:szCs w:val="24"/>
          <w:lang w:eastAsia="en-GB"/>
        </w:rPr>
        <w:t>2021.  The CCG is working with the other MSE CCGs to develop a new SoRD for the MSE ICB.</w:t>
      </w:r>
    </w:p>
    <w:p w14:paraId="60BFEA4E" w14:textId="4DC36742" w:rsidR="00E06CCF" w:rsidRDefault="00E06CCF" w:rsidP="00BC3673">
      <w:pPr>
        <w:pStyle w:val="Heading3"/>
        <w:spacing w:before="360"/>
      </w:pPr>
      <w:bookmarkStart w:id="146" w:name="_Toc94188198"/>
      <w:bookmarkStart w:id="147" w:name="_Toc97218349"/>
      <w:bookmarkStart w:id="148" w:name="_Toc107389468"/>
      <w:r w:rsidRPr="00D43A59">
        <w:t xml:space="preserve">Risk </w:t>
      </w:r>
      <w:bookmarkEnd w:id="145"/>
      <w:r w:rsidRPr="00D43A59">
        <w:t>management arrangements and effectiveness</w:t>
      </w:r>
      <w:bookmarkEnd w:id="146"/>
      <w:bookmarkEnd w:id="147"/>
      <w:bookmarkEnd w:id="148"/>
      <w:r w:rsidRPr="007830C3">
        <w:t xml:space="preserve"> </w:t>
      </w:r>
    </w:p>
    <w:p w14:paraId="158210C8" w14:textId="77777777" w:rsidR="00D43A59" w:rsidRPr="003E0A79" w:rsidRDefault="00D43A59" w:rsidP="00D43A59">
      <w:pPr>
        <w:pStyle w:val="BodyText"/>
        <w:kinsoku w:val="0"/>
        <w:overflowPunct w:val="0"/>
        <w:spacing w:before="237"/>
        <w:ind w:right="203"/>
        <w:rPr>
          <w:spacing w:val="-1"/>
          <w:szCs w:val="24"/>
        </w:rPr>
      </w:pPr>
      <w:r w:rsidRPr="003E0A79">
        <w:rPr>
          <w:szCs w:val="24"/>
        </w:rPr>
        <w:t>The</w:t>
      </w:r>
      <w:r w:rsidRPr="003E0A79">
        <w:rPr>
          <w:spacing w:val="1"/>
          <w:szCs w:val="24"/>
        </w:rPr>
        <w:t xml:space="preserve"> </w:t>
      </w:r>
      <w:r w:rsidRPr="003E0A79">
        <w:rPr>
          <w:spacing w:val="-1"/>
          <w:szCs w:val="24"/>
        </w:rPr>
        <w:t>CCG</w:t>
      </w:r>
      <w:r w:rsidRPr="003E0A79">
        <w:rPr>
          <w:szCs w:val="24"/>
        </w:rPr>
        <w:t xml:space="preserve"> </w:t>
      </w:r>
      <w:r w:rsidRPr="003E0A79">
        <w:rPr>
          <w:spacing w:val="-1"/>
          <w:szCs w:val="24"/>
        </w:rPr>
        <w:t>is</w:t>
      </w:r>
      <w:r w:rsidRPr="003E0A79">
        <w:rPr>
          <w:szCs w:val="24"/>
        </w:rPr>
        <w:t xml:space="preserve"> </w:t>
      </w:r>
      <w:r w:rsidRPr="003E0A79">
        <w:rPr>
          <w:spacing w:val="-1"/>
          <w:szCs w:val="24"/>
        </w:rPr>
        <w:t xml:space="preserve">committed </w:t>
      </w:r>
      <w:r w:rsidRPr="003E0A79">
        <w:rPr>
          <w:szCs w:val="24"/>
        </w:rPr>
        <w:t>to</w:t>
      </w:r>
      <w:r w:rsidRPr="003E0A79">
        <w:rPr>
          <w:spacing w:val="1"/>
          <w:szCs w:val="24"/>
        </w:rPr>
        <w:t xml:space="preserve"> </w:t>
      </w:r>
      <w:r w:rsidRPr="003E0A79">
        <w:rPr>
          <w:spacing w:val="-1"/>
          <w:szCs w:val="24"/>
        </w:rPr>
        <w:t>ensuring that</w:t>
      </w:r>
      <w:r w:rsidRPr="003E0A79">
        <w:rPr>
          <w:szCs w:val="24"/>
        </w:rPr>
        <w:t xml:space="preserve"> </w:t>
      </w:r>
      <w:r w:rsidRPr="003E0A79">
        <w:rPr>
          <w:spacing w:val="-1"/>
          <w:szCs w:val="24"/>
        </w:rPr>
        <w:t>risk</w:t>
      </w:r>
      <w:r w:rsidRPr="003E0A79">
        <w:rPr>
          <w:szCs w:val="24"/>
        </w:rPr>
        <w:t xml:space="preserve"> </w:t>
      </w:r>
      <w:r w:rsidRPr="003E0A79">
        <w:rPr>
          <w:spacing w:val="-1"/>
          <w:szCs w:val="24"/>
        </w:rPr>
        <w:t>management</w:t>
      </w:r>
      <w:r w:rsidRPr="003E0A79">
        <w:rPr>
          <w:spacing w:val="-2"/>
          <w:szCs w:val="24"/>
        </w:rPr>
        <w:t xml:space="preserve"> </w:t>
      </w:r>
      <w:r w:rsidRPr="003E0A79">
        <w:rPr>
          <w:spacing w:val="-1"/>
          <w:szCs w:val="24"/>
        </w:rPr>
        <w:t>forms</w:t>
      </w:r>
      <w:r w:rsidRPr="003E0A79">
        <w:rPr>
          <w:szCs w:val="24"/>
        </w:rPr>
        <w:t xml:space="preserve"> </w:t>
      </w:r>
      <w:r w:rsidRPr="003E0A79">
        <w:rPr>
          <w:spacing w:val="-1"/>
          <w:szCs w:val="24"/>
        </w:rPr>
        <w:t>an</w:t>
      </w:r>
      <w:r w:rsidRPr="003E0A79">
        <w:rPr>
          <w:spacing w:val="1"/>
          <w:szCs w:val="24"/>
        </w:rPr>
        <w:t xml:space="preserve"> </w:t>
      </w:r>
      <w:r w:rsidRPr="003E0A79">
        <w:rPr>
          <w:spacing w:val="-1"/>
          <w:szCs w:val="24"/>
        </w:rPr>
        <w:t>integral</w:t>
      </w:r>
      <w:r w:rsidRPr="003E0A79">
        <w:rPr>
          <w:szCs w:val="24"/>
        </w:rPr>
        <w:t xml:space="preserve"> </w:t>
      </w:r>
      <w:r w:rsidRPr="003E0A79">
        <w:rPr>
          <w:spacing w:val="-1"/>
          <w:szCs w:val="24"/>
        </w:rPr>
        <w:t>part</w:t>
      </w:r>
      <w:r w:rsidRPr="003E0A79">
        <w:rPr>
          <w:szCs w:val="24"/>
        </w:rPr>
        <w:t xml:space="preserve"> </w:t>
      </w:r>
      <w:r w:rsidRPr="003E0A79">
        <w:rPr>
          <w:spacing w:val="-1"/>
          <w:szCs w:val="24"/>
        </w:rPr>
        <w:t>of</w:t>
      </w:r>
      <w:r w:rsidRPr="003E0A79">
        <w:rPr>
          <w:szCs w:val="24"/>
        </w:rPr>
        <w:t xml:space="preserve"> </w:t>
      </w:r>
      <w:r w:rsidRPr="003E0A79">
        <w:rPr>
          <w:spacing w:val="-1"/>
          <w:szCs w:val="24"/>
        </w:rPr>
        <w:t>its</w:t>
      </w:r>
      <w:r w:rsidRPr="003E0A79">
        <w:rPr>
          <w:szCs w:val="24"/>
        </w:rPr>
        <w:t xml:space="preserve"> </w:t>
      </w:r>
      <w:r w:rsidRPr="003E0A79">
        <w:rPr>
          <w:spacing w:val="-1"/>
          <w:szCs w:val="24"/>
        </w:rPr>
        <w:t>philosophy,</w:t>
      </w:r>
      <w:r w:rsidRPr="003E0A79">
        <w:rPr>
          <w:spacing w:val="61"/>
          <w:szCs w:val="24"/>
        </w:rPr>
        <w:t xml:space="preserve"> </w:t>
      </w:r>
      <w:r w:rsidRPr="003E0A79">
        <w:rPr>
          <w:spacing w:val="-1"/>
          <w:szCs w:val="24"/>
        </w:rPr>
        <w:t>practices</w:t>
      </w:r>
      <w:r w:rsidRPr="003E0A79">
        <w:rPr>
          <w:szCs w:val="24"/>
        </w:rPr>
        <w:t xml:space="preserve"> </w:t>
      </w:r>
      <w:r w:rsidRPr="003E0A79">
        <w:rPr>
          <w:spacing w:val="-1"/>
          <w:szCs w:val="24"/>
        </w:rPr>
        <w:t>and business</w:t>
      </w:r>
      <w:r w:rsidRPr="003E0A79">
        <w:rPr>
          <w:spacing w:val="-2"/>
          <w:szCs w:val="24"/>
        </w:rPr>
        <w:t xml:space="preserve"> </w:t>
      </w:r>
      <w:r w:rsidRPr="003E0A79">
        <w:rPr>
          <w:spacing w:val="-1"/>
          <w:szCs w:val="24"/>
        </w:rPr>
        <w:t>plans,</w:t>
      </w:r>
      <w:r w:rsidRPr="003E0A79">
        <w:rPr>
          <w:spacing w:val="-2"/>
          <w:szCs w:val="24"/>
        </w:rPr>
        <w:t xml:space="preserve"> </w:t>
      </w:r>
      <w:r w:rsidRPr="003E0A79">
        <w:rPr>
          <w:spacing w:val="-1"/>
          <w:szCs w:val="24"/>
        </w:rPr>
        <w:t>rather than</w:t>
      </w:r>
      <w:r w:rsidRPr="003E0A79">
        <w:rPr>
          <w:spacing w:val="1"/>
          <w:szCs w:val="24"/>
        </w:rPr>
        <w:t xml:space="preserve"> </w:t>
      </w:r>
      <w:r w:rsidRPr="003E0A79">
        <w:rPr>
          <w:spacing w:val="-2"/>
          <w:szCs w:val="24"/>
        </w:rPr>
        <w:t>viewed</w:t>
      </w:r>
      <w:r w:rsidRPr="003E0A79">
        <w:rPr>
          <w:spacing w:val="1"/>
          <w:szCs w:val="24"/>
        </w:rPr>
        <w:t xml:space="preserve"> </w:t>
      </w:r>
      <w:r w:rsidRPr="003E0A79">
        <w:rPr>
          <w:szCs w:val="24"/>
        </w:rPr>
        <w:t>or</w:t>
      </w:r>
      <w:r w:rsidRPr="003E0A79">
        <w:rPr>
          <w:spacing w:val="-1"/>
          <w:szCs w:val="24"/>
        </w:rPr>
        <w:t xml:space="preserve"> practised </w:t>
      </w:r>
      <w:r w:rsidRPr="003E0A79">
        <w:rPr>
          <w:szCs w:val="24"/>
        </w:rPr>
        <w:t>as a</w:t>
      </w:r>
      <w:r w:rsidRPr="003E0A79">
        <w:rPr>
          <w:spacing w:val="-4"/>
          <w:szCs w:val="24"/>
        </w:rPr>
        <w:t xml:space="preserve"> </w:t>
      </w:r>
      <w:r w:rsidRPr="003E0A79">
        <w:rPr>
          <w:spacing w:val="-1"/>
          <w:szCs w:val="24"/>
        </w:rPr>
        <w:t>separate</w:t>
      </w:r>
      <w:r w:rsidRPr="003E0A79">
        <w:rPr>
          <w:spacing w:val="1"/>
          <w:szCs w:val="24"/>
        </w:rPr>
        <w:t xml:space="preserve"> </w:t>
      </w:r>
      <w:r w:rsidRPr="003E0A79">
        <w:rPr>
          <w:spacing w:val="-1"/>
          <w:szCs w:val="24"/>
        </w:rPr>
        <w:t>programme,</w:t>
      </w:r>
      <w:r w:rsidRPr="003E0A79">
        <w:rPr>
          <w:spacing w:val="-2"/>
          <w:szCs w:val="24"/>
        </w:rPr>
        <w:t xml:space="preserve"> </w:t>
      </w:r>
      <w:r w:rsidRPr="003E0A79">
        <w:rPr>
          <w:szCs w:val="24"/>
        </w:rPr>
        <w:t>and</w:t>
      </w:r>
      <w:r w:rsidRPr="003E0A79">
        <w:rPr>
          <w:spacing w:val="-1"/>
          <w:szCs w:val="24"/>
        </w:rPr>
        <w:t xml:space="preserve"> that</w:t>
      </w:r>
      <w:r w:rsidRPr="003E0A79">
        <w:rPr>
          <w:spacing w:val="93"/>
          <w:szCs w:val="24"/>
        </w:rPr>
        <w:t xml:space="preserve"> </w:t>
      </w:r>
      <w:r w:rsidRPr="003E0A79">
        <w:rPr>
          <w:spacing w:val="-1"/>
          <w:szCs w:val="24"/>
        </w:rPr>
        <w:t>responsibility</w:t>
      </w:r>
      <w:r w:rsidRPr="003E0A79">
        <w:rPr>
          <w:spacing w:val="-2"/>
          <w:szCs w:val="24"/>
        </w:rPr>
        <w:t xml:space="preserve"> </w:t>
      </w:r>
      <w:r w:rsidRPr="003E0A79">
        <w:rPr>
          <w:szCs w:val="24"/>
        </w:rPr>
        <w:t>for</w:t>
      </w:r>
      <w:r w:rsidRPr="003E0A79">
        <w:rPr>
          <w:spacing w:val="-1"/>
          <w:szCs w:val="24"/>
        </w:rPr>
        <w:t xml:space="preserve"> implementation</w:t>
      </w:r>
      <w:r w:rsidRPr="003E0A79">
        <w:rPr>
          <w:spacing w:val="1"/>
          <w:szCs w:val="24"/>
        </w:rPr>
        <w:t xml:space="preserve"> </w:t>
      </w:r>
      <w:r w:rsidRPr="003E0A79">
        <w:rPr>
          <w:spacing w:val="-1"/>
          <w:szCs w:val="24"/>
        </w:rPr>
        <w:t>is</w:t>
      </w:r>
      <w:r w:rsidRPr="003E0A79">
        <w:rPr>
          <w:szCs w:val="24"/>
        </w:rPr>
        <w:t xml:space="preserve"> </w:t>
      </w:r>
      <w:r w:rsidRPr="003E0A79">
        <w:rPr>
          <w:spacing w:val="-1"/>
          <w:szCs w:val="24"/>
        </w:rPr>
        <w:t xml:space="preserve">accepted </w:t>
      </w:r>
      <w:r w:rsidRPr="003E0A79">
        <w:rPr>
          <w:szCs w:val="24"/>
        </w:rPr>
        <w:t xml:space="preserve">at </w:t>
      </w:r>
      <w:r w:rsidRPr="003E0A79">
        <w:rPr>
          <w:spacing w:val="-1"/>
          <w:szCs w:val="24"/>
        </w:rPr>
        <w:t>all</w:t>
      </w:r>
      <w:r w:rsidRPr="003E0A79">
        <w:rPr>
          <w:szCs w:val="24"/>
        </w:rPr>
        <w:t xml:space="preserve"> </w:t>
      </w:r>
      <w:r w:rsidRPr="003E0A79">
        <w:rPr>
          <w:spacing w:val="-1"/>
          <w:szCs w:val="24"/>
        </w:rPr>
        <w:t>levels</w:t>
      </w:r>
      <w:r w:rsidRPr="003E0A79">
        <w:rPr>
          <w:szCs w:val="24"/>
        </w:rPr>
        <w:t xml:space="preserve"> </w:t>
      </w:r>
      <w:r w:rsidRPr="003E0A79">
        <w:rPr>
          <w:spacing w:val="-1"/>
          <w:szCs w:val="24"/>
        </w:rPr>
        <w:t>of</w:t>
      </w:r>
      <w:r w:rsidRPr="003E0A79">
        <w:rPr>
          <w:szCs w:val="24"/>
        </w:rPr>
        <w:t xml:space="preserve"> the</w:t>
      </w:r>
      <w:r w:rsidRPr="003E0A79">
        <w:rPr>
          <w:spacing w:val="1"/>
          <w:szCs w:val="24"/>
        </w:rPr>
        <w:t xml:space="preserve"> </w:t>
      </w:r>
      <w:r w:rsidRPr="003E0A79">
        <w:rPr>
          <w:spacing w:val="-1"/>
          <w:szCs w:val="24"/>
        </w:rPr>
        <w:t>CCG.</w:t>
      </w:r>
    </w:p>
    <w:p w14:paraId="2C58C45D" w14:textId="77777777" w:rsidR="00D43A59" w:rsidRPr="003E0A79" w:rsidRDefault="00D43A59" w:rsidP="00D43A59">
      <w:pPr>
        <w:pStyle w:val="BodyText"/>
        <w:kinsoku w:val="0"/>
        <w:overflowPunct w:val="0"/>
        <w:ind w:right="115"/>
        <w:rPr>
          <w:spacing w:val="-1"/>
          <w:szCs w:val="24"/>
        </w:rPr>
      </w:pPr>
      <w:r w:rsidRPr="003E0A79">
        <w:rPr>
          <w:szCs w:val="24"/>
        </w:rPr>
        <w:t xml:space="preserve">An aligned MSE CCG </w:t>
      </w:r>
      <w:r w:rsidRPr="003E0A79">
        <w:rPr>
          <w:spacing w:val="-1"/>
          <w:szCs w:val="24"/>
        </w:rPr>
        <w:t>Risk</w:t>
      </w:r>
      <w:r w:rsidRPr="003E0A79">
        <w:rPr>
          <w:szCs w:val="24"/>
        </w:rPr>
        <w:t xml:space="preserve"> </w:t>
      </w:r>
      <w:r w:rsidRPr="003E0A79">
        <w:rPr>
          <w:spacing w:val="-1"/>
          <w:szCs w:val="24"/>
        </w:rPr>
        <w:t>Management</w:t>
      </w:r>
      <w:r w:rsidRPr="003E0A79">
        <w:rPr>
          <w:spacing w:val="-2"/>
          <w:szCs w:val="24"/>
        </w:rPr>
        <w:t xml:space="preserve"> </w:t>
      </w:r>
      <w:r w:rsidRPr="003E0A79">
        <w:rPr>
          <w:spacing w:val="-1"/>
          <w:szCs w:val="24"/>
        </w:rPr>
        <w:t>Policy,</w:t>
      </w:r>
      <w:r w:rsidRPr="003E0A79">
        <w:rPr>
          <w:szCs w:val="24"/>
        </w:rPr>
        <w:t xml:space="preserve"> </w:t>
      </w:r>
      <w:r w:rsidRPr="003E0A79">
        <w:rPr>
          <w:spacing w:val="-1"/>
          <w:szCs w:val="24"/>
        </w:rPr>
        <w:t>which</w:t>
      </w:r>
      <w:r w:rsidRPr="003E0A79">
        <w:rPr>
          <w:spacing w:val="1"/>
          <w:szCs w:val="24"/>
        </w:rPr>
        <w:t xml:space="preserve"> </w:t>
      </w:r>
      <w:r w:rsidRPr="003E0A79">
        <w:rPr>
          <w:spacing w:val="-1"/>
          <w:szCs w:val="24"/>
        </w:rPr>
        <w:t>encompasses</w:t>
      </w:r>
      <w:r w:rsidRPr="003E0A79">
        <w:rPr>
          <w:szCs w:val="24"/>
        </w:rPr>
        <w:t xml:space="preserve"> </w:t>
      </w:r>
      <w:r w:rsidRPr="003E0A79">
        <w:rPr>
          <w:spacing w:val="-1"/>
          <w:szCs w:val="24"/>
        </w:rPr>
        <w:t>both clinical</w:t>
      </w:r>
      <w:r w:rsidRPr="003E0A79">
        <w:rPr>
          <w:szCs w:val="24"/>
        </w:rPr>
        <w:t xml:space="preserve"> </w:t>
      </w:r>
      <w:r w:rsidRPr="003E0A79">
        <w:rPr>
          <w:spacing w:val="-1"/>
          <w:szCs w:val="24"/>
        </w:rPr>
        <w:t>and non-clinical</w:t>
      </w:r>
      <w:r w:rsidRPr="003E0A79">
        <w:rPr>
          <w:szCs w:val="24"/>
        </w:rPr>
        <w:t xml:space="preserve"> </w:t>
      </w:r>
      <w:r w:rsidRPr="003E0A79">
        <w:rPr>
          <w:spacing w:val="-1"/>
          <w:szCs w:val="24"/>
        </w:rPr>
        <w:t>risks and the CCGs’ agreed risk appetite statement,</w:t>
      </w:r>
      <w:r w:rsidRPr="003E0A79">
        <w:rPr>
          <w:szCs w:val="24"/>
        </w:rPr>
        <w:t xml:space="preserve"> </w:t>
      </w:r>
      <w:r w:rsidRPr="003E0A79">
        <w:rPr>
          <w:spacing w:val="-1"/>
          <w:szCs w:val="24"/>
        </w:rPr>
        <w:t>was</w:t>
      </w:r>
      <w:r w:rsidRPr="003E0A79">
        <w:rPr>
          <w:szCs w:val="24"/>
        </w:rPr>
        <w:t xml:space="preserve"> </w:t>
      </w:r>
      <w:r w:rsidRPr="003E0A79">
        <w:rPr>
          <w:spacing w:val="-1"/>
          <w:szCs w:val="24"/>
        </w:rPr>
        <w:t>approved by all MSE CCGs in November 2021</w:t>
      </w:r>
      <w:r w:rsidRPr="003E0A79">
        <w:rPr>
          <w:szCs w:val="24"/>
        </w:rPr>
        <w:t>.</w:t>
      </w:r>
      <w:r w:rsidRPr="003E0A79">
        <w:rPr>
          <w:spacing w:val="65"/>
          <w:szCs w:val="24"/>
        </w:rPr>
        <w:t xml:space="preserve"> </w:t>
      </w:r>
      <w:r w:rsidRPr="003E0A79">
        <w:rPr>
          <w:spacing w:val="-1"/>
          <w:szCs w:val="24"/>
        </w:rPr>
        <w:t>The Policy</w:t>
      </w:r>
      <w:r w:rsidRPr="003E0A79">
        <w:rPr>
          <w:spacing w:val="-2"/>
          <w:szCs w:val="24"/>
        </w:rPr>
        <w:t xml:space="preserve"> </w:t>
      </w:r>
      <w:r w:rsidRPr="003E0A79">
        <w:rPr>
          <w:spacing w:val="-1"/>
          <w:szCs w:val="24"/>
        </w:rPr>
        <w:t>is</w:t>
      </w:r>
      <w:r w:rsidRPr="003E0A79">
        <w:rPr>
          <w:szCs w:val="24"/>
        </w:rPr>
        <w:t xml:space="preserve"> </w:t>
      </w:r>
      <w:r w:rsidRPr="003E0A79">
        <w:rPr>
          <w:spacing w:val="-1"/>
          <w:szCs w:val="24"/>
        </w:rPr>
        <w:t>based</w:t>
      </w:r>
      <w:r w:rsidRPr="003E0A79">
        <w:rPr>
          <w:spacing w:val="1"/>
          <w:szCs w:val="24"/>
        </w:rPr>
        <w:t xml:space="preserve"> </w:t>
      </w:r>
      <w:r w:rsidRPr="003E0A79">
        <w:rPr>
          <w:szCs w:val="24"/>
        </w:rPr>
        <w:t>on</w:t>
      </w:r>
      <w:r w:rsidRPr="003E0A79">
        <w:rPr>
          <w:spacing w:val="-1"/>
          <w:szCs w:val="24"/>
        </w:rPr>
        <w:t xml:space="preserve"> the</w:t>
      </w:r>
      <w:r w:rsidRPr="003E0A79">
        <w:rPr>
          <w:spacing w:val="1"/>
          <w:szCs w:val="24"/>
        </w:rPr>
        <w:t xml:space="preserve"> </w:t>
      </w:r>
      <w:r w:rsidRPr="003E0A79">
        <w:rPr>
          <w:spacing w:val="-1"/>
          <w:szCs w:val="24"/>
        </w:rPr>
        <w:t>Australia/New</w:t>
      </w:r>
      <w:r w:rsidRPr="003E0A79">
        <w:rPr>
          <w:spacing w:val="-3"/>
          <w:szCs w:val="24"/>
        </w:rPr>
        <w:t xml:space="preserve"> </w:t>
      </w:r>
      <w:r w:rsidRPr="003E0A79">
        <w:rPr>
          <w:spacing w:val="-1"/>
          <w:szCs w:val="24"/>
        </w:rPr>
        <w:t>Zealand</w:t>
      </w:r>
      <w:r w:rsidRPr="003E0A79">
        <w:rPr>
          <w:spacing w:val="1"/>
          <w:szCs w:val="24"/>
        </w:rPr>
        <w:t xml:space="preserve"> </w:t>
      </w:r>
      <w:r w:rsidRPr="003E0A79">
        <w:rPr>
          <w:spacing w:val="-1"/>
          <w:szCs w:val="24"/>
        </w:rPr>
        <w:t>risk</w:t>
      </w:r>
      <w:r w:rsidRPr="003E0A79">
        <w:rPr>
          <w:szCs w:val="24"/>
        </w:rPr>
        <w:t xml:space="preserve"> </w:t>
      </w:r>
      <w:r w:rsidRPr="003E0A79">
        <w:rPr>
          <w:spacing w:val="-1"/>
          <w:szCs w:val="24"/>
        </w:rPr>
        <w:t>management</w:t>
      </w:r>
      <w:r w:rsidRPr="003E0A79">
        <w:rPr>
          <w:spacing w:val="69"/>
          <w:szCs w:val="24"/>
        </w:rPr>
        <w:t xml:space="preserve"> </w:t>
      </w:r>
      <w:r w:rsidRPr="003E0A79">
        <w:rPr>
          <w:spacing w:val="-1"/>
          <w:szCs w:val="24"/>
        </w:rPr>
        <w:t>model</w:t>
      </w:r>
      <w:r w:rsidRPr="003E0A79">
        <w:rPr>
          <w:szCs w:val="24"/>
        </w:rPr>
        <w:t xml:space="preserve"> </w:t>
      </w:r>
      <w:r w:rsidRPr="003E0A79">
        <w:rPr>
          <w:spacing w:val="-1"/>
          <w:szCs w:val="24"/>
        </w:rPr>
        <w:t>and</w:t>
      </w:r>
      <w:r w:rsidRPr="003E0A79">
        <w:rPr>
          <w:spacing w:val="1"/>
          <w:szCs w:val="24"/>
        </w:rPr>
        <w:t xml:space="preserve"> </w:t>
      </w:r>
      <w:r w:rsidRPr="003E0A79">
        <w:rPr>
          <w:spacing w:val="-1"/>
          <w:szCs w:val="24"/>
        </w:rPr>
        <w:t>sets</w:t>
      </w:r>
      <w:r w:rsidRPr="003E0A79">
        <w:rPr>
          <w:szCs w:val="24"/>
        </w:rPr>
        <w:t xml:space="preserve"> </w:t>
      </w:r>
      <w:r w:rsidRPr="003E0A79">
        <w:rPr>
          <w:spacing w:val="-1"/>
          <w:szCs w:val="24"/>
        </w:rPr>
        <w:t>out</w:t>
      </w:r>
      <w:r w:rsidRPr="003E0A79">
        <w:rPr>
          <w:szCs w:val="24"/>
        </w:rPr>
        <w:t xml:space="preserve"> </w:t>
      </w:r>
      <w:r w:rsidRPr="003E0A79">
        <w:rPr>
          <w:spacing w:val="-1"/>
          <w:szCs w:val="24"/>
        </w:rPr>
        <w:t>the risk</w:t>
      </w:r>
      <w:r w:rsidRPr="003E0A79">
        <w:rPr>
          <w:szCs w:val="24"/>
        </w:rPr>
        <w:t xml:space="preserve"> </w:t>
      </w:r>
      <w:r w:rsidRPr="003E0A79">
        <w:rPr>
          <w:spacing w:val="-1"/>
          <w:szCs w:val="24"/>
        </w:rPr>
        <w:t>management</w:t>
      </w:r>
      <w:r w:rsidRPr="003E0A79">
        <w:rPr>
          <w:szCs w:val="24"/>
        </w:rPr>
        <w:t xml:space="preserve"> </w:t>
      </w:r>
      <w:r w:rsidRPr="003E0A79">
        <w:rPr>
          <w:spacing w:val="-1"/>
          <w:szCs w:val="24"/>
        </w:rPr>
        <w:t>system,</w:t>
      </w:r>
      <w:r w:rsidRPr="003E0A79">
        <w:rPr>
          <w:spacing w:val="-2"/>
          <w:szCs w:val="24"/>
        </w:rPr>
        <w:t xml:space="preserve"> </w:t>
      </w:r>
      <w:r w:rsidRPr="003E0A79">
        <w:rPr>
          <w:spacing w:val="-1"/>
          <w:szCs w:val="24"/>
        </w:rPr>
        <w:t>supporting processes</w:t>
      </w:r>
      <w:r w:rsidRPr="003E0A79">
        <w:rPr>
          <w:szCs w:val="24"/>
        </w:rPr>
        <w:t xml:space="preserve"> </w:t>
      </w:r>
      <w:r w:rsidRPr="003E0A79">
        <w:rPr>
          <w:spacing w:val="-1"/>
          <w:szCs w:val="24"/>
        </w:rPr>
        <w:t>and</w:t>
      </w:r>
      <w:r w:rsidRPr="003E0A79">
        <w:rPr>
          <w:spacing w:val="1"/>
          <w:szCs w:val="24"/>
        </w:rPr>
        <w:t xml:space="preserve"> </w:t>
      </w:r>
      <w:r w:rsidRPr="003E0A79">
        <w:rPr>
          <w:spacing w:val="-1"/>
          <w:szCs w:val="24"/>
        </w:rPr>
        <w:t>reporting</w:t>
      </w:r>
      <w:r w:rsidRPr="003E0A79">
        <w:rPr>
          <w:spacing w:val="65"/>
          <w:szCs w:val="24"/>
        </w:rPr>
        <w:t xml:space="preserve"> </w:t>
      </w:r>
      <w:r w:rsidRPr="003E0A79">
        <w:rPr>
          <w:spacing w:val="-1"/>
          <w:szCs w:val="24"/>
        </w:rPr>
        <w:t>arrangements</w:t>
      </w:r>
      <w:r w:rsidRPr="003E0A79">
        <w:rPr>
          <w:szCs w:val="24"/>
        </w:rPr>
        <w:t xml:space="preserve"> </w:t>
      </w:r>
      <w:r w:rsidRPr="003E0A79">
        <w:rPr>
          <w:spacing w:val="-1"/>
          <w:szCs w:val="24"/>
        </w:rPr>
        <w:t>which</w:t>
      </w:r>
      <w:r w:rsidRPr="003E0A79">
        <w:rPr>
          <w:spacing w:val="1"/>
          <w:szCs w:val="24"/>
        </w:rPr>
        <w:t xml:space="preserve"> </w:t>
      </w:r>
      <w:r w:rsidRPr="003E0A79">
        <w:rPr>
          <w:spacing w:val="-1"/>
          <w:szCs w:val="24"/>
        </w:rPr>
        <w:t>aim</w:t>
      </w:r>
      <w:r w:rsidRPr="003E0A79">
        <w:rPr>
          <w:spacing w:val="2"/>
          <w:szCs w:val="24"/>
        </w:rPr>
        <w:t xml:space="preserve"> </w:t>
      </w:r>
      <w:r w:rsidRPr="003E0A79">
        <w:rPr>
          <w:spacing w:val="-1"/>
          <w:szCs w:val="24"/>
        </w:rPr>
        <w:t>to</w:t>
      </w:r>
      <w:r w:rsidRPr="003E0A79">
        <w:rPr>
          <w:spacing w:val="1"/>
          <w:szCs w:val="24"/>
        </w:rPr>
        <w:t xml:space="preserve"> </w:t>
      </w:r>
      <w:r w:rsidRPr="003E0A79">
        <w:rPr>
          <w:spacing w:val="-1"/>
          <w:szCs w:val="24"/>
        </w:rPr>
        <w:t>protect</w:t>
      </w:r>
      <w:r w:rsidRPr="003E0A79">
        <w:rPr>
          <w:spacing w:val="-2"/>
          <w:szCs w:val="24"/>
        </w:rPr>
        <w:t xml:space="preserve"> </w:t>
      </w:r>
      <w:r w:rsidRPr="003E0A79">
        <w:rPr>
          <w:spacing w:val="-1"/>
          <w:szCs w:val="24"/>
        </w:rPr>
        <w:t>patients,</w:t>
      </w:r>
      <w:r w:rsidRPr="003E0A79">
        <w:rPr>
          <w:spacing w:val="-2"/>
          <w:szCs w:val="24"/>
        </w:rPr>
        <w:t xml:space="preserve"> </w:t>
      </w:r>
      <w:r w:rsidRPr="003E0A79">
        <w:rPr>
          <w:spacing w:val="-1"/>
          <w:szCs w:val="24"/>
        </w:rPr>
        <w:t>the</w:t>
      </w:r>
      <w:r w:rsidRPr="003E0A79">
        <w:rPr>
          <w:spacing w:val="1"/>
          <w:szCs w:val="24"/>
        </w:rPr>
        <w:t xml:space="preserve"> </w:t>
      </w:r>
      <w:r w:rsidRPr="003E0A79">
        <w:rPr>
          <w:spacing w:val="-1"/>
          <w:szCs w:val="24"/>
        </w:rPr>
        <w:t>public,</w:t>
      </w:r>
      <w:r w:rsidRPr="003E0A79">
        <w:rPr>
          <w:szCs w:val="24"/>
        </w:rPr>
        <w:t xml:space="preserve"> </w:t>
      </w:r>
      <w:r w:rsidRPr="003E0A79">
        <w:rPr>
          <w:spacing w:val="-1"/>
          <w:szCs w:val="24"/>
        </w:rPr>
        <w:t>staff</w:t>
      </w:r>
      <w:r w:rsidRPr="003E0A79">
        <w:rPr>
          <w:szCs w:val="24"/>
        </w:rPr>
        <w:t xml:space="preserve"> and</w:t>
      </w:r>
      <w:r w:rsidRPr="003E0A79">
        <w:rPr>
          <w:spacing w:val="-1"/>
          <w:szCs w:val="24"/>
        </w:rPr>
        <w:t xml:space="preserve"> the CCG’s</w:t>
      </w:r>
      <w:r w:rsidRPr="003E0A79">
        <w:rPr>
          <w:szCs w:val="24"/>
        </w:rPr>
        <w:t xml:space="preserve"> assets</w:t>
      </w:r>
      <w:r w:rsidRPr="003E0A79">
        <w:rPr>
          <w:spacing w:val="-2"/>
          <w:szCs w:val="24"/>
        </w:rPr>
        <w:t xml:space="preserve"> </w:t>
      </w:r>
      <w:r w:rsidRPr="003E0A79">
        <w:rPr>
          <w:szCs w:val="24"/>
        </w:rPr>
        <w:t>and</w:t>
      </w:r>
      <w:r w:rsidRPr="003E0A79">
        <w:rPr>
          <w:spacing w:val="-1"/>
          <w:szCs w:val="24"/>
        </w:rPr>
        <w:t xml:space="preserve"> reputation.</w:t>
      </w:r>
      <w:r w:rsidRPr="003E0A79">
        <w:rPr>
          <w:spacing w:val="63"/>
          <w:szCs w:val="24"/>
        </w:rPr>
        <w:t xml:space="preserve"> </w:t>
      </w:r>
    </w:p>
    <w:p w14:paraId="029A8621" w14:textId="77777777" w:rsidR="00D43A59" w:rsidRPr="003E0A79" w:rsidRDefault="00D43A59" w:rsidP="00D43A59">
      <w:pPr>
        <w:pStyle w:val="BodyText"/>
        <w:kinsoku w:val="0"/>
        <w:overflowPunct w:val="0"/>
        <w:ind w:right="330"/>
        <w:rPr>
          <w:spacing w:val="-1"/>
          <w:szCs w:val="24"/>
        </w:rPr>
      </w:pPr>
      <w:r w:rsidRPr="003E0A79">
        <w:rPr>
          <w:szCs w:val="24"/>
        </w:rPr>
        <w:t>In</w:t>
      </w:r>
      <w:r w:rsidRPr="003E0A79">
        <w:rPr>
          <w:spacing w:val="1"/>
          <w:szCs w:val="24"/>
        </w:rPr>
        <w:t xml:space="preserve"> </w:t>
      </w:r>
      <w:r w:rsidRPr="003E0A79">
        <w:rPr>
          <w:spacing w:val="-1"/>
          <w:szCs w:val="24"/>
        </w:rPr>
        <w:t>line</w:t>
      </w:r>
      <w:r w:rsidRPr="003E0A79">
        <w:rPr>
          <w:spacing w:val="1"/>
          <w:szCs w:val="24"/>
        </w:rPr>
        <w:t xml:space="preserve"> </w:t>
      </w:r>
      <w:r w:rsidRPr="003E0A79">
        <w:rPr>
          <w:spacing w:val="-1"/>
          <w:szCs w:val="24"/>
        </w:rPr>
        <w:t>with</w:t>
      </w:r>
      <w:r w:rsidRPr="003E0A79">
        <w:rPr>
          <w:spacing w:val="1"/>
          <w:szCs w:val="24"/>
        </w:rPr>
        <w:t xml:space="preserve"> </w:t>
      </w:r>
      <w:r w:rsidRPr="003E0A79">
        <w:rPr>
          <w:spacing w:val="-1"/>
          <w:szCs w:val="24"/>
        </w:rPr>
        <w:t>NHS</w:t>
      </w:r>
      <w:r w:rsidRPr="003E0A79">
        <w:rPr>
          <w:spacing w:val="1"/>
          <w:szCs w:val="24"/>
        </w:rPr>
        <w:t xml:space="preserve"> </w:t>
      </w:r>
      <w:r w:rsidRPr="003E0A79">
        <w:rPr>
          <w:spacing w:val="-1"/>
          <w:szCs w:val="24"/>
        </w:rPr>
        <w:t>guidance</w:t>
      </w:r>
      <w:r w:rsidRPr="003E0A79">
        <w:rPr>
          <w:spacing w:val="1"/>
          <w:szCs w:val="24"/>
        </w:rPr>
        <w:t xml:space="preserve"> </w:t>
      </w:r>
      <w:r w:rsidRPr="003E0A79">
        <w:rPr>
          <w:spacing w:val="-1"/>
          <w:szCs w:val="24"/>
        </w:rPr>
        <w:t>to</w:t>
      </w:r>
      <w:r w:rsidRPr="003E0A79">
        <w:rPr>
          <w:spacing w:val="1"/>
          <w:szCs w:val="24"/>
        </w:rPr>
        <w:t xml:space="preserve"> </w:t>
      </w:r>
      <w:r w:rsidRPr="003E0A79">
        <w:rPr>
          <w:spacing w:val="-1"/>
          <w:szCs w:val="24"/>
        </w:rPr>
        <w:t>reduce</w:t>
      </w:r>
      <w:r w:rsidRPr="003E0A79">
        <w:rPr>
          <w:spacing w:val="1"/>
          <w:szCs w:val="24"/>
        </w:rPr>
        <w:t xml:space="preserve"> </w:t>
      </w:r>
      <w:r w:rsidRPr="003E0A79">
        <w:rPr>
          <w:spacing w:val="-1"/>
          <w:szCs w:val="24"/>
        </w:rPr>
        <w:t>the burden</w:t>
      </w:r>
      <w:r w:rsidRPr="003E0A79">
        <w:rPr>
          <w:spacing w:val="1"/>
          <w:szCs w:val="24"/>
        </w:rPr>
        <w:t xml:space="preserve"> </w:t>
      </w:r>
      <w:r w:rsidRPr="003E0A79">
        <w:rPr>
          <w:spacing w:val="-1"/>
          <w:szCs w:val="24"/>
        </w:rPr>
        <w:t>on</w:t>
      </w:r>
      <w:r w:rsidRPr="003E0A79">
        <w:rPr>
          <w:spacing w:val="1"/>
          <w:szCs w:val="24"/>
        </w:rPr>
        <w:t xml:space="preserve"> </w:t>
      </w:r>
      <w:r w:rsidRPr="003E0A79">
        <w:rPr>
          <w:spacing w:val="-1"/>
          <w:szCs w:val="24"/>
        </w:rPr>
        <w:t>staff during the pandemic,</w:t>
      </w:r>
      <w:r w:rsidRPr="003E0A79">
        <w:rPr>
          <w:spacing w:val="-2"/>
          <w:szCs w:val="24"/>
        </w:rPr>
        <w:t xml:space="preserve"> </w:t>
      </w:r>
      <w:r w:rsidRPr="003E0A79">
        <w:rPr>
          <w:szCs w:val="24"/>
        </w:rPr>
        <w:t>the</w:t>
      </w:r>
      <w:r w:rsidRPr="003E0A79">
        <w:rPr>
          <w:spacing w:val="-1"/>
          <w:szCs w:val="24"/>
        </w:rPr>
        <w:t xml:space="preserve"> usual</w:t>
      </w:r>
      <w:r w:rsidRPr="003E0A79">
        <w:rPr>
          <w:szCs w:val="24"/>
        </w:rPr>
        <w:t xml:space="preserve"> </w:t>
      </w:r>
      <w:r w:rsidRPr="003E0A79">
        <w:rPr>
          <w:spacing w:val="-1"/>
          <w:szCs w:val="24"/>
        </w:rPr>
        <w:t>risk</w:t>
      </w:r>
      <w:r w:rsidRPr="003E0A79">
        <w:rPr>
          <w:szCs w:val="24"/>
        </w:rPr>
        <w:t xml:space="preserve"> </w:t>
      </w:r>
      <w:r w:rsidRPr="003E0A79">
        <w:rPr>
          <w:spacing w:val="-1"/>
          <w:szCs w:val="24"/>
        </w:rPr>
        <w:t>management</w:t>
      </w:r>
      <w:r w:rsidRPr="003E0A79">
        <w:rPr>
          <w:spacing w:val="-2"/>
          <w:szCs w:val="24"/>
        </w:rPr>
        <w:t xml:space="preserve"> </w:t>
      </w:r>
      <w:r w:rsidRPr="003E0A79">
        <w:rPr>
          <w:spacing w:val="-1"/>
          <w:szCs w:val="24"/>
        </w:rPr>
        <w:t>processes were</w:t>
      </w:r>
      <w:r w:rsidRPr="003E0A79">
        <w:rPr>
          <w:spacing w:val="1"/>
          <w:szCs w:val="24"/>
        </w:rPr>
        <w:t xml:space="preserve"> </w:t>
      </w:r>
      <w:r w:rsidRPr="003E0A79">
        <w:rPr>
          <w:szCs w:val="24"/>
        </w:rPr>
        <w:t>paused</w:t>
      </w:r>
      <w:r w:rsidRPr="003E0A79">
        <w:rPr>
          <w:spacing w:val="-1"/>
          <w:szCs w:val="24"/>
        </w:rPr>
        <w:t xml:space="preserve"> </w:t>
      </w:r>
      <w:r w:rsidRPr="003E0A79">
        <w:rPr>
          <w:szCs w:val="24"/>
        </w:rPr>
        <w:t xml:space="preserve">during April 2021 and again in December to February 2022.  During these periods, the CIMT Risk Register was in use. </w:t>
      </w:r>
      <w:r w:rsidRPr="003E0A79">
        <w:rPr>
          <w:spacing w:val="-1"/>
          <w:szCs w:val="24"/>
        </w:rPr>
        <w:t xml:space="preserve">  </w:t>
      </w:r>
    </w:p>
    <w:p w14:paraId="2B7A348F" w14:textId="6EFE1AEB" w:rsidR="00D43A59" w:rsidRPr="003E0A79" w:rsidRDefault="00D43A59" w:rsidP="00D43A59">
      <w:pPr>
        <w:pStyle w:val="BodyText"/>
        <w:kinsoku w:val="0"/>
        <w:overflowPunct w:val="0"/>
        <w:ind w:right="330"/>
        <w:rPr>
          <w:spacing w:val="-1"/>
          <w:szCs w:val="24"/>
        </w:rPr>
      </w:pPr>
      <w:r w:rsidRPr="003E0A79">
        <w:rPr>
          <w:spacing w:val="-1"/>
          <w:szCs w:val="24"/>
        </w:rPr>
        <w:t>The overarching MSE</w:t>
      </w:r>
      <w:r w:rsidRPr="003E0A79">
        <w:rPr>
          <w:spacing w:val="1"/>
          <w:szCs w:val="24"/>
        </w:rPr>
        <w:t xml:space="preserve"> </w:t>
      </w:r>
      <w:r w:rsidRPr="003E0A79">
        <w:rPr>
          <w:spacing w:val="-1"/>
          <w:szCs w:val="24"/>
        </w:rPr>
        <w:t>Board Assurance</w:t>
      </w:r>
      <w:r w:rsidRPr="003E0A79">
        <w:rPr>
          <w:spacing w:val="1"/>
          <w:szCs w:val="24"/>
        </w:rPr>
        <w:t xml:space="preserve"> </w:t>
      </w:r>
      <w:r w:rsidRPr="003E0A79">
        <w:rPr>
          <w:spacing w:val="-1"/>
          <w:szCs w:val="24"/>
        </w:rPr>
        <w:t>Framework</w:t>
      </w:r>
      <w:r w:rsidRPr="003E0A79">
        <w:rPr>
          <w:szCs w:val="24"/>
        </w:rPr>
        <w:t xml:space="preserve"> </w:t>
      </w:r>
      <w:r w:rsidRPr="003E0A79">
        <w:rPr>
          <w:spacing w:val="-1"/>
          <w:szCs w:val="24"/>
        </w:rPr>
        <w:t>(BAF) originally implemented in June 2020, has been further developed.  Risks are mapped against the MSE CCGs common strategic objectives and key workstreams, these being:</w:t>
      </w:r>
    </w:p>
    <w:p w14:paraId="31D394D6" w14:textId="77777777" w:rsidR="00D43A59" w:rsidRPr="003E0A79" w:rsidRDefault="00D43A59" w:rsidP="000D3041">
      <w:pPr>
        <w:pStyle w:val="BodyText"/>
        <w:widowControl w:val="0"/>
        <w:numPr>
          <w:ilvl w:val="0"/>
          <w:numId w:val="19"/>
        </w:numPr>
        <w:kinsoku w:val="0"/>
        <w:overflowPunct w:val="0"/>
        <w:autoSpaceDE w:val="0"/>
        <w:autoSpaceDN w:val="0"/>
        <w:adjustRightInd w:val="0"/>
        <w:spacing w:before="0" w:after="0"/>
        <w:ind w:right="330"/>
        <w:rPr>
          <w:spacing w:val="-1"/>
          <w:szCs w:val="24"/>
        </w:rPr>
      </w:pPr>
      <w:r w:rsidRPr="003E0A79">
        <w:rPr>
          <w:spacing w:val="-1"/>
          <w:szCs w:val="24"/>
        </w:rPr>
        <w:t>Cancer and End of Life</w:t>
      </w:r>
    </w:p>
    <w:p w14:paraId="1D019E80" w14:textId="77777777" w:rsidR="00D43A59" w:rsidRPr="003E0A79" w:rsidRDefault="00D43A59" w:rsidP="000D3041">
      <w:pPr>
        <w:pStyle w:val="BodyText"/>
        <w:widowControl w:val="0"/>
        <w:numPr>
          <w:ilvl w:val="0"/>
          <w:numId w:val="19"/>
        </w:numPr>
        <w:kinsoku w:val="0"/>
        <w:overflowPunct w:val="0"/>
        <w:autoSpaceDE w:val="0"/>
        <w:autoSpaceDN w:val="0"/>
        <w:adjustRightInd w:val="0"/>
        <w:spacing w:before="0" w:after="0"/>
        <w:ind w:right="330"/>
        <w:rPr>
          <w:spacing w:val="-1"/>
          <w:szCs w:val="24"/>
        </w:rPr>
      </w:pPr>
      <w:r w:rsidRPr="003E0A79">
        <w:rPr>
          <w:spacing w:val="-1"/>
          <w:szCs w:val="24"/>
        </w:rPr>
        <w:t>Children and Young People</w:t>
      </w:r>
    </w:p>
    <w:p w14:paraId="622A5649" w14:textId="77777777" w:rsidR="00D43A59" w:rsidRPr="003E0A79" w:rsidRDefault="00D43A59" w:rsidP="000D3041">
      <w:pPr>
        <w:pStyle w:val="BodyText"/>
        <w:widowControl w:val="0"/>
        <w:numPr>
          <w:ilvl w:val="0"/>
          <w:numId w:val="19"/>
        </w:numPr>
        <w:kinsoku w:val="0"/>
        <w:overflowPunct w:val="0"/>
        <w:autoSpaceDE w:val="0"/>
        <w:autoSpaceDN w:val="0"/>
        <w:adjustRightInd w:val="0"/>
        <w:spacing w:before="0" w:after="0"/>
        <w:ind w:right="330"/>
        <w:rPr>
          <w:spacing w:val="-1"/>
          <w:szCs w:val="24"/>
        </w:rPr>
      </w:pPr>
      <w:r w:rsidRPr="003E0A79">
        <w:rPr>
          <w:spacing w:val="-1"/>
          <w:szCs w:val="24"/>
        </w:rPr>
        <w:t>Community</w:t>
      </w:r>
    </w:p>
    <w:p w14:paraId="0D3D1ACB" w14:textId="77777777" w:rsidR="00D43A59" w:rsidRPr="003E0A79" w:rsidRDefault="00D43A59" w:rsidP="000D3041">
      <w:pPr>
        <w:pStyle w:val="BodyText"/>
        <w:widowControl w:val="0"/>
        <w:numPr>
          <w:ilvl w:val="0"/>
          <w:numId w:val="19"/>
        </w:numPr>
        <w:kinsoku w:val="0"/>
        <w:overflowPunct w:val="0"/>
        <w:autoSpaceDE w:val="0"/>
        <w:autoSpaceDN w:val="0"/>
        <w:adjustRightInd w:val="0"/>
        <w:spacing w:before="0" w:after="0"/>
        <w:ind w:right="330"/>
        <w:rPr>
          <w:spacing w:val="-1"/>
          <w:szCs w:val="24"/>
        </w:rPr>
      </w:pPr>
      <w:r w:rsidRPr="003E0A79">
        <w:rPr>
          <w:spacing w:val="-1"/>
          <w:szCs w:val="24"/>
        </w:rPr>
        <w:t>Digital and Business Intelligence</w:t>
      </w:r>
    </w:p>
    <w:p w14:paraId="7C39A347" w14:textId="77777777" w:rsidR="00D43A59" w:rsidRPr="003E0A79" w:rsidRDefault="00D43A59" w:rsidP="000D3041">
      <w:pPr>
        <w:pStyle w:val="BodyText"/>
        <w:widowControl w:val="0"/>
        <w:numPr>
          <w:ilvl w:val="0"/>
          <w:numId w:val="19"/>
        </w:numPr>
        <w:kinsoku w:val="0"/>
        <w:overflowPunct w:val="0"/>
        <w:autoSpaceDE w:val="0"/>
        <w:autoSpaceDN w:val="0"/>
        <w:adjustRightInd w:val="0"/>
        <w:spacing w:before="0" w:after="0"/>
        <w:ind w:right="330"/>
        <w:rPr>
          <w:spacing w:val="-1"/>
          <w:szCs w:val="24"/>
        </w:rPr>
      </w:pPr>
      <w:r w:rsidRPr="003E0A79">
        <w:rPr>
          <w:spacing w:val="-1"/>
          <w:szCs w:val="24"/>
        </w:rPr>
        <w:t>Estates</w:t>
      </w:r>
    </w:p>
    <w:p w14:paraId="4A39CA36" w14:textId="77777777" w:rsidR="00D43A59" w:rsidRPr="003E0A79" w:rsidRDefault="00D43A59" w:rsidP="000D3041">
      <w:pPr>
        <w:pStyle w:val="BodyText"/>
        <w:widowControl w:val="0"/>
        <w:numPr>
          <w:ilvl w:val="0"/>
          <w:numId w:val="19"/>
        </w:numPr>
        <w:kinsoku w:val="0"/>
        <w:overflowPunct w:val="0"/>
        <w:autoSpaceDE w:val="0"/>
        <w:autoSpaceDN w:val="0"/>
        <w:adjustRightInd w:val="0"/>
        <w:spacing w:before="0" w:after="0"/>
        <w:ind w:right="330"/>
        <w:rPr>
          <w:spacing w:val="-1"/>
          <w:szCs w:val="24"/>
        </w:rPr>
      </w:pPr>
      <w:r w:rsidRPr="003E0A79">
        <w:rPr>
          <w:spacing w:val="-1"/>
          <w:szCs w:val="24"/>
        </w:rPr>
        <w:t>Finance</w:t>
      </w:r>
    </w:p>
    <w:p w14:paraId="260F575B" w14:textId="77777777" w:rsidR="00D43A59" w:rsidRPr="003E0A79" w:rsidRDefault="00D43A59" w:rsidP="000D3041">
      <w:pPr>
        <w:pStyle w:val="BodyText"/>
        <w:widowControl w:val="0"/>
        <w:numPr>
          <w:ilvl w:val="0"/>
          <w:numId w:val="19"/>
        </w:numPr>
        <w:kinsoku w:val="0"/>
        <w:overflowPunct w:val="0"/>
        <w:autoSpaceDE w:val="0"/>
        <w:autoSpaceDN w:val="0"/>
        <w:adjustRightInd w:val="0"/>
        <w:spacing w:before="0" w:after="0"/>
        <w:ind w:right="330"/>
        <w:rPr>
          <w:spacing w:val="-1"/>
          <w:szCs w:val="24"/>
        </w:rPr>
      </w:pPr>
      <w:r w:rsidRPr="003E0A79">
        <w:rPr>
          <w:spacing w:val="-1"/>
          <w:szCs w:val="24"/>
        </w:rPr>
        <w:t>Health Inequalities</w:t>
      </w:r>
    </w:p>
    <w:p w14:paraId="3596FA74" w14:textId="77777777" w:rsidR="00D43A59" w:rsidRPr="003E0A79" w:rsidRDefault="00D43A59" w:rsidP="000D3041">
      <w:pPr>
        <w:pStyle w:val="BodyText"/>
        <w:widowControl w:val="0"/>
        <w:numPr>
          <w:ilvl w:val="0"/>
          <w:numId w:val="19"/>
        </w:numPr>
        <w:kinsoku w:val="0"/>
        <w:overflowPunct w:val="0"/>
        <w:autoSpaceDE w:val="0"/>
        <w:autoSpaceDN w:val="0"/>
        <w:adjustRightInd w:val="0"/>
        <w:spacing w:before="0" w:after="0"/>
        <w:ind w:right="330"/>
        <w:rPr>
          <w:spacing w:val="-1"/>
          <w:szCs w:val="24"/>
        </w:rPr>
      </w:pPr>
      <w:r w:rsidRPr="003E0A79">
        <w:rPr>
          <w:spacing w:val="-1"/>
          <w:szCs w:val="24"/>
        </w:rPr>
        <w:t>Integrated Care System</w:t>
      </w:r>
    </w:p>
    <w:p w14:paraId="7C12F70C" w14:textId="77777777" w:rsidR="00D43A59" w:rsidRPr="003E0A79" w:rsidRDefault="00D43A59" w:rsidP="000D3041">
      <w:pPr>
        <w:pStyle w:val="BodyText"/>
        <w:widowControl w:val="0"/>
        <w:numPr>
          <w:ilvl w:val="0"/>
          <w:numId w:val="19"/>
        </w:numPr>
        <w:kinsoku w:val="0"/>
        <w:overflowPunct w:val="0"/>
        <w:autoSpaceDE w:val="0"/>
        <w:autoSpaceDN w:val="0"/>
        <w:adjustRightInd w:val="0"/>
        <w:spacing w:before="0" w:after="0"/>
        <w:ind w:right="330"/>
        <w:rPr>
          <w:spacing w:val="-1"/>
          <w:szCs w:val="24"/>
        </w:rPr>
      </w:pPr>
      <w:r w:rsidRPr="003E0A79">
        <w:rPr>
          <w:spacing w:val="-1"/>
          <w:szCs w:val="24"/>
        </w:rPr>
        <w:t>Maternity</w:t>
      </w:r>
    </w:p>
    <w:p w14:paraId="7E9C8F6D" w14:textId="77777777" w:rsidR="00D43A59" w:rsidRPr="003E0A79" w:rsidRDefault="00D43A59" w:rsidP="000D3041">
      <w:pPr>
        <w:pStyle w:val="BodyText"/>
        <w:widowControl w:val="0"/>
        <w:numPr>
          <w:ilvl w:val="0"/>
          <w:numId w:val="19"/>
        </w:numPr>
        <w:kinsoku w:val="0"/>
        <w:overflowPunct w:val="0"/>
        <w:autoSpaceDE w:val="0"/>
        <w:autoSpaceDN w:val="0"/>
        <w:adjustRightInd w:val="0"/>
        <w:spacing w:before="0" w:after="0"/>
        <w:ind w:right="330"/>
        <w:rPr>
          <w:spacing w:val="-1"/>
          <w:szCs w:val="24"/>
        </w:rPr>
      </w:pPr>
      <w:r w:rsidRPr="003E0A79">
        <w:rPr>
          <w:spacing w:val="-1"/>
          <w:szCs w:val="24"/>
        </w:rPr>
        <w:t>Medicines Optimisation</w:t>
      </w:r>
    </w:p>
    <w:p w14:paraId="57374367" w14:textId="77777777" w:rsidR="00D43A59" w:rsidRPr="003E0A79" w:rsidRDefault="00D43A59" w:rsidP="000D3041">
      <w:pPr>
        <w:pStyle w:val="BodyText"/>
        <w:widowControl w:val="0"/>
        <w:numPr>
          <w:ilvl w:val="0"/>
          <w:numId w:val="19"/>
        </w:numPr>
        <w:kinsoku w:val="0"/>
        <w:overflowPunct w:val="0"/>
        <w:autoSpaceDE w:val="0"/>
        <w:autoSpaceDN w:val="0"/>
        <w:adjustRightInd w:val="0"/>
        <w:spacing w:before="0" w:after="0"/>
        <w:ind w:right="330"/>
        <w:rPr>
          <w:spacing w:val="-1"/>
          <w:szCs w:val="24"/>
        </w:rPr>
      </w:pPr>
      <w:r w:rsidRPr="003E0A79">
        <w:rPr>
          <w:spacing w:val="-1"/>
          <w:szCs w:val="24"/>
        </w:rPr>
        <w:t>Mental Health and Learning Disability</w:t>
      </w:r>
    </w:p>
    <w:p w14:paraId="7E21BB87" w14:textId="77777777" w:rsidR="00D43A59" w:rsidRPr="003E0A79" w:rsidRDefault="00D43A59" w:rsidP="000D3041">
      <w:pPr>
        <w:pStyle w:val="BodyText"/>
        <w:widowControl w:val="0"/>
        <w:numPr>
          <w:ilvl w:val="0"/>
          <w:numId w:val="19"/>
        </w:numPr>
        <w:kinsoku w:val="0"/>
        <w:overflowPunct w:val="0"/>
        <w:autoSpaceDE w:val="0"/>
        <w:autoSpaceDN w:val="0"/>
        <w:adjustRightInd w:val="0"/>
        <w:spacing w:before="0" w:after="0"/>
        <w:ind w:right="330"/>
        <w:rPr>
          <w:spacing w:val="-1"/>
          <w:szCs w:val="24"/>
        </w:rPr>
      </w:pPr>
      <w:r w:rsidRPr="003E0A79">
        <w:rPr>
          <w:spacing w:val="-1"/>
          <w:szCs w:val="24"/>
        </w:rPr>
        <w:t>People</w:t>
      </w:r>
    </w:p>
    <w:p w14:paraId="6F242692" w14:textId="77777777" w:rsidR="00D43A59" w:rsidRPr="003E0A79" w:rsidRDefault="00D43A59" w:rsidP="000D3041">
      <w:pPr>
        <w:pStyle w:val="BodyText"/>
        <w:widowControl w:val="0"/>
        <w:numPr>
          <w:ilvl w:val="0"/>
          <w:numId w:val="19"/>
        </w:numPr>
        <w:kinsoku w:val="0"/>
        <w:overflowPunct w:val="0"/>
        <w:autoSpaceDE w:val="0"/>
        <w:autoSpaceDN w:val="0"/>
        <w:adjustRightInd w:val="0"/>
        <w:spacing w:before="0" w:after="0"/>
        <w:ind w:right="330"/>
        <w:rPr>
          <w:spacing w:val="-1"/>
          <w:szCs w:val="24"/>
        </w:rPr>
      </w:pPr>
      <w:r w:rsidRPr="003E0A79">
        <w:rPr>
          <w:spacing w:val="-1"/>
          <w:szCs w:val="24"/>
        </w:rPr>
        <w:t>Planned Care</w:t>
      </w:r>
    </w:p>
    <w:p w14:paraId="58E8AB0B" w14:textId="77777777" w:rsidR="00D43A59" w:rsidRPr="003E0A79" w:rsidRDefault="00D43A59" w:rsidP="000D3041">
      <w:pPr>
        <w:pStyle w:val="BodyText"/>
        <w:widowControl w:val="0"/>
        <w:numPr>
          <w:ilvl w:val="0"/>
          <w:numId w:val="19"/>
        </w:numPr>
        <w:kinsoku w:val="0"/>
        <w:overflowPunct w:val="0"/>
        <w:autoSpaceDE w:val="0"/>
        <w:autoSpaceDN w:val="0"/>
        <w:adjustRightInd w:val="0"/>
        <w:spacing w:before="0" w:after="0"/>
        <w:ind w:right="330"/>
        <w:rPr>
          <w:spacing w:val="-1"/>
          <w:szCs w:val="24"/>
        </w:rPr>
      </w:pPr>
      <w:r w:rsidRPr="003E0A79">
        <w:rPr>
          <w:spacing w:val="-1"/>
          <w:szCs w:val="24"/>
        </w:rPr>
        <w:t>Population Health Management</w:t>
      </w:r>
    </w:p>
    <w:p w14:paraId="70F6B683" w14:textId="77777777" w:rsidR="00D43A59" w:rsidRPr="003E0A79" w:rsidRDefault="00D43A59" w:rsidP="000D3041">
      <w:pPr>
        <w:pStyle w:val="BodyText"/>
        <w:widowControl w:val="0"/>
        <w:numPr>
          <w:ilvl w:val="0"/>
          <w:numId w:val="19"/>
        </w:numPr>
        <w:kinsoku w:val="0"/>
        <w:overflowPunct w:val="0"/>
        <w:autoSpaceDE w:val="0"/>
        <w:autoSpaceDN w:val="0"/>
        <w:adjustRightInd w:val="0"/>
        <w:spacing w:before="0" w:after="0"/>
        <w:ind w:right="330"/>
        <w:rPr>
          <w:spacing w:val="-1"/>
          <w:szCs w:val="24"/>
        </w:rPr>
      </w:pPr>
      <w:r w:rsidRPr="003E0A79">
        <w:rPr>
          <w:spacing w:val="-1"/>
          <w:szCs w:val="24"/>
        </w:rPr>
        <w:t>Primary Care</w:t>
      </w:r>
    </w:p>
    <w:p w14:paraId="43C4A08C" w14:textId="77777777" w:rsidR="00D43A59" w:rsidRPr="003E0A79" w:rsidRDefault="00D43A59" w:rsidP="000D3041">
      <w:pPr>
        <w:pStyle w:val="BodyText"/>
        <w:widowControl w:val="0"/>
        <w:numPr>
          <w:ilvl w:val="0"/>
          <w:numId w:val="19"/>
        </w:numPr>
        <w:kinsoku w:val="0"/>
        <w:overflowPunct w:val="0"/>
        <w:autoSpaceDE w:val="0"/>
        <w:autoSpaceDN w:val="0"/>
        <w:adjustRightInd w:val="0"/>
        <w:spacing w:before="0" w:after="0"/>
        <w:ind w:right="330"/>
        <w:rPr>
          <w:spacing w:val="-1"/>
          <w:szCs w:val="24"/>
        </w:rPr>
      </w:pPr>
      <w:r w:rsidRPr="003E0A79">
        <w:rPr>
          <w:spacing w:val="-1"/>
          <w:szCs w:val="24"/>
        </w:rPr>
        <w:t>Stewardship</w:t>
      </w:r>
    </w:p>
    <w:p w14:paraId="694FF67F" w14:textId="77777777" w:rsidR="00D43A59" w:rsidRPr="003E0A79" w:rsidRDefault="00D43A59" w:rsidP="000D3041">
      <w:pPr>
        <w:pStyle w:val="BodyText"/>
        <w:widowControl w:val="0"/>
        <w:numPr>
          <w:ilvl w:val="0"/>
          <w:numId w:val="19"/>
        </w:numPr>
        <w:kinsoku w:val="0"/>
        <w:overflowPunct w:val="0"/>
        <w:autoSpaceDE w:val="0"/>
        <w:autoSpaceDN w:val="0"/>
        <w:adjustRightInd w:val="0"/>
        <w:spacing w:before="0" w:after="0"/>
        <w:ind w:right="330"/>
        <w:rPr>
          <w:spacing w:val="-1"/>
          <w:szCs w:val="24"/>
        </w:rPr>
      </w:pPr>
      <w:r w:rsidRPr="003E0A79">
        <w:rPr>
          <w:spacing w:val="-1"/>
          <w:szCs w:val="24"/>
        </w:rPr>
        <w:t>Urgent Emergency Care</w:t>
      </w:r>
    </w:p>
    <w:p w14:paraId="3BB04599" w14:textId="77777777" w:rsidR="00D43A59" w:rsidRPr="003E0A79" w:rsidRDefault="00D43A59" w:rsidP="000D3041">
      <w:pPr>
        <w:pStyle w:val="BodyText"/>
        <w:widowControl w:val="0"/>
        <w:numPr>
          <w:ilvl w:val="0"/>
          <w:numId w:val="19"/>
        </w:numPr>
        <w:kinsoku w:val="0"/>
        <w:overflowPunct w:val="0"/>
        <w:autoSpaceDE w:val="0"/>
        <w:autoSpaceDN w:val="0"/>
        <w:adjustRightInd w:val="0"/>
        <w:spacing w:before="0" w:after="0"/>
        <w:ind w:right="330"/>
        <w:rPr>
          <w:spacing w:val="-1"/>
          <w:szCs w:val="24"/>
        </w:rPr>
      </w:pPr>
      <w:r w:rsidRPr="003E0A79">
        <w:rPr>
          <w:spacing w:val="-1"/>
          <w:szCs w:val="24"/>
        </w:rPr>
        <w:t>Vaccination</w:t>
      </w:r>
    </w:p>
    <w:p w14:paraId="3E995FF7" w14:textId="2DA90769" w:rsidR="00D43A59" w:rsidRDefault="00D43A59" w:rsidP="00BC3673">
      <w:pPr>
        <w:pStyle w:val="BodyText"/>
        <w:kinsoku w:val="0"/>
        <w:overflowPunct w:val="0"/>
        <w:spacing w:before="69" w:after="120"/>
        <w:ind w:right="203"/>
        <w:rPr>
          <w:spacing w:val="-1"/>
          <w:szCs w:val="24"/>
        </w:rPr>
      </w:pPr>
      <w:r w:rsidRPr="003E0A79">
        <w:rPr>
          <w:szCs w:val="24"/>
        </w:rPr>
        <w:t>The</w:t>
      </w:r>
      <w:r w:rsidRPr="003E0A79">
        <w:rPr>
          <w:spacing w:val="-1"/>
          <w:szCs w:val="24"/>
        </w:rPr>
        <w:t xml:space="preserve"> risk</w:t>
      </w:r>
      <w:r w:rsidRPr="003E0A79">
        <w:rPr>
          <w:szCs w:val="24"/>
        </w:rPr>
        <w:t xml:space="preserve"> </w:t>
      </w:r>
      <w:r w:rsidRPr="003E0A79">
        <w:rPr>
          <w:spacing w:val="-1"/>
          <w:szCs w:val="24"/>
        </w:rPr>
        <w:t>appetite statement</w:t>
      </w:r>
      <w:r w:rsidRPr="003E0A79">
        <w:rPr>
          <w:spacing w:val="-2"/>
          <w:szCs w:val="24"/>
        </w:rPr>
        <w:t xml:space="preserve"> </w:t>
      </w:r>
      <w:r w:rsidRPr="003E0A79">
        <w:rPr>
          <w:spacing w:val="-1"/>
          <w:szCs w:val="24"/>
        </w:rPr>
        <w:t>assists managers</w:t>
      </w:r>
      <w:r w:rsidRPr="003E0A79">
        <w:rPr>
          <w:szCs w:val="24"/>
        </w:rPr>
        <w:t xml:space="preserve"> to</w:t>
      </w:r>
      <w:r w:rsidRPr="003E0A79">
        <w:rPr>
          <w:spacing w:val="1"/>
          <w:szCs w:val="24"/>
        </w:rPr>
        <w:t xml:space="preserve"> </w:t>
      </w:r>
      <w:r w:rsidRPr="003E0A79">
        <w:rPr>
          <w:spacing w:val="-1"/>
          <w:szCs w:val="24"/>
        </w:rPr>
        <w:t>identify</w:t>
      </w:r>
      <w:r w:rsidRPr="003E0A79">
        <w:rPr>
          <w:spacing w:val="-2"/>
          <w:szCs w:val="24"/>
        </w:rPr>
        <w:t xml:space="preserve"> </w:t>
      </w:r>
      <w:r w:rsidRPr="003E0A79">
        <w:rPr>
          <w:spacing w:val="-1"/>
          <w:szCs w:val="24"/>
        </w:rPr>
        <w:t>when</w:t>
      </w:r>
      <w:r w:rsidRPr="003E0A79">
        <w:rPr>
          <w:spacing w:val="1"/>
          <w:szCs w:val="24"/>
        </w:rPr>
        <w:t xml:space="preserve"> </w:t>
      </w:r>
      <w:r w:rsidRPr="003E0A79">
        <w:rPr>
          <w:spacing w:val="-1"/>
          <w:szCs w:val="24"/>
        </w:rPr>
        <w:t>risk</w:t>
      </w:r>
      <w:r w:rsidRPr="003E0A79">
        <w:rPr>
          <w:szCs w:val="24"/>
        </w:rPr>
        <w:t xml:space="preserve"> </w:t>
      </w:r>
      <w:r w:rsidRPr="003E0A79">
        <w:rPr>
          <w:spacing w:val="-1"/>
          <w:szCs w:val="24"/>
        </w:rPr>
        <w:t>levels</w:t>
      </w:r>
      <w:r w:rsidRPr="003E0A79">
        <w:rPr>
          <w:szCs w:val="24"/>
        </w:rPr>
        <w:t xml:space="preserve"> </w:t>
      </w:r>
      <w:r w:rsidRPr="003E0A79">
        <w:rPr>
          <w:spacing w:val="-1"/>
          <w:szCs w:val="24"/>
        </w:rPr>
        <w:t>are</w:t>
      </w:r>
      <w:r w:rsidRPr="003E0A79">
        <w:rPr>
          <w:spacing w:val="1"/>
          <w:szCs w:val="24"/>
        </w:rPr>
        <w:t xml:space="preserve"> </w:t>
      </w:r>
      <w:r w:rsidRPr="003E0A79">
        <w:rPr>
          <w:spacing w:val="-1"/>
          <w:szCs w:val="24"/>
        </w:rPr>
        <w:t>tolerable</w:t>
      </w:r>
      <w:r w:rsidRPr="003E0A79">
        <w:rPr>
          <w:spacing w:val="1"/>
          <w:szCs w:val="24"/>
        </w:rPr>
        <w:t xml:space="preserve"> </w:t>
      </w:r>
      <w:r w:rsidRPr="003E0A79">
        <w:rPr>
          <w:szCs w:val="24"/>
        </w:rPr>
        <w:t>or</w:t>
      </w:r>
      <w:r w:rsidRPr="003E0A79">
        <w:rPr>
          <w:spacing w:val="-1"/>
          <w:szCs w:val="24"/>
        </w:rPr>
        <w:t xml:space="preserve"> where further</w:t>
      </w:r>
      <w:r w:rsidRPr="003E0A79">
        <w:rPr>
          <w:spacing w:val="-3"/>
          <w:szCs w:val="24"/>
        </w:rPr>
        <w:t xml:space="preserve"> </w:t>
      </w:r>
      <w:r w:rsidRPr="003E0A79">
        <w:rPr>
          <w:spacing w:val="-1"/>
          <w:szCs w:val="24"/>
        </w:rPr>
        <w:t>action</w:t>
      </w:r>
      <w:r w:rsidRPr="003E0A79">
        <w:rPr>
          <w:spacing w:val="1"/>
          <w:szCs w:val="24"/>
        </w:rPr>
        <w:t xml:space="preserve"> </w:t>
      </w:r>
      <w:r w:rsidRPr="003E0A79">
        <w:rPr>
          <w:spacing w:val="-1"/>
          <w:szCs w:val="24"/>
        </w:rPr>
        <w:t>is</w:t>
      </w:r>
      <w:r w:rsidRPr="003E0A79">
        <w:rPr>
          <w:szCs w:val="24"/>
        </w:rPr>
        <w:t xml:space="preserve"> </w:t>
      </w:r>
      <w:r w:rsidRPr="003E0A79">
        <w:rPr>
          <w:spacing w:val="-1"/>
          <w:szCs w:val="24"/>
        </w:rPr>
        <w:t xml:space="preserve">required </w:t>
      </w:r>
      <w:r w:rsidRPr="003E0A79">
        <w:rPr>
          <w:szCs w:val="24"/>
        </w:rPr>
        <w:t>to</w:t>
      </w:r>
      <w:r w:rsidRPr="003E0A79">
        <w:rPr>
          <w:spacing w:val="1"/>
          <w:szCs w:val="24"/>
        </w:rPr>
        <w:t xml:space="preserve"> </w:t>
      </w:r>
      <w:r w:rsidRPr="003E0A79">
        <w:rPr>
          <w:spacing w:val="-1"/>
          <w:szCs w:val="24"/>
        </w:rPr>
        <w:t>reduce</w:t>
      </w:r>
      <w:r w:rsidRPr="003E0A79">
        <w:rPr>
          <w:spacing w:val="69"/>
          <w:szCs w:val="24"/>
        </w:rPr>
        <w:t xml:space="preserve"> </w:t>
      </w:r>
      <w:r w:rsidRPr="003E0A79">
        <w:rPr>
          <w:spacing w:val="-1"/>
          <w:szCs w:val="24"/>
        </w:rPr>
        <w:t>risk</w:t>
      </w:r>
      <w:r w:rsidRPr="003E0A79">
        <w:rPr>
          <w:szCs w:val="24"/>
        </w:rPr>
        <w:t xml:space="preserve"> </w:t>
      </w:r>
      <w:r w:rsidRPr="003E0A79">
        <w:rPr>
          <w:spacing w:val="-1"/>
          <w:szCs w:val="24"/>
        </w:rPr>
        <w:t>ratings</w:t>
      </w:r>
      <w:r w:rsidRPr="003E0A79">
        <w:rPr>
          <w:szCs w:val="24"/>
        </w:rPr>
        <w:t xml:space="preserve"> to</w:t>
      </w:r>
      <w:r w:rsidRPr="003E0A79">
        <w:rPr>
          <w:spacing w:val="1"/>
          <w:szCs w:val="24"/>
        </w:rPr>
        <w:t xml:space="preserve"> </w:t>
      </w:r>
      <w:r w:rsidRPr="003E0A79">
        <w:rPr>
          <w:szCs w:val="24"/>
        </w:rPr>
        <w:t>an</w:t>
      </w:r>
      <w:r w:rsidRPr="003E0A79">
        <w:rPr>
          <w:spacing w:val="-1"/>
          <w:szCs w:val="24"/>
        </w:rPr>
        <w:t xml:space="preserve"> acceptable</w:t>
      </w:r>
      <w:r w:rsidRPr="003E0A79">
        <w:rPr>
          <w:spacing w:val="1"/>
          <w:szCs w:val="24"/>
        </w:rPr>
        <w:t xml:space="preserve"> </w:t>
      </w:r>
      <w:r w:rsidRPr="003E0A79">
        <w:rPr>
          <w:spacing w:val="-1"/>
          <w:szCs w:val="24"/>
        </w:rPr>
        <w:t>level.</w:t>
      </w:r>
      <w:r w:rsidRPr="003E0A79">
        <w:rPr>
          <w:szCs w:val="24"/>
        </w:rPr>
        <w:t xml:space="preserve"> </w:t>
      </w:r>
      <w:r w:rsidRPr="003E0A79">
        <w:rPr>
          <w:spacing w:val="-1"/>
          <w:szCs w:val="24"/>
        </w:rPr>
        <w:t>The Board</w:t>
      </w:r>
      <w:r w:rsidRPr="003E0A79">
        <w:rPr>
          <w:spacing w:val="1"/>
          <w:szCs w:val="24"/>
        </w:rPr>
        <w:t xml:space="preserve"> </w:t>
      </w:r>
      <w:r w:rsidRPr="003E0A79">
        <w:rPr>
          <w:spacing w:val="-2"/>
          <w:szCs w:val="24"/>
        </w:rPr>
        <w:t>reviews</w:t>
      </w:r>
      <w:r w:rsidRPr="003E0A79">
        <w:rPr>
          <w:szCs w:val="24"/>
        </w:rPr>
        <w:t xml:space="preserve"> the</w:t>
      </w:r>
      <w:r w:rsidRPr="003E0A79">
        <w:rPr>
          <w:spacing w:val="1"/>
          <w:szCs w:val="24"/>
        </w:rPr>
        <w:t xml:space="preserve"> </w:t>
      </w:r>
      <w:r w:rsidRPr="003E0A79">
        <w:rPr>
          <w:szCs w:val="24"/>
        </w:rPr>
        <w:t>BAF at</w:t>
      </w:r>
      <w:r w:rsidRPr="003E0A79">
        <w:rPr>
          <w:spacing w:val="-2"/>
          <w:szCs w:val="24"/>
        </w:rPr>
        <w:t xml:space="preserve"> </w:t>
      </w:r>
      <w:r w:rsidRPr="003E0A79">
        <w:rPr>
          <w:spacing w:val="-1"/>
          <w:szCs w:val="24"/>
        </w:rPr>
        <w:t>each</w:t>
      </w:r>
      <w:r w:rsidRPr="003E0A79">
        <w:rPr>
          <w:spacing w:val="1"/>
          <w:szCs w:val="24"/>
        </w:rPr>
        <w:t xml:space="preserve"> </w:t>
      </w:r>
      <w:r w:rsidRPr="003E0A79">
        <w:rPr>
          <w:spacing w:val="-1"/>
          <w:szCs w:val="24"/>
        </w:rPr>
        <w:t>Part</w:t>
      </w:r>
      <w:r w:rsidRPr="003E0A79">
        <w:rPr>
          <w:szCs w:val="24"/>
        </w:rPr>
        <w:t xml:space="preserve"> I </w:t>
      </w:r>
      <w:r w:rsidRPr="003E0A79">
        <w:rPr>
          <w:spacing w:val="-1"/>
          <w:szCs w:val="24"/>
        </w:rPr>
        <w:t xml:space="preserve">Board meeting.  During 2021/22 a review was undertaken to review risk descriptions and consolidate risks where possible to ensure that the BAF reflected risks facing the organisation as it emerged from the pandemic. </w:t>
      </w:r>
    </w:p>
    <w:p w14:paraId="488E026A" w14:textId="77777777" w:rsidR="00CD505D" w:rsidRDefault="00CD505D" w:rsidP="00BC3673">
      <w:pPr>
        <w:pStyle w:val="BodyText"/>
        <w:kinsoku w:val="0"/>
        <w:overflowPunct w:val="0"/>
        <w:spacing w:before="69" w:after="120"/>
        <w:ind w:right="203"/>
        <w:rPr>
          <w:spacing w:val="-1"/>
          <w:szCs w:val="24"/>
        </w:rPr>
      </w:pPr>
    </w:p>
    <w:p w14:paraId="4181199A" w14:textId="1C768B9F" w:rsidR="00E06CCF" w:rsidRDefault="00E06CCF" w:rsidP="00BC3673">
      <w:pPr>
        <w:pStyle w:val="Heading3"/>
        <w:spacing w:before="120"/>
      </w:pPr>
      <w:bookmarkStart w:id="149" w:name="_Toc94188199"/>
      <w:bookmarkStart w:id="150" w:name="_Toc97218350"/>
      <w:bookmarkStart w:id="151" w:name="_Toc107389469"/>
      <w:bookmarkStart w:id="152" w:name="_Toc437807154"/>
      <w:bookmarkStart w:id="153" w:name="_Toc437807160"/>
      <w:r w:rsidRPr="00D43A59">
        <w:t>Capacity to Handle Risk</w:t>
      </w:r>
      <w:bookmarkEnd w:id="149"/>
      <w:bookmarkEnd w:id="150"/>
      <w:bookmarkEnd w:id="151"/>
      <w:r w:rsidRPr="007830C3">
        <w:t xml:space="preserve"> </w:t>
      </w:r>
    </w:p>
    <w:p w14:paraId="78FF2ADF" w14:textId="77777777" w:rsidR="00D43A59" w:rsidRDefault="00D43A59" w:rsidP="00BC3673">
      <w:pPr>
        <w:pStyle w:val="BodyText"/>
        <w:kinsoku w:val="0"/>
        <w:overflowPunct w:val="0"/>
        <w:spacing w:before="120" w:after="120"/>
        <w:rPr>
          <w:spacing w:val="-1"/>
        </w:rPr>
      </w:pPr>
      <w:r>
        <w:rPr>
          <w:spacing w:val="-1"/>
        </w:rPr>
        <w:t xml:space="preserve">During 2021/22 </w:t>
      </w:r>
      <w:r>
        <w:t>the</w:t>
      </w:r>
      <w:r>
        <w:rPr>
          <w:spacing w:val="-1"/>
        </w:rPr>
        <w:t xml:space="preserve"> CCG</w:t>
      </w:r>
      <w:r>
        <w:t xml:space="preserve"> </w:t>
      </w:r>
      <w:r>
        <w:rPr>
          <w:spacing w:val="-1"/>
        </w:rPr>
        <w:t>had</w:t>
      </w:r>
      <w:r>
        <w:rPr>
          <w:spacing w:val="1"/>
        </w:rPr>
        <w:t xml:space="preserve"> </w:t>
      </w:r>
      <w:r>
        <w:rPr>
          <w:spacing w:val="-1"/>
        </w:rPr>
        <w:t>the following arrangements</w:t>
      </w:r>
      <w:r>
        <w:t xml:space="preserve"> </w:t>
      </w:r>
      <w:r>
        <w:rPr>
          <w:spacing w:val="-2"/>
        </w:rPr>
        <w:t>in</w:t>
      </w:r>
      <w:r>
        <w:rPr>
          <w:spacing w:val="1"/>
        </w:rPr>
        <w:t xml:space="preserve"> </w:t>
      </w:r>
      <w:r>
        <w:rPr>
          <w:spacing w:val="-1"/>
        </w:rPr>
        <w:t>place.</w:t>
      </w:r>
    </w:p>
    <w:p w14:paraId="150321C4" w14:textId="77777777" w:rsidR="00D43A59" w:rsidRDefault="00D43A59" w:rsidP="000D3041">
      <w:pPr>
        <w:pStyle w:val="BodyText"/>
        <w:widowControl w:val="0"/>
        <w:numPr>
          <w:ilvl w:val="3"/>
          <w:numId w:val="20"/>
        </w:numPr>
        <w:tabs>
          <w:tab w:val="left" w:pos="820"/>
        </w:tabs>
        <w:kinsoku w:val="0"/>
        <w:overflowPunct w:val="0"/>
        <w:autoSpaceDE w:val="0"/>
        <w:autoSpaceDN w:val="0"/>
        <w:adjustRightInd w:val="0"/>
        <w:spacing w:before="0" w:after="0"/>
        <w:ind w:left="816" w:right="946" w:hanging="357"/>
        <w:rPr>
          <w:spacing w:val="-1"/>
        </w:rPr>
      </w:pPr>
      <w:r>
        <w:rPr>
          <w:spacing w:val="-1"/>
        </w:rPr>
        <w:t>Clear ownership</w:t>
      </w:r>
      <w:r>
        <w:rPr>
          <w:spacing w:val="1"/>
        </w:rPr>
        <w:t xml:space="preserve"> </w:t>
      </w:r>
      <w:r>
        <w:rPr>
          <w:spacing w:val="-1"/>
        </w:rPr>
        <w:t>of</w:t>
      </w:r>
      <w:r>
        <w:rPr>
          <w:spacing w:val="3"/>
        </w:rPr>
        <w:t xml:space="preserve"> </w:t>
      </w:r>
      <w:r>
        <w:rPr>
          <w:spacing w:val="-1"/>
        </w:rPr>
        <w:t>risks,</w:t>
      </w:r>
      <w:r>
        <w:t xml:space="preserve"> </w:t>
      </w:r>
      <w:r>
        <w:rPr>
          <w:spacing w:val="-1"/>
        </w:rPr>
        <w:t>with</w:t>
      </w:r>
      <w:r>
        <w:rPr>
          <w:spacing w:val="1"/>
        </w:rPr>
        <w:t xml:space="preserve"> </w:t>
      </w:r>
      <w:r>
        <w:rPr>
          <w:spacing w:val="-1"/>
        </w:rPr>
        <w:t>responsible Directors</w:t>
      </w:r>
      <w:r>
        <w:t xml:space="preserve"> </w:t>
      </w:r>
      <w:r>
        <w:rPr>
          <w:spacing w:val="-1"/>
        </w:rPr>
        <w:t>and</w:t>
      </w:r>
      <w:r>
        <w:rPr>
          <w:spacing w:val="1"/>
        </w:rPr>
        <w:t xml:space="preserve"> </w:t>
      </w:r>
      <w:r>
        <w:rPr>
          <w:spacing w:val="-1"/>
        </w:rPr>
        <w:t>lead officers</w:t>
      </w:r>
      <w:r>
        <w:t xml:space="preserve"> </w:t>
      </w:r>
      <w:r>
        <w:rPr>
          <w:spacing w:val="-1"/>
        </w:rPr>
        <w:t>identified,</w:t>
      </w:r>
      <w:r>
        <w:t xml:space="preserve"> </w:t>
      </w:r>
      <w:r>
        <w:rPr>
          <w:spacing w:val="-1"/>
        </w:rPr>
        <w:t>with</w:t>
      </w:r>
      <w:r>
        <w:rPr>
          <w:spacing w:val="65"/>
        </w:rPr>
        <w:t xml:space="preserve"> </w:t>
      </w:r>
      <w:r>
        <w:rPr>
          <w:spacing w:val="-1"/>
        </w:rPr>
        <w:t>escalation</w:t>
      </w:r>
      <w:r>
        <w:rPr>
          <w:spacing w:val="1"/>
        </w:rPr>
        <w:t xml:space="preserve"> </w:t>
      </w:r>
      <w:r>
        <w:rPr>
          <w:spacing w:val="-1"/>
        </w:rPr>
        <w:t>arrangements</w:t>
      </w:r>
      <w:r>
        <w:t xml:space="preserve"> </w:t>
      </w:r>
      <w:r>
        <w:rPr>
          <w:spacing w:val="-1"/>
        </w:rPr>
        <w:t>in</w:t>
      </w:r>
      <w:r>
        <w:rPr>
          <w:spacing w:val="1"/>
        </w:rPr>
        <w:t xml:space="preserve"> </w:t>
      </w:r>
      <w:r>
        <w:rPr>
          <w:spacing w:val="-1"/>
        </w:rPr>
        <w:t>place</w:t>
      </w:r>
      <w:r>
        <w:rPr>
          <w:spacing w:val="1"/>
        </w:rPr>
        <w:t xml:space="preserve"> </w:t>
      </w:r>
      <w:r>
        <w:rPr>
          <w:spacing w:val="-1"/>
        </w:rPr>
        <w:t>to</w:t>
      </w:r>
      <w:r>
        <w:rPr>
          <w:spacing w:val="1"/>
        </w:rPr>
        <w:t xml:space="preserve"> </w:t>
      </w:r>
      <w:r>
        <w:rPr>
          <w:spacing w:val="-1"/>
        </w:rPr>
        <w:t>the</w:t>
      </w:r>
      <w:r>
        <w:rPr>
          <w:spacing w:val="1"/>
        </w:rPr>
        <w:t xml:space="preserve"> </w:t>
      </w:r>
      <w:r>
        <w:rPr>
          <w:spacing w:val="-1"/>
        </w:rPr>
        <w:t>Board.</w:t>
      </w:r>
    </w:p>
    <w:p w14:paraId="343312FA" w14:textId="77777777" w:rsidR="00D43A59" w:rsidRDefault="00D43A59" w:rsidP="000D3041">
      <w:pPr>
        <w:pStyle w:val="BodyText"/>
        <w:widowControl w:val="0"/>
        <w:numPr>
          <w:ilvl w:val="3"/>
          <w:numId w:val="20"/>
        </w:numPr>
        <w:tabs>
          <w:tab w:val="left" w:pos="820"/>
        </w:tabs>
        <w:kinsoku w:val="0"/>
        <w:overflowPunct w:val="0"/>
        <w:autoSpaceDE w:val="0"/>
        <w:autoSpaceDN w:val="0"/>
        <w:adjustRightInd w:val="0"/>
        <w:spacing w:before="0" w:after="0"/>
        <w:ind w:left="816" w:right="654" w:hanging="357"/>
        <w:rPr>
          <w:spacing w:val="-1"/>
        </w:rPr>
      </w:pPr>
      <w:r>
        <w:t>A</w:t>
      </w:r>
      <w:r>
        <w:rPr>
          <w:spacing w:val="1"/>
        </w:rPr>
        <w:t xml:space="preserve"> </w:t>
      </w:r>
      <w:r>
        <w:rPr>
          <w:spacing w:val="-1"/>
        </w:rPr>
        <w:t>Board</w:t>
      </w:r>
      <w:r>
        <w:rPr>
          <w:spacing w:val="1"/>
        </w:rPr>
        <w:t xml:space="preserve"> </w:t>
      </w:r>
      <w:r>
        <w:rPr>
          <w:spacing w:val="-1"/>
        </w:rPr>
        <w:t>Assurance Framework</w:t>
      </w:r>
      <w:r>
        <w:t xml:space="preserve"> </w:t>
      </w:r>
      <w:r>
        <w:rPr>
          <w:spacing w:val="-1"/>
        </w:rPr>
        <w:t>within</w:t>
      </w:r>
      <w:r>
        <w:rPr>
          <w:spacing w:val="1"/>
        </w:rPr>
        <w:t xml:space="preserve"> </w:t>
      </w:r>
      <w:r>
        <w:rPr>
          <w:spacing w:val="-1"/>
        </w:rPr>
        <w:t>which</w:t>
      </w:r>
      <w:r>
        <w:rPr>
          <w:spacing w:val="1"/>
        </w:rPr>
        <w:t xml:space="preserve"> </w:t>
      </w:r>
      <w:r>
        <w:t>the</w:t>
      </w:r>
      <w:r>
        <w:rPr>
          <w:spacing w:val="1"/>
        </w:rPr>
        <w:t xml:space="preserve"> </w:t>
      </w:r>
      <w:r>
        <w:rPr>
          <w:spacing w:val="-1"/>
        </w:rPr>
        <w:t>latest</w:t>
      </w:r>
      <w:r>
        <w:rPr>
          <w:spacing w:val="-2"/>
        </w:rPr>
        <w:t xml:space="preserve"> </w:t>
      </w:r>
      <w:r>
        <w:rPr>
          <w:spacing w:val="-1"/>
        </w:rPr>
        <w:t>updates</w:t>
      </w:r>
      <w:r>
        <w:rPr>
          <w:spacing w:val="-5"/>
        </w:rPr>
        <w:t xml:space="preserve"> </w:t>
      </w:r>
      <w:r>
        <w:rPr>
          <w:spacing w:val="-1"/>
        </w:rPr>
        <w:t>from lead officers</w:t>
      </w:r>
      <w:r>
        <w:t xml:space="preserve"> </w:t>
      </w:r>
      <w:r>
        <w:rPr>
          <w:spacing w:val="-1"/>
        </w:rPr>
        <w:t>were</w:t>
      </w:r>
      <w:r>
        <w:rPr>
          <w:spacing w:val="67"/>
        </w:rPr>
        <w:t xml:space="preserve"> </w:t>
      </w:r>
      <w:r>
        <w:rPr>
          <w:spacing w:val="-1"/>
        </w:rPr>
        <w:t>recorded and</w:t>
      </w:r>
      <w:r>
        <w:rPr>
          <w:spacing w:val="1"/>
        </w:rPr>
        <w:t xml:space="preserve"> </w:t>
      </w:r>
      <w:r>
        <w:rPr>
          <w:spacing w:val="-1"/>
        </w:rPr>
        <w:t>reported</w:t>
      </w:r>
      <w:r>
        <w:rPr>
          <w:spacing w:val="-4"/>
        </w:rPr>
        <w:t xml:space="preserve"> </w:t>
      </w:r>
      <w:r>
        <w:t>to</w:t>
      </w:r>
      <w:r>
        <w:rPr>
          <w:spacing w:val="1"/>
        </w:rPr>
        <w:t xml:space="preserve"> </w:t>
      </w:r>
      <w:r>
        <w:rPr>
          <w:spacing w:val="-1"/>
        </w:rPr>
        <w:t>relevant</w:t>
      </w:r>
      <w:r>
        <w:t xml:space="preserve"> </w:t>
      </w:r>
      <w:r>
        <w:rPr>
          <w:spacing w:val="-1"/>
        </w:rPr>
        <w:t>committees</w:t>
      </w:r>
      <w:r>
        <w:rPr>
          <w:spacing w:val="-2"/>
        </w:rPr>
        <w:t xml:space="preserve"> </w:t>
      </w:r>
      <w:r>
        <w:t>and</w:t>
      </w:r>
      <w:r>
        <w:rPr>
          <w:spacing w:val="-1"/>
        </w:rPr>
        <w:t xml:space="preserve"> the</w:t>
      </w:r>
      <w:r>
        <w:rPr>
          <w:spacing w:val="1"/>
        </w:rPr>
        <w:t xml:space="preserve"> </w:t>
      </w:r>
      <w:r>
        <w:rPr>
          <w:spacing w:val="-1"/>
        </w:rPr>
        <w:t>Board.</w:t>
      </w:r>
    </w:p>
    <w:p w14:paraId="266BD232" w14:textId="77777777" w:rsidR="00D43A59" w:rsidRDefault="00D43A59" w:rsidP="000D3041">
      <w:pPr>
        <w:pStyle w:val="BodyText"/>
        <w:widowControl w:val="0"/>
        <w:numPr>
          <w:ilvl w:val="3"/>
          <w:numId w:val="20"/>
        </w:numPr>
        <w:tabs>
          <w:tab w:val="left" w:pos="820"/>
        </w:tabs>
        <w:kinsoku w:val="0"/>
        <w:overflowPunct w:val="0"/>
        <w:autoSpaceDE w:val="0"/>
        <w:autoSpaceDN w:val="0"/>
        <w:adjustRightInd w:val="0"/>
        <w:spacing w:before="0" w:after="0"/>
        <w:ind w:left="816" w:hanging="357"/>
        <w:rPr>
          <w:spacing w:val="-1"/>
        </w:rPr>
      </w:pPr>
      <w:r>
        <w:rPr>
          <w:spacing w:val="-1"/>
        </w:rPr>
        <w:t>Recording and</w:t>
      </w:r>
      <w:r>
        <w:rPr>
          <w:spacing w:val="1"/>
        </w:rPr>
        <w:t xml:space="preserve"> </w:t>
      </w:r>
      <w:r>
        <w:rPr>
          <w:spacing w:val="-1"/>
        </w:rPr>
        <w:t>investigation processes</w:t>
      </w:r>
      <w:r>
        <w:rPr>
          <w:spacing w:val="-2"/>
        </w:rPr>
        <w:t xml:space="preserve"> </w:t>
      </w:r>
      <w:r>
        <w:t>for</w:t>
      </w:r>
      <w:r>
        <w:rPr>
          <w:spacing w:val="-1"/>
        </w:rPr>
        <w:t xml:space="preserve"> incidents,</w:t>
      </w:r>
      <w:r>
        <w:t xml:space="preserve"> </w:t>
      </w:r>
      <w:r>
        <w:rPr>
          <w:spacing w:val="-1"/>
        </w:rPr>
        <w:t>including identification of</w:t>
      </w:r>
      <w:r>
        <w:rPr>
          <w:spacing w:val="3"/>
        </w:rPr>
        <w:t xml:space="preserve"> </w:t>
      </w:r>
      <w:r>
        <w:rPr>
          <w:spacing w:val="-1"/>
        </w:rPr>
        <w:t>learning.</w:t>
      </w:r>
    </w:p>
    <w:p w14:paraId="116B85AF" w14:textId="77777777" w:rsidR="00D43A59" w:rsidRDefault="00D43A59" w:rsidP="000D3041">
      <w:pPr>
        <w:pStyle w:val="BodyText"/>
        <w:widowControl w:val="0"/>
        <w:numPr>
          <w:ilvl w:val="3"/>
          <w:numId w:val="20"/>
        </w:numPr>
        <w:tabs>
          <w:tab w:val="left" w:pos="820"/>
        </w:tabs>
        <w:kinsoku w:val="0"/>
        <w:overflowPunct w:val="0"/>
        <w:autoSpaceDE w:val="0"/>
        <w:autoSpaceDN w:val="0"/>
        <w:adjustRightInd w:val="0"/>
        <w:spacing w:before="0" w:after="0"/>
        <w:ind w:left="816" w:right="654" w:hanging="357"/>
        <w:rPr>
          <w:spacing w:val="-1"/>
        </w:rPr>
      </w:pPr>
      <w:r>
        <w:rPr>
          <w:spacing w:val="-1"/>
        </w:rPr>
        <w:t>Triangulation</w:t>
      </w:r>
      <w:r>
        <w:rPr>
          <w:spacing w:val="1"/>
        </w:rPr>
        <w:t xml:space="preserve"> </w:t>
      </w:r>
      <w:r>
        <w:rPr>
          <w:spacing w:val="-1"/>
        </w:rPr>
        <w:t>of</w:t>
      </w:r>
      <w:r>
        <w:t xml:space="preserve"> </w:t>
      </w:r>
      <w:r>
        <w:rPr>
          <w:spacing w:val="-1"/>
        </w:rPr>
        <w:t>learning from</w:t>
      </w:r>
      <w:r>
        <w:rPr>
          <w:spacing w:val="2"/>
        </w:rPr>
        <w:t xml:space="preserve"> </w:t>
      </w:r>
      <w:r>
        <w:rPr>
          <w:spacing w:val="-1"/>
        </w:rPr>
        <w:t>incidents,</w:t>
      </w:r>
      <w:r>
        <w:rPr>
          <w:spacing w:val="-2"/>
        </w:rPr>
        <w:t xml:space="preserve"> </w:t>
      </w:r>
      <w:r>
        <w:rPr>
          <w:spacing w:val="-1"/>
        </w:rPr>
        <w:t>complaints</w:t>
      </w:r>
      <w:r>
        <w:t xml:space="preserve"> </w:t>
      </w:r>
      <w:r>
        <w:rPr>
          <w:spacing w:val="-1"/>
        </w:rPr>
        <w:t>and</w:t>
      </w:r>
      <w:r>
        <w:rPr>
          <w:spacing w:val="1"/>
        </w:rPr>
        <w:t xml:space="preserve"> </w:t>
      </w:r>
      <w:r>
        <w:rPr>
          <w:spacing w:val="-1"/>
        </w:rPr>
        <w:t>claims</w:t>
      </w:r>
      <w:r>
        <w:t xml:space="preserve"> </w:t>
      </w:r>
      <w:r>
        <w:rPr>
          <w:spacing w:val="-1"/>
        </w:rPr>
        <w:t>(should</w:t>
      </w:r>
      <w:r>
        <w:rPr>
          <w:spacing w:val="1"/>
        </w:rPr>
        <w:t xml:space="preserve"> </w:t>
      </w:r>
      <w:r>
        <w:t>they</w:t>
      </w:r>
      <w:r>
        <w:rPr>
          <w:spacing w:val="-2"/>
        </w:rPr>
        <w:t xml:space="preserve"> </w:t>
      </w:r>
      <w:r>
        <w:rPr>
          <w:spacing w:val="-1"/>
        </w:rPr>
        <w:t xml:space="preserve">arise) </w:t>
      </w:r>
      <w:r>
        <w:t>as</w:t>
      </w:r>
      <w:r>
        <w:rPr>
          <w:spacing w:val="-2"/>
        </w:rPr>
        <w:t xml:space="preserve"> </w:t>
      </w:r>
      <w:r>
        <w:t>a</w:t>
      </w:r>
      <w:r>
        <w:rPr>
          <w:spacing w:val="63"/>
        </w:rPr>
        <w:t xml:space="preserve"> </w:t>
      </w:r>
      <w:r>
        <w:rPr>
          <w:spacing w:val="-1"/>
        </w:rPr>
        <w:t xml:space="preserve">standing item </w:t>
      </w:r>
      <w:r>
        <w:t>on</w:t>
      </w:r>
      <w:r>
        <w:rPr>
          <w:spacing w:val="-1"/>
        </w:rPr>
        <w:t xml:space="preserve"> </w:t>
      </w:r>
      <w:r>
        <w:t>the</w:t>
      </w:r>
      <w:r>
        <w:rPr>
          <w:spacing w:val="-1"/>
        </w:rPr>
        <w:t xml:space="preserve"> agenda</w:t>
      </w:r>
      <w:r>
        <w:rPr>
          <w:spacing w:val="1"/>
        </w:rPr>
        <w:t xml:space="preserve"> </w:t>
      </w:r>
      <w:r>
        <w:rPr>
          <w:spacing w:val="-1"/>
        </w:rPr>
        <w:t>of</w:t>
      </w:r>
      <w:r>
        <w:t xml:space="preserve"> </w:t>
      </w:r>
      <w:r>
        <w:rPr>
          <w:spacing w:val="-1"/>
        </w:rPr>
        <w:t>the</w:t>
      </w:r>
      <w:r>
        <w:rPr>
          <w:spacing w:val="1"/>
        </w:rPr>
        <w:t xml:space="preserve"> Patient, Safety and </w:t>
      </w:r>
      <w:r>
        <w:rPr>
          <w:spacing w:val="-1"/>
        </w:rPr>
        <w:t>Quality</w:t>
      </w:r>
      <w:r>
        <w:rPr>
          <w:spacing w:val="-2"/>
        </w:rPr>
        <w:t xml:space="preserve"> </w:t>
      </w:r>
      <w:r>
        <w:rPr>
          <w:spacing w:val="-1"/>
        </w:rPr>
        <w:t>Committee.</w:t>
      </w:r>
    </w:p>
    <w:p w14:paraId="64F442EB" w14:textId="77777777" w:rsidR="00D43A59" w:rsidRDefault="00D43A59" w:rsidP="000D3041">
      <w:pPr>
        <w:pStyle w:val="BodyText"/>
        <w:widowControl w:val="0"/>
        <w:numPr>
          <w:ilvl w:val="3"/>
          <w:numId w:val="20"/>
        </w:numPr>
        <w:tabs>
          <w:tab w:val="left" w:pos="820"/>
        </w:tabs>
        <w:kinsoku w:val="0"/>
        <w:overflowPunct w:val="0"/>
        <w:autoSpaceDE w:val="0"/>
        <w:autoSpaceDN w:val="0"/>
        <w:adjustRightInd w:val="0"/>
        <w:spacing w:before="0" w:after="0"/>
        <w:ind w:left="816" w:right="515" w:hanging="357"/>
        <w:rPr>
          <w:spacing w:val="-1"/>
        </w:rPr>
      </w:pPr>
      <w:r>
        <w:rPr>
          <w:spacing w:val="-1"/>
        </w:rPr>
        <w:t>Monitoring of</w:t>
      </w:r>
      <w:r>
        <w:rPr>
          <w:spacing w:val="3"/>
        </w:rPr>
        <w:t xml:space="preserve"> </w:t>
      </w:r>
      <w:r>
        <w:rPr>
          <w:spacing w:val="-1"/>
        </w:rPr>
        <w:t>completion</w:t>
      </w:r>
      <w:r>
        <w:rPr>
          <w:spacing w:val="1"/>
        </w:rPr>
        <w:t xml:space="preserve"> </w:t>
      </w:r>
      <w:r>
        <w:rPr>
          <w:spacing w:val="-1"/>
        </w:rPr>
        <w:t>of</w:t>
      </w:r>
      <w:r>
        <w:t xml:space="preserve"> </w:t>
      </w:r>
      <w:r>
        <w:rPr>
          <w:spacing w:val="-1"/>
        </w:rPr>
        <w:t>Equality</w:t>
      </w:r>
      <w:r>
        <w:rPr>
          <w:spacing w:val="-2"/>
        </w:rPr>
        <w:t xml:space="preserve"> </w:t>
      </w:r>
      <w:r>
        <w:t>and</w:t>
      </w:r>
      <w:r>
        <w:rPr>
          <w:spacing w:val="-1"/>
        </w:rPr>
        <w:t xml:space="preserve"> Health</w:t>
      </w:r>
      <w:r>
        <w:rPr>
          <w:spacing w:val="1"/>
        </w:rPr>
        <w:t xml:space="preserve"> </w:t>
      </w:r>
      <w:r>
        <w:rPr>
          <w:spacing w:val="-1"/>
        </w:rPr>
        <w:t>Inequality</w:t>
      </w:r>
      <w:r>
        <w:rPr>
          <w:spacing w:val="-2"/>
        </w:rPr>
        <w:t xml:space="preserve"> </w:t>
      </w:r>
      <w:r>
        <w:rPr>
          <w:spacing w:val="-1"/>
        </w:rPr>
        <w:t>Impact</w:t>
      </w:r>
      <w:r>
        <w:t xml:space="preserve"> </w:t>
      </w:r>
      <w:r>
        <w:rPr>
          <w:spacing w:val="-1"/>
        </w:rPr>
        <w:t>Assessments,</w:t>
      </w:r>
      <w:r>
        <w:rPr>
          <w:spacing w:val="-2"/>
        </w:rPr>
        <w:t xml:space="preserve"> </w:t>
      </w:r>
      <w:r>
        <w:rPr>
          <w:spacing w:val="-1"/>
        </w:rPr>
        <w:t>Quality</w:t>
      </w:r>
      <w:r>
        <w:rPr>
          <w:spacing w:val="73"/>
        </w:rPr>
        <w:t xml:space="preserve"> </w:t>
      </w:r>
      <w:r>
        <w:rPr>
          <w:spacing w:val="-1"/>
        </w:rPr>
        <w:t>Impact</w:t>
      </w:r>
      <w:r>
        <w:t xml:space="preserve"> </w:t>
      </w:r>
      <w:r>
        <w:rPr>
          <w:spacing w:val="-1"/>
        </w:rPr>
        <w:t>Assessments</w:t>
      </w:r>
      <w:r>
        <w:rPr>
          <w:spacing w:val="-2"/>
        </w:rPr>
        <w:t xml:space="preserve"> </w:t>
      </w:r>
      <w:r>
        <w:rPr>
          <w:spacing w:val="-1"/>
        </w:rPr>
        <w:t>and</w:t>
      </w:r>
      <w:r>
        <w:rPr>
          <w:spacing w:val="1"/>
        </w:rPr>
        <w:t xml:space="preserve"> </w:t>
      </w:r>
      <w:r>
        <w:rPr>
          <w:spacing w:val="-1"/>
        </w:rPr>
        <w:t>Privacy</w:t>
      </w:r>
      <w:r>
        <w:rPr>
          <w:spacing w:val="-2"/>
        </w:rPr>
        <w:t xml:space="preserve"> </w:t>
      </w:r>
      <w:r>
        <w:t>Impact</w:t>
      </w:r>
      <w:r>
        <w:rPr>
          <w:spacing w:val="-2"/>
        </w:rPr>
        <w:t xml:space="preserve"> </w:t>
      </w:r>
      <w:r>
        <w:rPr>
          <w:spacing w:val="-1"/>
        </w:rPr>
        <w:t>Assessments</w:t>
      </w:r>
    </w:p>
    <w:p w14:paraId="09B821FE" w14:textId="77777777" w:rsidR="00D43A59" w:rsidRDefault="00D43A59" w:rsidP="000D3041">
      <w:pPr>
        <w:pStyle w:val="BodyText"/>
        <w:widowControl w:val="0"/>
        <w:numPr>
          <w:ilvl w:val="3"/>
          <w:numId w:val="20"/>
        </w:numPr>
        <w:tabs>
          <w:tab w:val="left" w:pos="820"/>
        </w:tabs>
        <w:kinsoku w:val="0"/>
        <w:overflowPunct w:val="0"/>
        <w:autoSpaceDE w:val="0"/>
        <w:autoSpaceDN w:val="0"/>
        <w:adjustRightInd w:val="0"/>
        <w:spacing w:before="0" w:after="0"/>
        <w:ind w:left="816" w:hanging="357"/>
        <w:rPr>
          <w:spacing w:val="-1"/>
        </w:rPr>
      </w:pPr>
      <w:r>
        <w:rPr>
          <w:spacing w:val="-1"/>
        </w:rPr>
        <w:t>Regular review</w:t>
      </w:r>
      <w:r>
        <w:rPr>
          <w:spacing w:val="-3"/>
        </w:rPr>
        <w:t xml:space="preserve"> </w:t>
      </w:r>
      <w:r>
        <w:t>of</w:t>
      </w:r>
      <w:r>
        <w:rPr>
          <w:spacing w:val="3"/>
        </w:rPr>
        <w:t xml:space="preserve"> </w:t>
      </w:r>
      <w:r>
        <w:rPr>
          <w:spacing w:val="-1"/>
        </w:rPr>
        <w:t>anti-fraud,</w:t>
      </w:r>
      <w:r>
        <w:rPr>
          <w:spacing w:val="-2"/>
        </w:rPr>
        <w:t xml:space="preserve"> </w:t>
      </w:r>
      <w:r>
        <w:rPr>
          <w:spacing w:val="-1"/>
        </w:rPr>
        <w:t>bribery</w:t>
      </w:r>
      <w:r>
        <w:rPr>
          <w:spacing w:val="-2"/>
        </w:rPr>
        <w:t xml:space="preserve"> </w:t>
      </w:r>
      <w:r>
        <w:t>and</w:t>
      </w:r>
      <w:r>
        <w:rPr>
          <w:spacing w:val="1"/>
        </w:rPr>
        <w:t xml:space="preserve"> </w:t>
      </w:r>
      <w:r>
        <w:rPr>
          <w:spacing w:val="-1"/>
        </w:rPr>
        <w:t>security</w:t>
      </w:r>
      <w:r>
        <w:rPr>
          <w:spacing w:val="-2"/>
        </w:rPr>
        <w:t xml:space="preserve"> </w:t>
      </w:r>
      <w:r>
        <w:rPr>
          <w:spacing w:val="-1"/>
        </w:rPr>
        <w:t>arrangements</w:t>
      </w:r>
      <w:r>
        <w:t xml:space="preserve"> by</w:t>
      </w:r>
      <w:r>
        <w:rPr>
          <w:spacing w:val="-2"/>
        </w:rPr>
        <w:t xml:space="preserve"> </w:t>
      </w:r>
      <w:r>
        <w:rPr>
          <w:spacing w:val="-1"/>
        </w:rPr>
        <w:t>the</w:t>
      </w:r>
      <w:r>
        <w:rPr>
          <w:spacing w:val="1"/>
        </w:rPr>
        <w:t xml:space="preserve"> </w:t>
      </w:r>
      <w:r>
        <w:rPr>
          <w:spacing w:val="-1"/>
        </w:rPr>
        <w:t>Audit</w:t>
      </w:r>
      <w:r>
        <w:t xml:space="preserve"> </w:t>
      </w:r>
      <w:r>
        <w:rPr>
          <w:spacing w:val="-1"/>
        </w:rPr>
        <w:t>Committee.</w:t>
      </w:r>
    </w:p>
    <w:p w14:paraId="77FCC0F9" w14:textId="77777777" w:rsidR="00D43A59" w:rsidRDefault="00D43A59" w:rsidP="000D3041">
      <w:pPr>
        <w:pStyle w:val="BodyText"/>
        <w:widowControl w:val="0"/>
        <w:numPr>
          <w:ilvl w:val="3"/>
          <w:numId w:val="20"/>
        </w:numPr>
        <w:tabs>
          <w:tab w:val="left" w:pos="820"/>
        </w:tabs>
        <w:kinsoku w:val="0"/>
        <w:overflowPunct w:val="0"/>
        <w:autoSpaceDE w:val="0"/>
        <w:autoSpaceDN w:val="0"/>
        <w:adjustRightInd w:val="0"/>
        <w:spacing w:before="0" w:after="0"/>
        <w:ind w:left="816" w:right="622" w:hanging="357"/>
        <w:rPr>
          <w:spacing w:val="-1"/>
        </w:rPr>
      </w:pPr>
      <w:r>
        <w:rPr>
          <w:spacing w:val="-1"/>
        </w:rPr>
        <w:t>Emergency</w:t>
      </w:r>
      <w:r>
        <w:rPr>
          <w:spacing w:val="-2"/>
        </w:rPr>
        <w:t xml:space="preserve"> </w:t>
      </w:r>
      <w:r>
        <w:rPr>
          <w:spacing w:val="-1"/>
        </w:rPr>
        <w:t>Planning,</w:t>
      </w:r>
      <w:r>
        <w:rPr>
          <w:spacing w:val="-2"/>
        </w:rPr>
        <w:t xml:space="preserve"> </w:t>
      </w:r>
      <w:r>
        <w:rPr>
          <w:spacing w:val="-1"/>
        </w:rPr>
        <w:t>Resilience</w:t>
      </w:r>
      <w:r>
        <w:rPr>
          <w:spacing w:val="1"/>
        </w:rPr>
        <w:t xml:space="preserve"> </w:t>
      </w:r>
      <w:r>
        <w:rPr>
          <w:spacing w:val="-1"/>
        </w:rPr>
        <w:t>and</w:t>
      </w:r>
      <w:r>
        <w:rPr>
          <w:spacing w:val="1"/>
        </w:rPr>
        <w:t xml:space="preserve"> </w:t>
      </w:r>
      <w:r>
        <w:rPr>
          <w:spacing w:val="-1"/>
        </w:rPr>
        <w:t>Response</w:t>
      </w:r>
      <w:r>
        <w:rPr>
          <w:spacing w:val="1"/>
        </w:rPr>
        <w:t xml:space="preserve"> </w:t>
      </w:r>
      <w:r>
        <w:rPr>
          <w:spacing w:val="-1"/>
        </w:rPr>
        <w:t>and Business</w:t>
      </w:r>
      <w:r>
        <w:t xml:space="preserve"> </w:t>
      </w:r>
      <w:r>
        <w:rPr>
          <w:spacing w:val="-1"/>
        </w:rPr>
        <w:t>Continuity</w:t>
      </w:r>
      <w:r>
        <w:rPr>
          <w:spacing w:val="-2"/>
        </w:rPr>
        <w:t xml:space="preserve"> </w:t>
      </w:r>
      <w:r>
        <w:rPr>
          <w:spacing w:val="-1"/>
        </w:rPr>
        <w:t>Management</w:t>
      </w:r>
      <w:r>
        <w:rPr>
          <w:spacing w:val="73"/>
        </w:rPr>
        <w:t xml:space="preserve"> </w:t>
      </w:r>
      <w:r>
        <w:rPr>
          <w:spacing w:val="-1"/>
        </w:rPr>
        <w:t>Policies</w:t>
      </w:r>
      <w:r>
        <w:t xml:space="preserve"> </w:t>
      </w:r>
      <w:r>
        <w:rPr>
          <w:spacing w:val="-1"/>
        </w:rPr>
        <w:t>and</w:t>
      </w:r>
      <w:r>
        <w:rPr>
          <w:spacing w:val="1"/>
        </w:rPr>
        <w:t xml:space="preserve"> </w:t>
      </w:r>
      <w:r>
        <w:rPr>
          <w:spacing w:val="-1"/>
        </w:rPr>
        <w:t>Procedures.</w:t>
      </w:r>
    </w:p>
    <w:p w14:paraId="7FA8E15E" w14:textId="77777777" w:rsidR="00D43A59" w:rsidRDefault="00D43A59" w:rsidP="00D43A59">
      <w:pPr>
        <w:pStyle w:val="BodyText"/>
        <w:kinsoku w:val="0"/>
        <w:overflowPunct w:val="0"/>
        <w:ind w:right="104"/>
        <w:rPr>
          <w:spacing w:val="-1"/>
        </w:rPr>
      </w:pPr>
      <w:r>
        <w:t>The</w:t>
      </w:r>
      <w:r>
        <w:rPr>
          <w:spacing w:val="1"/>
        </w:rPr>
        <w:t xml:space="preserve"> </w:t>
      </w:r>
      <w:r>
        <w:rPr>
          <w:spacing w:val="-1"/>
        </w:rPr>
        <w:t>CCG’s</w:t>
      </w:r>
      <w:r>
        <w:rPr>
          <w:spacing w:val="-5"/>
        </w:rPr>
        <w:t xml:space="preserve"> </w:t>
      </w:r>
      <w:r>
        <w:rPr>
          <w:spacing w:val="-1"/>
        </w:rPr>
        <w:t>Whistleblowing Policy,</w:t>
      </w:r>
      <w:r>
        <w:t xml:space="preserve"> </w:t>
      </w:r>
      <w:r>
        <w:rPr>
          <w:spacing w:val="-1"/>
        </w:rPr>
        <w:t xml:space="preserve">supported </w:t>
      </w:r>
      <w:r>
        <w:t>by</w:t>
      </w:r>
      <w:r>
        <w:rPr>
          <w:spacing w:val="-2"/>
        </w:rPr>
        <w:t xml:space="preserve"> </w:t>
      </w:r>
      <w:r>
        <w:t>the</w:t>
      </w:r>
      <w:r>
        <w:rPr>
          <w:spacing w:val="1"/>
        </w:rPr>
        <w:t xml:space="preserve"> </w:t>
      </w:r>
      <w:r>
        <w:rPr>
          <w:spacing w:val="-1"/>
        </w:rPr>
        <w:t>appointment</w:t>
      </w:r>
      <w:r>
        <w:t xml:space="preserve"> </w:t>
      </w:r>
      <w:r>
        <w:rPr>
          <w:spacing w:val="-1"/>
        </w:rPr>
        <w:t>of</w:t>
      </w:r>
      <w:r>
        <w:rPr>
          <w:spacing w:val="-2"/>
        </w:rPr>
        <w:t xml:space="preserve"> </w:t>
      </w:r>
      <w:r>
        <w:t>a</w:t>
      </w:r>
      <w:r>
        <w:rPr>
          <w:spacing w:val="1"/>
        </w:rPr>
        <w:t xml:space="preserve"> </w:t>
      </w:r>
      <w:r>
        <w:rPr>
          <w:spacing w:val="-1"/>
        </w:rPr>
        <w:t>Freedom</w:t>
      </w:r>
      <w:r>
        <w:rPr>
          <w:spacing w:val="-3"/>
        </w:rPr>
        <w:t xml:space="preserve"> </w:t>
      </w:r>
      <w:r>
        <w:rPr>
          <w:spacing w:val="1"/>
        </w:rPr>
        <w:t xml:space="preserve">To </w:t>
      </w:r>
      <w:r>
        <w:rPr>
          <w:spacing w:val="-1"/>
        </w:rPr>
        <w:t>Speak</w:t>
      </w:r>
      <w:r>
        <w:rPr>
          <w:spacing w:val="-2"/>
        </w:rPr>
        <w:t xml:space="preserve"> </w:t>
      </w:r>
      <w:r>
        <w:rPr>
          <w:spacing w:val="-1"/>
        </w:rPr>
        <w:t>Up</w:t>
      </w:r>
      <w:r>
        <w:rPr>
          <w:spacing w:val="63"/>
        </w:rPr>
        <w:t xml:space="preserve"> </w:t>
      </w:r>
      <w:r>
        <w:rPr>
          <w:spacing w:val="-1"/>
        </w:rPr>
        <w:t>Guardian,</w:t>
      </w:r>
      <w:r>
        <w:t xml:space="preserve"> </w:t>
      </w:r>
      <w:r>
        <w:rPr>
          <w:spacing w:val="-1"/>
        </w:rPr>
        <w:t>also</w:t>
      </w:r>
      <w:r>
        <w:rPr>
          <w:spacing w:val="1"/>
        </w:rPr>
        <w:t xml:space="preserve"> </w:t>
      </w:r>
      <w:r>
        <w:rPr>
          <w:spacing w:val="-1"/>
        </w:rPr>
        <w:t>supports</w:t>
      </w:r>
      <w:r>
        <w:t xml:space="preserve"> </w:t>
      </w:r>
      <w:r>
        <w:rPr>
          <w:spacing w:val="-1"/>
        </w:rPr>
        <w:t>risk</w:t>
      </w:r>
      <w:r>
        <w:t xml:space="preserve"> </w:t>
      </w:r>
      <w:r>
        <w:rPr>
          <w:spacing w:val="-1"/>
        </w:rPr>
        <w:t>management</w:t>
      </w:r>
      <w:r>
        <w:rPr>
          <w:spacing w:val="-2"/>
        </w:rPr>
        <w:t xml:space="preserve"> </w:t>
      </w:r>
      <w:r>
        <w:t>by</w:t>
      </w:r>
      <w:r>
        <w:rPr>
          <w:spacing w:val="-2"/>
        </w:rPr>
        <w:t xml:space="preserve"> </w:t>
      </w:r>
      <w:r>
        <w:rPr>
          <w:spacing w:val="-1"/>
        </w:rPr>
        <w:t xml:space="preserve">providing </w:t>
      </w:r>
      <w:r>
        <w:t>a</w:t>
      </w:r>
      <w:r>
        <w:rPr>
          <w:spacing w:val="1"/>
        </w:rPr>
        <w:t xml:space="preserve"> </w:t>
      </w:r>
      <w:r>
        <w:rPr>
          <w:spacing w:val="-1"/>
        </w:rPr>
        <w:t>framework</w:t>
      </w:r>
      <w:r>
        <w:t xml:space="preserve"> for</w:t>
      </w:r>
      <w:r>
        <w:rPr>
          <w:spacing w:val="-1"/>
        </w:rPr>
        <w:t xml:space="preserve"> employees</w:t>
      </w:r>
      <w:r>
        <w:t xml:space="preserve"> </w:t>
      </w:r>
      <w:r>
        <w:rPr>
          <w:spacing w:val="-1"/>
        </w:rPr>
        <w:t>to</w:t>
      </w:r>
      <w:r>
        <w:rPr>
          <w:spacing w:val="1"/>
        </w:rPr>
        <w:t xml:space="preserve"> </w:t>
      </w:r>
      <w:r>
        <w:rPr>
          <w:spacing w:val="-1"/>
        </w:rPr>
        <w:t>raise</w:t>
      </w:r>
      <w:r>
        <w:rPr>
          <w:spacing w:val="63"/>
        </w:rPr>
        <w:t xml:space="preserve"> </w:t>
      </w:r>
      <w:r>
        <w:rPr>
          <w:spacing w:val="-1"/>
        </w:rPr>
        <w:t>concerns,</w:t>
      </w:r>
      <w:r>
        <w:rPr>
          <w:spacing w:val="-2"/>
        </w:rPr>
        <w:t xml:space="preserve"> </w:t>
      </w:r>
      <w:r>
        <w:rPr>
          <w:spacing w:val="-1"/>
        </w:rPr>
        <w:t>in</w:t>
      </w:r>
      <w:r>
        <w:rPr>
          <w:spacing w:val="1"/>
        </w:rPr>
        <w:t xml:space="preserve"> </w:t>
      </w:r>
      <w:r>
        <w:rPr>
          <w:spacing w:val="-1"/>
        </w:rPr>
        <w:t>line with</w:t>
      </w:r>
      <w:r>
        <w:rPr>
          <w:spacing w:val="1"/>
        </w:rPr>
        <w:t xml:space="preserve"> </w:t>
      </w:r>
      <w:r>
        <w:t>the</w:t>
      </w:r>
      <w:r>
        <w:rPr>
          <w:spacing w:val="1"/>
        </w:rPr>
        <w:t xml:space="preserve"> </w:t>
      </w:r>
      <w:r>
        <w:rPr>
          <w:spacing w:val="-1"/>
        </w:rPr>
        <w:t>Public</w:t>
      </w:r>
      <w:r>
        <w:t xml:space="preserve"> </w:t>
      </w:r>
      <w:r>
        <w:rPr>
          <w:spacing w:val="-1"/>
        </w:rPr>
        <w:t>Interest</w:t>
      </w:r>
      <w:r>
        <w:t xml:space="preserve"> </w:t>
      </w:r>
      <w:r>
        <w:rPr>
          <w:spacing w:val="-1"/>
        </w:rPr>
        <w:t>Disclosure</w:t>
      </w:r>
      <w:r>
        <w:rPr>
          <w:spacing w:val="1"/>
        </w:rPr>
        <w:t xml:space="preserve"> </w:t>
      </w:r>
      <w:r>
        <w:rPr>
          <w:spacing w:val="-1"/>
        </w:rPr>
        <w:t>Act</w:t>
      </w:r>
      <w:r>
        <w:t xml:space="preserve"> </w:t>
      </w:r>
      <w:r>
        <w:rPr>
          <w:spacing w:val="-1"/>
        </w:rPr>
        <w:t>1998,</w:t>
      </w:r>
      <w:r>
        <w:t xml:space="preserve"> </w:t>
      </w:r>
      <w:r>
        <w:rPr>
          <w:spacing w:val="-1"/>
        </w:rPr>
        <w:t>without</w:t>
      </w:r>
      <w:r>
        <w:t xml:space="preserve"> the</w:t>
      </w:r>
      <w:r>
        <w:rPr>
          <w:spacing w:val="-1"/>
        </w:rPr>
        <w:t xml:space="preserve"> perception</w:t>
      </w:r>
      <w:r>
        <w:rPr>
          <w:spacing w:val="1"/>
        </w:rPr>
        <w:t xml:space="preserve"> </w:t>
      </w:r>
      <w:r>
        <w:rPr>
          <w:spacing w:val="-1"/>
        </w:rPr>
        <w:t>of</w:t>
      </w:r>
      <w:r>
        <w:t xml:space="preserve"> </w:t>
      </w:r>
      <w:r>
        <w:rPr>
          <w:spacing w:val="-1"/>
        </w:rPr>
        <w:t>being</w:t>
      </w:r>
      <w:r>
        <w:rPr>
          <w:spacing w:val="57"/>
        </w:rPr>
        <w:t xml:space="preserve"> </w:t>
      </w:r>
      <w:r>
        <w:rPr>
          <w:spacing w:val="-1"/>
        </w:rPr>
        <w:t>disloyal</w:t>
      </w:r>
      <w:r>
        <w:t xml:space="preserve"> to</w:t>
      </w:r>
      <w:r>
        <w:rPr>
          <w:spacing w:val="1"/>
        </w:rPr>
        <w:t xml:space="preserve"> </w:t>
      </w:r>
      <w:r>
        <w:rPr>
          <w:spacing w:val="-1"/>
        </w:rPr>
        <w:t>colleagues,</w:t>
      </w:r>
      <w:r>
        <w:rPr>
          <w:spacing w:val="-2"/>
        </w:rPr>
        <w:t xml:space="preserve"> </w:t>
      </w:r>
      <w:r>
        <w:rPr>
          <w:spacing w:val="-1"/>
        </w:rPr>
        <w:t>managers</w:t>
      </w:r>
      <w:r>
        <w:t xml:space="preserve"> or</w:t>
      </w:r>
      <w:r>
        <w:rPr>
          <w:spacing w:val="-1"/>
        </w:rPr>
        <w:t xml:space="preserve"> the</w:t>
      </w:r>
      <w:r>
        <w:rPr>
          <w:spacing w:val="1"/>
        </w:rPr>
        <w:t xml:space="preserve"> </w:t>
      </w:r>
      <w:r>
        <w:rPr>
          <w:spacing w:val="-1"/>
        </w:rPr>
        <w:t>organisation.</w:t>
      </w:r>
      <w:r>
        <w:rPr>
          <w:spacing w:val="-2"/>
        </w:rPr>
        <w:t xml:space="preserve"> </w:t>
      </w:r>
      <w:r>
        <w:rPr>
          <w:spacing w:val="-1"/>
        </w:rPr>
        <w:t>The</w:t>
      </w:r>
      <w:r>
        <w:rPr>
          <w:spacing w:val="-6"/>
        </w:rPr>
        <w:t xml:space="preserve"> </w:t>
      </w:r>
      <w:r>
        <w:rPr>
          <w:spacing w:val="-1"/>
        </w:rPr>
        <w:t>Whistleblowing Policy</w:t>
      </w:r>
      <w:r>
        <w:t xml:space="preserve"> </w:t>
      </w:r>
      <w:r>
        <w:rPr>
          <w:spacing w:val="-1"/>
        </w:rPr>
        <w:t>was</w:t>
      </w:r>
      <w:r>
        <w:t xml:space="preserve"> </w:t>
      </w:r>
      <w:r>
        <w:rPr>
          <w:spacing w:val="-1"/>
        </w:rPr>
        <w:t>last</w:t>
      </w:r>
      <w:r>
        <w:t xml:space="preserve"> </w:t>
      </w:r>
      <w:r>
        <w:rPr>
          <w:spacing w:val="-1"/>
        </w:rPr>
        <w:t>updated</w:t>
      </w:r>
      <w:r>
        <w:rPr>
          <w:spacing w:val="89"/>
        </w:rPr>
        <w:t xml:space="preserve"> </w:t>
      </w:r>
      <w:r>
        <w:rPr>
          <w:spacing w:val="-1"/>
        </w:rPr>
        <w:t>in</w:t>
      </w:r>
      <w:r>
        <w:rPr>
          <w:spacing w:val="1"/>
        </w:rPr>
        <w:t xml:space="preserve"> </w:t>
      </w:r>
      <w:r>
        <w:rPr>
          <w:spacing w:val="-1"/>
        </w:rPr>
        <w:t>March</w:t>
      </w:r>
      <w:r>
        <w:rPr>
          <w:spacing w:val="1"/>
        </w:rPr>
        <w:t xml:space="preserve"> </w:t>
      </w:r>
      <w:r>
        <w:rPr>
          <w:spacing w:val="-1"/>
        </w:rPr>
        <w:t>2020 and,</w:t>
      </w:r>
      <w:r>
        <w:t xml:space="preserve"> as</w:t>
      </w:r>
      <w:r>
        <w:rPr>
          <w:spacing w:val="-5"/>
        </w:rPr>
        <w:t xml:space="preserve"> </w:t>
      </w:r>
      <w:r>
        <w:t>no</w:t>
      </w:r>
      <w:r>
        <w:rPr>
          <w:spacing w:val="1"/>
        </w:rPr>
        <w:t xml:space="preserve"> </w:t>
      </w:r>
      <w:r>
        <w:rPr>
          <w:spacing w:val="-1"/>
        </w:rPr>
        <w:t>amendments</w:t>
      </w:r>
      <w:r>
        <w:t xml:space="preserve"> </w:t>
      </w:r>
      <w:r>
        <w:rPr>
          <w:spacing w:val="-1"/>
        </w:rPr>
        <w:t>were</w:t>
      </w:r>
      <w:r>
        <w:rPr>
          <w:spacing w:val="1"/>
        </w:rPr>
        <w:t xml:space="preserve"> </w:t>
      </w:r>
      <w:r>
        <w:rPr>
          <w:spacing w:val="-1"/>
        </w:rPr>
        <w:t>required,</w:t>
      </w:r>
      <w:r>
        <w:t xml:space="preserve"> </w:t>
      </w:r>
      <w:r>
        <w:rPr>
          <w:spacing w:val="-1"/>
        </w:rPr>
        <w:t>its</w:t>
      </w:r>
      <w:r>
        <w:t xml:space="preserve"> </w:t>
      </w:r>
      <w:r>
        <w:rPr>
          <w:spacing w:val="-1"/>
        </w:rPr>
        <w:t>expiry</w:t>
      </w:r>
      <w:r>
        <w:rPr>
          <w:spacing w:val="-2"/>
        </w:rPr>
        <w:t xml:space="preserve"> </w:t>
      </w:r>
      <w:r>
        <w:t>date</w:t>
      </w:r>
      <w:r>
        <w:rPr>
          <w:spacing w:val="-1"/>
        </w:rPr>
        <w:t xml:space="preserve"> </w:t>
      </w:r>
      <w:r>
        <w:t>has</w:t>
      </w:r>
      <w:r>
        <w:rPr>
          <w:spacing w:val="-2"/>
        </w:rPr>
        <w:t xml:space="preserve"> </w:t>
      </w:r>
      <w:r>
        <w:rPr>
          <w:spacing w:val="-1"/>
        </w:rPr>
        <w:t>been</w:t>
      </w:r>
      <w:r>
        <w:rPr>
          <w:spacing w:val="1"/>
        </w:rPr>
        <w:t xml:space="preserve"> </w:t>
      </w:r>
      <w:r>
        <w:rPr>
          <w:spacing w:val="-1"/>
        </w:rPr>
        <w:t xml:space="preserve">extended </w:t>
      </w:r>
      <w:r>
        <w:t>to</w:t>
      </w:r>
      <w:r>
        <w:rPr>
          <w:spacing w:val="-1"/>
        </w:rPr>
        <w:t xml:space="preserve"> June</w:t>
      </w:r>
      <w:r>
        <w:rPr>
          <w:spacing w:val="55"/>
        </w:rPr>
        <w:t xml:space="preserve"> </w:t>
      </w:r>
      <w:r>
        <w:rPr>
          <w:spacing w:val="-1"/>
        </w:rPr>
        <w:t>2022.</w:t>
      </w:r>
    </w:p>
    <w:p w14:paraId="4163DB72" w14:textId="089E7F89" w:rsidR="00D43A59" w:rsidRDefault="00D43A59" w:rsidP="00D43A59">
      <w:pPr>
        <w:pStyle w:val="BodyText"/>
        <w:kinsoku w:val="0"/>
        <w:overflowPunct w:val="0"/>
        <w:ind w:right="163"/>
        <w:rPr>
          <w:spacing w:val="-1"/>
        </w:rPr>
      </w:pPr>
      <w:r>
        <w:t>The</w:t>
      </w:r>
      <w:r>
        <w:rPr>
          <w:spacing w:val="1"/>
        </w:rPr>
        <w:t xml:space="preserve"> </w:t>
      </w:r>
      <w:r>
        <w:rPr>
          <w:spacing w:val="-1"/>
        </w:rPr>
        <w:t>CCG</w:t>
      </w:r>
      <w:r>
        <w:t xml:space="preserve"> </w:t>
      </w:r>
      <w:r>
        <w:rPr>
          <w:spacing w:val="-1"/>
        </w:rPr>
        <w:t>is</w:t>
      </w:r>
      <w:r>
        <w:t xml:space="preserve"> </w:t>
      </w:r>
      <w:r>
        <w:rPr>
          <w:spacing w:val="-1"/>
        </w:rPr>
        <w:t xml:space="preserve">committed </w:t>
      </w:r>
      <w:r>
        <w:t>to</w:t>
      </w:r>
      <w:r>
        <w:rPr>
          <w:spacing w:val="1"/>
        </w:rPr>
        <w:t xml:space="preserve"> </w:t>
      </w:r>
      <w:r>
        <w:rPr>
          <w:spacing w:val="-1"/>
        </w:rPr>
        <w:t xml:space="preserve">identifying </w:t>
      </w:r>
      <w:r>
        <w:t>the</w:t>
      </w:r>
      <w:r>
        <w:rPr>
          <w:spacing w:val="1"/>
        </w:rPr>
        <w:t xml:space="preserve"> </w:t>
      </w:r>
      <w:r>
        <w:rPr>
          <w:spacing w:val="-1"/>
        </w:rPr>
        <w:t xml:space="preserve">underlying </w:t>
      </w:r>
      <w:r>
        <w:t>or</w:t>
      </w:r>
      <w:r>
        <w:rPr>
          <w:spacing w:val="-1"/>
        </w:rPr>
        <w:t xml:space="preserve"> root</w:t>
      </w:r>
      <w:r>
        <w:t xml:space="preserve"> </w:t>
      </w:r>
      <w:r>
        <w:rPr>
          <w:spacing w:val="-1"/>
        </w:rPr>
        <w:t>causes</w:t>
      </w:r>
      <w:r>
        <w:t xml:space="preserve"> </w:t>
      </w:r>
      <w:r>
        <w:rPr>
          <w:spacing w:val="-1"/>
        </w:rPr>
        <w:t>of</w:t>
      </w:r>
      <w:r>
        <w:t xml:space="preserve"> </w:t>
      </w:r>
      <w:r>
        <w:rPr>
          <w:spacing w:val="-1"/>
        </w:rPr>
        <w:t>incidents,</w:t>
      </w:r>
      <w:r>
        <w:t xml:space="preserve"> </w:t>
      </w:r>
      <w:r>
        <w:rPr>
          <w:spacing w:val="-1"/>
        </w:rPr>
        <w:t>claims</w:t>
      </w:r>
      <w:r>
        <w:t xml:space="preserve"> </w:t>
      </w:r>
      <w:r>
        <w:rPr>
          <w:spacing w:val="-1"/>
        </w:rPr>
        <w:t>and</w:t>
      </w:r>
      <w:r>
        <w:rPr>
          <w:spacing w:val="51"/>
        </w:rPr>
        <w:t xml:space="preserve"> </w:t>
      </w:r>
      <w:r w:rsidR="00A37230">
        <w:rPr>
          <w:spacing w:val="-1"/>
        </w:rPr>
        <w:t>complaints</w:t>
      </w:r>
      <w:r>
        <w:rPr>
          <w:spacing w:val="-2"/>
        </w:rPr>
        <w:t xml:space="preserve"> </w:t>
      </w:r>
      <w:r>
        <w:rPr>
          <w:spacing w:val="-1"/>
        </w:rPr>
        <w:t>and</w:t>
      </w:r>
      <w:r>
        <w:rPr>
          <w:spacing w:val="1"/>
        </w:rPr>
        <w:t xml:space="preserve"> </w:t>
      </w:r>
      <w:r>
        <w:rPr>
          <w:spacing w:val="-1"/>
        </w:rPr>
        <w:t>the</w:t>
      </w:r>
      <w:r>
        <w:rPr>
          <w:spacing w:val="1"/>
        </w:rPr>
        <w:t xml:space="preserve"> </w:t>
      </w:r>
      <w:r>
        <w:rPr>
          <w:spacing w:val="-1"/>
        </w:rPr>
        <w:t>principal</w:t>
      </w:r>
      <w:r>
        <w:t xml:space="preserve"> </w:t>
      </w:r>
      <w:r>
        <w:rPr>
          <w:spacing w:val="-1"/>
        </w:rPr>
        <w:t>objective</w:t>
      </w:r>
      <w:r>
        <w:rPr>
          <w:spacing w:val="1"/>
        </w:rPr>
        <w:t xml:space="preserve"> </w:t>
      </w:r>
      <w:r>
        <w:rPr>
          <w:spacing w:val="-1"/>
        </w:rPr>
        <w:t>is</w:t>
      </w:r>
      <w:r>
        <w:t xml:space="preserve"> to</w:t>
      </w:r>
      <w:r>
        <w:rPr>
          <w:spacing w:val="1"/>
        </w:rPr>
        <w:t xml:space="preserve"> </w:t>
      </w:r>
      <w:r>
        <w:rPr>
          <w:spacing w:val="-1"/>
        </w:rPr>
        <w:t>identify</w:t>
      </w:r>
      <w:r>
        <w:rPr>
          <w:spacing w:val="-2"/>
        </w:rPr>
        <w:t xml:space="preserve"> </w:t>
      </w:r>
      <w:r>
        <w:rPr>
          <w:spacing w:val="-1"/>
        </w:rPr>
        <w:t>‘system failures’,</w:t>
      </w:r>
      <w:r>
        <w:rPr>
          <w:spacing w:val="-2"/>
        </w:rPr>
        <w:t xml:space="preserve"> </w:t>
      </w:r>
      <w:r>
        <w:rPr>
          <w:spacing w:val="-1"/>
        </w:rPr>
        <w:t>rather than focusing on</w:t>
      </w:r>
      <w:r>
        <w:rPr>
          <w:spacing w:val="87"/>
        </w:rPr>
        <w:t xml:space="preserve"> </w:t>
      </w:r>
      <w:r>
        <w:rPr>
          <w:spacing w:val="-1"/>
        </w:rPr>
        <w:t>individual</w:t>
      </w:r>
      <w:r>
        <w:t xml:space="preserve"> </w:t>
      </w:r>
      <w:r>
        <w:rPr>
          <w:spacing w:val="-1"/>
        </w:rPr>
        <w:t>failures.</w:t>
      </w:r>
    </w:p>
    <w:p w14:paraId="5BBCF2D4" w14:textId="0877CF45" w:rsidR="00D43A59" w:rsidRDefault="00D43A59" w:rsidP="00D43A59">
      <w:pPr>
        <w:pStyle w:val="BodyText"/>
        <w:kinsoku w:val="0"/>
        <w:overflowPunct w:val="0"/>
        <w:ind w:right="163"/>
        <w:rPr>
          <w:spacing w:val="-1"/>
        </w:rPr>
      </w:pPr>
      <w:r>
        <w:rPr>
          <w:spacing w:val="-1"/>
        </w:rPr>
        <w:t>Stakeholders,</w:t>
      </w:r>
      <w:r>
        <w:t xml:space="preserve"> </w:t>
      </w:r>
      <w:r>
        <w:rPr>
          <w:spacing w:val="-1"/>
        </w:rPr>
        <w:t>including staff,</w:t>
      </w:r>
      <w:r>
        <w:t xml:space="preserve"> </w:t>
      </w:r>
      <w:r>
        <w:rPr>
          <w:spacing w:val="-1"/>
        </w:rPr>
        <w:t>patients</w:t>
      </w:r>
      <w:r>
        <w:t xml:space="preserve"> </w:t>
      </w:r>
      <w:r>
        <w:rPr>
          <w:spacing w:val="-1"/>
        </w:rPr>
        <w:t>and the</w:t>
      </w:r>
      <w:r>
        <w:rPr>
          <w:spacing w:val="1"/>
        </w:rPr>
        <w:t xml:space="preserve"> </w:t>
      </w:r>
      <w:r>
        <w:rPr>
          <w:spacing w:val="-1"/>
        </w:rPr>
        <w:t>public</w:t>
      </w:r>
      <w:r>
        <w:t xml:space="preserve"> </w:t>
      </w:r>
      <w:r>
        <w:rPr>
          <w:spacing w:val="-1"/>
        </w:rPr>
        <w:t>have</w:t>
      </w:r>
      <w:r>
        <w:rPr>
          <w:spacing w:val="1"/>
        </w:rPr>
        <w:t xml:space="preserve"> </w:t>
      </w:r>
      <w:r>
        <w:rPr>
          <w:spacing w:val="-1"/>
        </w:rPr>
        <w:t>been involved</w:t>
      </w:r>
      <w:r>
        <w:rPr>
          <w:spacing w:val="1"/>
        </w:rPr>
        <w:t xml:space="preserve"> </w:t>
      </w:r>
      <w:r>
        <w:rPr>
          <w:spacing w:val="-1"/>
        </w:rPr>
        <w:t>in</w:t>
      </w:r>
      <w:r>
        <w:rPr>
          <w:spacing w:val="1"/>
        </w:rPr>
        <w:t xml:space="preserve"> </w:t>
      </w:r>
      <w:r>
        <w:t>the</w:t>
      </w:r>
      <w:r>
        <w:rPr>
          <w:spacing w:val="-1"/>
        </w:rPr>
        <w:t xml:space="preserve"> risk</w:t>
      </w:r>
      <w:r>
        <w:t xml:space="preserve"> </w:t>
      </w:r>
      <w:r>
        <w:rPr>
          <w:spacing w:val="-1"/>
        </w:rPr>
        <w:t>management</w:t>
      </w:r>
      <w:r>
        <w:rPr>
          <w:spacing w:val="67"/>
        </w:rPr>
        <w:t xml:space="preserve"> </w:t>
      </w:r>
      <w:r>
        <w:rPr>
          <w:spacing w:val="-1"/>
        </w:rPr>
        <w:t>process,</w:t>
      </w:r>
      <w:r>
        <w:rPr>
          <w:spacing w:val="-2"/>
        </w:rPr>
        <w:t xml:space="preserve"> </w:t>
      </w:r>
      <w:r>
        <w:t>for</w:t>
      </w:r>
      <w:r>
        <w:rPr>
          <w:spacing w:val="-1"/>
        </w:rPr>
        <w:t xml:space="preserve"> example</w:t>
      </w:r>
      <w:r>
        <w:rPr>
          <w:spacing w:val="1"/>
        </w:rPr>
        <w:t xml:space="preserve"> </w:t>
      </w:r>
      <w:r>
        <w:rPr>
          <w:spacing w:val="-1"/>
        </w:rPr>
        <w:t>by</w:t>
      </w:r>
      <w:r>
        <w:rPr>
          <w:spacing w:val="-2"/>
        </w:rPr>
        <w:t xml:space="preserve"> </w:t>
      </w:r>
      <w:r>
        <w:rPr>
          <w:spacing w:val="-1"/>
        </w:rPr>
        <w:t xml:space="preserve">ensuring </w:t>
      </w:r>
      <w:r>
        <w:t xml:space="preserve">that </w:t>
      </w:r>
      <w:r>
        <w:rPr>
          <w:spacing w:val="-1"/>
        </w:rPr>
        <w:t>relevant</w:t>
      </w:r>
      <w:r>
        <w:t xml:space="preserve"> </w:t>
      </w:r>
      <w:r>
        <w:rPr>
          <w:spacing w:val="-1"/>
        </w:rPr>
        <w:t>staff</w:t>
      </w:r>
      <w:r>
        <w:t xml:space="preserve"> </w:t>
      </w:r>
      <w:r>
        <w:rPr>
          <w:spacing w:val="-1"/>
        </w:rPr>
        <w:t>were</w:t>
      </w:r>
      <w:r>
        <w:rPr>
          <w:spacing w:val="1"/>
        </w:rPr>
        <w:t xml:space="preserve"> </w:t>
      </w:r>
      <w:r>
        <w:rPr>
          <w:spacing w:val="-1"/>
        </w:rPr>
        <w:t>identified</w:t>
      </w:r>
      <w:r>
        <w:rPr>
          <w:spacing w:val="1"/>
        </w:rPr>
        <w:t xml:space="preserve"> </w:t>
      </w:r>
      <w:r>
        <w:rPr>
          <w:spacing w:val="-1"/>
        </w:rPr>
        <w:t>to</w:t>
      </w:r>
      <w:r>
        <w:rPr>
          <w:spacing w:val="1"/>
        </w:rPr>
        <w:t xml:space="preserve"> </w:t>
      </w:r>
      <w:r>
        <w:rPr>
          <w:spacing w:val="-1"/>
        </w:rPr>
        <w:t>input</w:t>
      </w:r>
      <w:r>
        <w:t xml:space="preserve"> </w:t>
      </w:r>
      <w:r>
        <w:rPr>
          <w:spacing w:val="-1"/>
        </w:rPr>
        <w:t>into</w:t>
      </w:r>
      <w:r>
        <w:rPr>
          <w:spacing w:val="1"/>
        </w:rPr>
        <w:t xml:space="preserve"> </w:t>
      </w:r>
      <w:r>
        <w:rPr>
          <w:spacing w:val="-1"/>
        </w:rPr>
        <w:t>any</w:t>
      </w:r>
      <w:r>
        <w:rPr>
          <w:spacing w:val="-2"/>
        </w:rPr>
        <w:t xml:space="preserve"> </w:t>
      </w:r>
      <w:r>
        <w:rPr>
          <w:spacing w:val="-1"/>
        </w:rPr>
        <w:t>risk</w:t>
      </w:r>
      <w:r>
        <w:rPr>
          <w:spacing w:val="61"/>
        </w:rPr>
        <w:t xml:space="preserve"> </w:t>
      </w:r>
      <w:r>
        <w:rPr>
          <w:spacing w:val="-1"/>
        </w:rPr>
        <w:t>assessments</w:t>
      </w:r>
      <w:r>
        <w:rPr>
          <w:spacing w:val="-2"/>
        </w:rPr>
        <w:t xml:space="preserve"> </w:t>
      </w:r>
      <w:r>
        <w:rPr>
          <w:spacing w:val="-1"/>
        </w:rPr>
        <w:t>in</w:t>
      </w:r>
      <w:r>
        <w:rPr>
          <w:spacing w:val="1"/>
        </w:rPr>
        <w:t xml:space="preserve"> </w:t>
      </w:r>
      <w:r>
        <w:rPr>
          <w:spacing w:val="-1"/>
        </w:rPr>
        <w:t>their</w:t>
      </w:r>
      <w:r>
        <w:rPr>
          <w:spacing w:val="-3"/>
        </w:rPr>
        <w:t xml:space="preserve"> </w:t>
      </w:r>
      <w:r>
        <w:rPr>
          <w:spacing w:val="-1"/>
        </w:rPr>
        <w:t xml:space="preserve">function </w:t>
      </w:r>
      <w:r>
        <w:t>or</w:t>
      </w:r>
      <w:r>
        <w:rPr>
          <w:spacing w:val="-1"/>
        </w:rPr>
        <w:t xml:space="preserve"> area of</w:t>
      </w:r>
      <w:r>
        <w:t xml:space="preserve"> </w:t>
      </w:r>
      <w:r>
        <w:rPr>
          <w:spacing w:val="-1"/>
        </w:rPr>
        <w:t>work;</w:t>
      </w:r>
      <w:r>
        <w:t xml:space="preserve"> that </w:t>
      </w:r>
      <w:r>
        <w:rPr>
          <w:spacing w:val="-1"/>
        </w:rPr>
        <w:t>CCG</w:t>
      </w:r>
      <w:r>
        <w:t xml:space="preserve"> </w:t>
      </w:r>
      <w:r>
        <w:rPr>
          <w:spacing w:val="-1"/>
        </w:rPr>
        <w:t>staff</w:t>
      </w:r>
      <w:r>
        <w:t xml:space="preserve"> </w:t>
      </w:r>
      <w:r>
        <w:rPr>
          <w:spacing w:val="-1"/>
        </w:rPr>
        <w:t>and</w:t>
      </w:r>
      <w:r>
        <w:rPr>
          <w:spacing w:val="1"/>
        </w:rPr>
        <w:t xml:space="preserve"> </w:t>
      </w:r>
      <w:r>
        <w:rPr>
          <w:spacing w:val="-1"/>
        </w:rPr>
        <w:t>contractors</w:t>
      </w:r>
      <w:r>
        <w:t xml:space="preserve"> </w:t>
      </w:r>
      <w:r>
        <w:rPr>
          <w:spacing w:val="-1"/>
        </w:rPr>
        <w:t>were</w:t>
      </w:r>
      <w:r>
        <w:rPr>
          <w:spacing w:val="1"/>
        </w:rPr>
        <w:t xml:space="preserve"> </w:t>
      </w:r>
      <w:r>
        <w:rPr>
          <w:spacing w:val="-1"/>
        </w:rPr>
        <w:t>made aware</w:t>
      </w:r>
      <w:r>
        <w:rPr>
          <w:spacing w:val="1"/>
        </w:rPr>
        <w:t xml:space="preserve"> </w:t>
      </w:r>
      <w:r>
        <w:rPr>
          <w:spacing w:val="-1"/>
        </w:rPr>
        <w:t>of</w:t>
      </w:r>
      <w:r>
        <w:rPr>
          <w:spacing w:val="75"/>
        </w:rPr>
        <w:t xml:space="preserve"> </w:t>
      </w:r>
      <w:r>
        <w:rPr>
          <w:spacing w:val="-1"/>
        </w:rPr>
        <w:t>agreed</w:t>
      </w:r>
      <w:r>
        <w:rPr>
          <w:spacing w:val="1"/>
        </w:rPr>
        <w:t xml:space="preserve"> </w:t>
      </w:r>
      <w:r>
        <w:rPr>
          <w:spacing w:val="-1"/>
        </w:rPr>
        <w:t>risk</w:t>
      </w:r>
      <w:r>
        <w:t xml:space="preserve"> </w:t>
      </w:r>
      <w:r>
        <w:rPr>
          <w:spacing w:val="-1"/>
        </w:rPr>
        <w:t>reporting procedures</w:t>
      </w:r>
      <w:r>
        <w:rPr>
          <w:spacing w:val="-2"/>
        </w:rPr>
        <w:t xml:space="preserve"> </w:t>
      </w:r>
      <w:r>
        <w:rPr>
          <w:spacing w:val="-1"/>
        </w:rPr>
        <w:t>including risks</w:t>
      </w:r>
      <w:r>
        <w:t xml:space="preserve"> </w:t>
      </w:r>
      <w:r>
        <w:rPr>
          <w:spacing w:val="-1"/>
        </w:rPr>
        <w:t>associated</w:t>
      </w:r>
      <w:r>
        <w:rPr>
          <w:spacing w:val="1"/>
        </w:rPr>
        <w:t xml:space="preserve"> </w:t>
      </w:r>
      <w:r>
        <w:rPr>
          <w:spacing w:val="-1"/>
        </w:rPr>
        <w:t>with</w:t>
      </w:r>
      <w:r>
        <w:rPr>
          <w:spacing w:val="1"/>
        </w:rPr>
        <w:t xml:space="preserve"> </w:t>
      </w:r>
      <w:r>
        <w:rPr>
          <w:spacing w:val="-1"/>
        </w:rPr>
        <w:t>C</w:t>
      </w:r>
      <w:r w:rsidR="003067AE">
        <w:rPr>
          <w:spacing w:val="-1"/>
        </w:rPr>
        <w:t>ovid</w:t>
      </w:r>
      <w:r>
        <w:rPr>
          <w:spacing w:val="-1"/>
        </w:rPr>
        <w:t>-19;</w:t>
      </w:r>
      <w:r>
        <w:t xml:space="preserve"> </w:t>
      </w:r>
      <w:r>
        <w:rPr>
          <w:spacing w:val="-1"/>
        </w:rPr>
        <w:t>that</w:t>
      </w:r>
      <w:r>
        <w:rPr>
          <w:spacing w:val="-2"/>
        </w:rPr>
        <w:t xml:space="preserve"> </w:t>
      </w:r>
      <w:r>
        <w:rPr>
          <w:spacing w:val="-1"/>
        </w:rPr>
        <w:t>contracts</w:t>
      </w:r>
      <w:r>
        <w:rPr>
          <w:spacing w:val="-2"/>
        </w:rPr>
        <w:t xml:space="preserve"> </w:t>
      </w:r>
      <w:r>
        <w:rPr>
          <w:spacing w:val="-1"/>
        </w:rPr>
        <w:t>clearly</w:t>
      </w:r>
      <w:r>
        <w:rPr>
          <w:spacing w:val="99"/>
        </w:rPr>
        <w:t xml:space="preserve"> </w:t>
      </w:r>
      <w:r>
        <w:rPr>
          <w:spacing w:val="-1"/>
        </w:rPr>
        <w:t>stated</w:t>
      </w:r>
      <w:r>
        <w:rPr>
          <w:spacing w:val="1"/>
        </w:rPr>
        <w:t xml:space="preserve"> </w:t>
      </w:r>
      <w:r>
        <w:rPr>
          <w:spacing w:val="-1"/>
        </w:rPr>
        <w:t>the</w:t>
      </w:r>
      <w:r>
        <w:rPr>
          <w:spacing w:val="1"/>
        </w:rPr>
        <w:t xml:space="preserve"> </w:t>
      </w:r>
      <w:r>
        <w:rPr>
          <w:spacing w:val="-1"/>
        </w:rPr>
        <w:t>responsibilities</w:t>
      </w:r>
      <w:r>
        <w:t xml:space="preserve"> </w:t>
      </w:r>
      <w:r>
        <w:rPr>
          <w:spacing w:val="-1"/>
        </w:rPr>
        <w:t>of</w:t>
      </w:r>
      <w:r>
        <w:rPr>
          <w:spacing w:val="3"/>
        </w:rPr>
        <w:t xml:space="preserve"> </w:t>
      </w:r>
      <w:r>
        <w:rPr>
          <w:spacing w:val="-1"/>
        </w:rPr>
        <w:t>contracted personnel</w:t>
      </w:r>
      <w:r>
        <w:t xml:space="preserve"> </w:t>
      </w:r>
      <w:r>
        <w:rPr>
          <w:spacing w:val="-1"/>
        </w:rPr>
        <w:t>with</w:t>
      </w:r>
      <w:r>
        <w:rPr>
          <w:spacing w:val="1"/>
        </w:rPr>
        <w:t xml:space="preserve"> </w:t>
      </w:r>
      <w:r>
        <w:rPr>
          <w:spacing w:val="-1"/>
        </w:rPr>
        <w:t>regard</w:t>
      </w:r>
      <w:r>
        <w:rPr>
          <w:spacing w:val="1"/>
        </w:rPr>
        <w:t xml:space="preserve"> </w:t>
      </w:r>
      <w:r>
        <w:t>to</w:t>
      </w:r>
      <w:r>
        <w:rPr>
          <w:spacing w:val="1"/>
        </w:rPr>
        <w:t xml:space="preserve"> </w:t>
      </w:r>
      <w:r>
        <w:rPr>
          <w:spacing w:val="-1"/>
        </w:rPr>
        <w:t>risk</w:t>
      </w:r>
      <w:r>
        <w:rPr>
          <w:spacing w:val="-2"/>
        </w:rPr>
        <w:t xml:space="preserve"> </w:t>
      </w:r>
      <w:r>
        <w:rPr>
          <w:spacing w:val="-1"/>
        </w:rPr>
        <w:t>identification,</w:t>
      </w:r>
      <w:r>
        <w:rPr>
          <w:spacing w:val="-2"/>
        </w:rPr>
        <w:t xml:space="preserve"> </w:t>
      </w:r>
      <w:r>
        <w:rPr>
          <w:spacing w:val="-1"/>
        </w:rPr>
        <w:t>reduction,</w:t>
      </w:r>
      <w:r>
        <w:rPr>
          <w:spacing w:val="73"/>
        </w:rPr>
        <w:t xml:space="preserve"> </w:t>
      </w:r>
      <w:r>
        <w:rPr>
          <w:spacing w:val="-1"/>
        </w:rPr>
        <w:t xml:space="preserve">mitigation </w:t>
      </w:r>
      <w:r>
        <w:t>and</w:t>
      </w:r>
      <w:r>
        <w:rPr>
          <w:spacing w:val="-1"/>
        </w:rPr>
        <w:t xml:space="preserve"> reporting;</w:t>
      </w:r>
      <w:r>
        <w:rPr>
          <w:spacing w:val="1"/>
        </w:rPr>
        <w:t xml:space="preserve"> </w:t>
      </w:r>
      <w:r>
        <w:t>that</w:t>
      </w:r>
      <w:r>
        <w:rPr>
          <w:spacing w:val="-2"/>
        </w:rPr>
        <w:t xml:space="preserve"> </w:t>
      </w:r>
      <w:r>
        <w:rPr>
          <w:spacing w:val="-1"/>
        </w:rPr>
        <w:t>feedback</w:t>
      </w:r>
      <w:r>
        <w:rPr>
          <w:spacing w:val="-2"/>
        </w:rPr>
        <w:t xml:space="preserve"> </w:t>
      </w:r>
      <w:r>
        <w:t>on</w:t>
      </w:r>
      <w:r>
        <w:rPr>
          <w:spacing w:val="-1"/>
        </w:rPr>
        <w:t xml:space="preserve"> risk</w:t>
      </w:r>
      <w:r>
        <w:t xml:space="preserve"> </w:t>
      </w:r>
      <w:r>
        <w:rPr>
          <w:spacing w:val="-1"/>
        </w:rPr>
        <w:t>issues</w:t>
      </w:r>
      <w:r>
        <w:t xml:space="preserve"> </w:t>
      </w:r>
      <w:r>
        <w:rPr>
          <w:spacing w:val="-1"/>
        </w:rPr>
        <w:t>was</w:t>
      </w:r>
      <w:r>
        <w:t xml:space="preserve"> </w:t>
      </w:r>
      <w:r>
        <w:rPr>
          <w:spacing w:val="-1"/>
        </w:rPr>
        <w:t>encouraged</w:t>
      </w:r>
      <w:r>
        <w:rPr>
          <w:spacing w:val="1"/>
        </w:rPr>
        <w:t xml:space="preserve"> </w:t>
      </w:r>
      <w:r>
        <w:rPr>
          <w:spacing w:val="-2"/>
        </w:rPr>
        <w:t>via</w:t>
      </w:r>
      <w:r>
        <w:rPr>
          <w:spacing w:val="1"/>
        </w:rPr>
        <w:t xml:space="preserve"> </w:t>
      </w:r>
      <w:r>
        <w:t>the</w:t>
      </w:r>
      <w:r>
        <w:rPr>
          <w:spacing w:val="-1"/>
        </w:rPr>
        <w:t xml:space="preserve"> CCG’s</w:t>
      </w:r>
      <w:r>
        <w:t xml:space="preserve"> </w:t>
      </w:r>
      <w:r>
        <w:rPr>
          <w:spacing w:val="-1"/>
        </w:rPr>
        <w:t>complaints</w:t>
      </w:r>
      <w:r>
        <w:rPr>
          <w:spacing w:val="77"/>
        </w:rPr>
        <w:t xml:space="preserve"> </w:t>
      </w:r>
      <w:r>
        <w:t>and</w:t>
      </w:r>
      <w:r>
        <w:rPr>
          <w:spacing w:val="-1"/>
        </w:rPr>
        <w:t xml:space="preserve"> enquiries</w:t>
      </w:r>
      <w:r>
        <w:t xml:space="preserve"> </w:t>
      </w:r>
      <w:r>
        <w:rPr>
          <w:spacing w:val="-1"/>
        </w:rPr>
        <w:t>services</w:t>
      </w:r>
      <w:r>
        <w:t xml:space="preserve"> and</w:t>
      </w:r>
      <w:r>
        <w:rPr>
          <w:spacing w:val="-1"/>
        </w:rPr>
        <w:t xml:space="preserve"> through</w:t>
      </w:r>
      <w:r>
        <w:rPr>
          <w:spacing w:val="1"/>
        </w:rPr>
        <w:t xml:space="preserve"> </w:t>
      </w:r>
      <w:r>
        <w:rPr>
          <w:spacing w:val="-1"/>
        </w:rPr>
        <w:t>its</w:t>
      </w:r>
      <w:r>
        <w:rPr>
          <w:spacing w:val="-2"/>
        </w:rPr>
        <w:t xml:space="preserve"> </w:t>
      </w:r>
      <w:r>
        <w:rPr>
          <w:spacing w:val="-1"/>
        </w:rPr>
        <w:t>public</w:t>
      </w:r>
      <w:r>
        <w:rPr>
          <w:spacing w:val="-2"/>
        </w:rPr>
        <w:t xml:space="preserve"> </w:t>
      </w:r>
      <w:r>
        <w:rPr>
          <w:spacing w:val="-1"/>
        </w:rPr>
        <w:t>engagement</w:t>
      </w:r>
      <w:r>
        <w:rPr>
          <w:spacing w:val="-2"/>
        </w:rPr>
        <w:t xml:space="preserve"> </w:t>
      </w:r>
      <w:r>
        <w:t>and</w:t>
      </w:r>
      <w:r>
        <w:rPr>
          <w:spacing w:val="-1"/>
        </w:rPr>
        <w:t xml:space="preserve"> consultation</w:t>
      </w:r>
      <w:r>
        <w:rPr>
          <w:spacing w:val="1"/>
        </w:rPr>
        <w:t xml:space="preserve"> </w:t>
      </w:r>
      <w:r>
        <w:rPr>
          <w:spacing w:val="-1"/>
        </w:rPr>
        <w:t>mechanisms,</w:t>
      </w:r>
      <w:r>
        <w:t xml:space="preserve"> </w:t>
      </w:r>
      <w:r>
        <w:rPr>
          <w:spacing w:val="-1"/>
        </w:rPr>
        <w:t>e.g.</w:t>
      </w:r>
      <w:r>
        <w:rPr>
          <w:spacing w:val="61"/>
        </w:rPr>
        <w:t xml:space="preserve"> </w:t>
      </w:r>
      <w:r>
        <w:rPr>
          <w:spacing w:val="-1"/>
        </w:rPr>
        <w:t>patient</w:t>
      </w:r>
      <w:r>
        <w:t xml:space="preserve"> </w:t>
      </w:r>
      <w:r>
        <w:rPr>
          <w:spacing w:val="-1"/>
        </w:rPr>
        <w:t>stories</w:t>
      </w:r>
      <w:r>
        <w:t xml:space="preserve"> at</w:t>
      </w:r>
      <w:r>
        <w:rPr>
          <w:spacing w:val="-2"/>
        </w:rPr>
        <w:t xml:space="preserve"> </w:t>
      </w:r>
      <w:r>
        <w:rPr>
          <w:spacing w:val="-1"/>
        </w:rPr>
        <w:t>Board</w:t>
      </w:r>
      <w:r>
        <w:rPr>
          <w:spacing w:val="1"/>
        </w:rPr>
        <w:t xml:space="preserve"> </w:t>
      </w:r>
      <w:r>
        <w:rPr>
          <w:spacing w:val="-1"/>
        </w:rPr>
        <w:t>meetings,</w:t>
      </w:r>
      <w:r>
        <w:rPr>
          <w:spacing w:val="-2"/>
        </w:rPr>
        <w:t xml:space="preserve"> </w:t>
      </w:r>
      <w:r>
        <w:rPr>
          <w:spacing w:val="-1"/>
        </w:rPr>
        <w:t>engagement</w:t>
      </w:r>
      <w:r>
        <w:t xml:space="preserve"> </w:t>
      </w:r>
      <w:r>
        <w:rPr>
          <w:spacing w:val="-1"/>
        </w:rPr>
        <w:t>with</w:t>
      </w:r>
      <w:r>
        <w:rPr>
          <w:spacing w:val="1"/>
        </w:rPr>
        <w:t xml:space="preserve"> </w:t>
      </w:r>
      <w:r>
        <w:t>the</w:t>
      </w:r>
      <w:r>
        <w:rPr>
          <w:spacing w:val="-1"/>
        </w:rPr>
        <w:t xml:space="preserve"> public</w:t>
      </w:r>
      <w:r>
        <w:t xml:space="preserve"> and</w:t>
      </w:r>
      <w:r>
        <w:rPr>
          <w:spacing w:val="-1"/>
        </w:rPr>
        <w:t xml:space="preserve"> other stakeholders</w:t>
      </w:r>
      <w:r>
        <w:t xml:space="preserve"> </w:t>
      </w:r>
      <w:r>
        <w:rPr>
          <w:spacing w:val="-1"/>
        </w:rPr>
        <w:t>on future</w:t>
      </w:r>
      <w:r>
        <w:rPr>
          <w:spacing w:val="59"/>
        </w:rPr>
        <w:t xml:space="preserve"> </w:t>
      </w:r>
      <w:r>
        <w:rPr>
          <w:spacing w:val="-1"/>
        </w:rPr>
        <w:t>plans</w:t>
      </w:r>
      <w:r>
        <w:rPr>
          <w:spacing w:val="-2"/>
        </w:rPr>
        <w:t xml:space="preserve"> </w:t>
      </w:r>
      <w:r>
        <w:t>for</w:t>
      </w:r>
      <w:r>
        <w:rPr>
          <w:spacing w:val="-1"/>
        </w:rPr>
        <w:t xml:space="preserve"> services.</w:t>
      </w:r>
    </w:p>
    <w:p w14:paraId="25DD84DA" w14:textId="4D9063D3" w:rsidR="00D43A59" w:rsidRDefault="00D43A59" w:rsidP="00D43A59">
      <w:pPr>
        <w:pStyle w:val="BodyText"/>
        <w:kinsoku w:val="0"/>
        <w:overflowPunct w:val="0"/>
        <w:ind w:right="163"/>
        <w:rPr>
          <w:spacing w:val="-1"/>
        </w:rPr>
      </w:pPr>
      <w:r>
        <w:t>The</w:t>
      </w:r>
      <w:r>
        <w:rPr>
          <w:spacing w:val="1"/>
        </w:rPr>
        <w:t xml:space="preserve"> </w:t>
      </w:r>
      <w:r>
        <w:rPr>
          <w:spacing w:val="-1"/>
        </w:rPr>
        <w:t>effectiveness</w:t>
      </w:r>
      <w:r>
        <w:rPr>
          <w:spacing w:val="-2"/>
        </w:rPr>
        <w:t xml:space="preserve"> </w:t>
      </w:r>
      <w:r>
        <w:rPr>
          <w:spacing w:val="-1"/>
        </w:rPr>
        <w:t>of</w:t>
      </w:r>
      <w:r>
        <w:rPr>
          <w:spacing w:val="3"/>
        </w:rPr>
        <w:t xml:space="preserve"> </w:t>
      </w:r>
      <w:r>
        <w:rPr>
          <w:spacing w:val="-1"/>
        </w:rPr>
        <w:t>these</w:t>
      </w:r>
      <w:r>
        <w:rPr>
          <w:spacing w:val="1"/>
        </w:rPr>
        <w:t xml:space="preserve"> </w:t>
      </w:r>
      <w:r>
        <w:rPr>
          <w:spacing w:val="-1"/>
        </w:rPr>
        <w:t>risk</w:t>
      </w:r>
      <w:r>
        <w:t xml:space="preserve"> </w:t>
      </w:r>
      <w:r>
        <w:rPr>
          <w:spacing w:val="-1"/>
        </w:rPr>
        <w:t>management</w:t>
      </w:r>
      <w:r>
        <w:rPr>
          <w:spacing w:val="-2"/>
        </w:rPr>
        <w:t xml:space="preserve"> </w:t>
      </w:r>
      <w:r>
        <w:rPr>
          <w:spacing w:val="-1"/>
        </w:rPr>
        <w:t>arrangements</w:t>
      </w:r>
      <w:r>
        <w:rPr>
          <w:spacing w:val="-2"/>
        </w:rPr>
        <w:t xml:space="preserve"> </w:t>
      </w:r>
      <w:r>
        <w:rPr>
          <w:spacing w:val="-1"/>
        </w:rPr>
        <w:t>are</w:t>
      </w:r>
      <w:r>
        <w:rPr>
          <w:spacing w:val="1"/>
        </w:rPr>
        <w:t xml:space="preserve"> </w:t>
      </w:r>
      <w:r>
        <w:rPr>
          <w:spacing w:val="-1"/>
        </w:rPr>
        <w:t>summarised under the</w:t>
      </w:r>
      <w:r>
        <w:rPr>
          <w:spacing w:val="1"/>
        </w:rPr>
        <w:t xml:space="preserve"> </w:t>
      </w:r>
      <w:r>
        <w:rPr>
          <w:spacing w:val="-1"/>
        </w:rPr>
        <w:t>‘Review</w:t>
      </w:r>
      <w:r>
        <w:rPr>
          <w:spacing w:val="-3"/>
        </w:rPr>
        <w:t xml:space="preserve"> </w:t>
      </w:r>
      <w:r>
        <w:t>of</w:t>
      </w:r>
      <w:r>
        <w:rPr>
          <w:spacing w:val="71"/>
        </w:rPr>
        <w:t xml:space="preserve"> </w:t>
      </w:r>
      <w:r>
        <w:t>the</w:t>
      </w:r>
      <w:r>
        <w:rPr>
          <w:spacing w:val="1"/>
        </w:rPr>
        <w:t xml:space="preserve"> </w:t>
      </w:r>
      <w:r>
        <w:rPr>
          <w:spacing w:val="-1"/>
        </w:rPr>
        <w:t>Effectiveness</w:t>
      </w:r>
      <w:r>
        <w:t xml:space="preserve"> </w:t>
      </w:r>
      <w:r>
        <w:rPr>
          <w:spacing w:val="-1"/>
        </w:rPr>
        <w:t>of</w:t>
      </w:r>
      <w:r>
        <w:t xml:space="preserve"> </w:t>
      </w:r>
      <w:r>
        <w:rPr>
          <w:spacing w:val="-1"/>
        </w:rPr>
        <w:t>Governance,</w:t>
      </w:r>
      <w:r>
        <w:t xml:space="preserve"> </w:t>
      </w:r>
      <w:r>
        <w:rPr>
          <w:spacing w:val="-1"/>
        </w:rPr>
        <w:t>Risk</w:t>
      </w:r>
      <w:r>
        <w:t xml:space="preserve"> </w:t>
      </w:r>
      <w:r>
        <w:rPr>
          <w:spacing w:val="-1"/>
        </w:rPr>
        <w:t>Management</w:t>
      </w:r>
      <w:r>
        <w:rPr>
          <w:spacing w:val="-2"/>
        </w:rPr>
        <w:t xml:space="preserve"> </w:t>
      </w:r>
      <w:r>
        <w:rPr>
          <w:spacing w:val="-1"/>
        </w:rPr>
        <w:t>and</w:t>
      </w:r>
      <w:r>
        <w:rPr>
          <w:spacing w:val="1"/>
        </w:rPr>
        <w:t xml:space="preserve"> </w:t>
      </w:r>
      <w:r>
        <w:rPr>
          <w:spacing w:val="-1"/>
        </w:rPr>
        <w:t>Internal</w:t>
      </w:r>
      <w:r>
        <w:t xml:space="preserve"> </w:t>
      </w:r>
      <w:r>
        <w:rPr>
          <w:spacing w:val="-1"/>
        </w:rPr>
        <w:t>Control’</w:t>
      </w:r>
      <w:r>
        <w:t xml:space="preserve"> </w:t>
      </w:r>
      <w:r>
        <w:rPr>
          <w:spacing w:val="-1"/>
        </w:rPr>
        <w:t>section,</w:t>
      </w:r>
      <w:r>
        <w:t xml:space="preserve"> </w:t>
      </w:r>
      <w:r>
        <w:rPr>
          <w:spacing w:val="-1"/>
        </w:rPr>
        <w:t>which</w:t>
      </w:r>
      <w:r>
        <w:rPr>
          <w:spacing w:val="1"/>
        </w:rPr>
        <w:t xml:space="preserve"> </w:t>
      </w:r>
      <w:r>
        <w:rPr>
          <w:spacing w:val="-1"/>
        </w:rPr>
        <w:t xml:space="preserve">includes </w:t>
      </w:r>
      <w:r>
        <w:t>the</w:t>
      </w:r>
      <w:r>
        <w:rPr>
          <w:spacing w:val="-1"/>
        </w:rPr>
        <w:t xml:space="preserve"> monitoring,</w:t>
      </w:r>
      <w:r>
        <w:t xml:space="preserve"> </w:t>
      </w:r>
      <w:r>
        <w:rPr>
          <w:spacing w:val="-1"/>
        </w:rPr>
        <w:t>review</w:t>
      </w:r>
      <w:r>
        <w:t xml:space="preserve"> and</w:t>
      </w:r>
      <w:r>
        <w:rPr>
          <w:spacing w:val="-1"/>
        </w:rPr>
        <w:t xml:space="preserve"> management</w:t>
      </w:r>
      <w:r>
        <w:t xml:space="preserve"> </w:t>
      </w:r>
      <w:r>
        <w:rPr>
          <w:spacing w:val="-1"/>
        </w:rPr>
        <w:t>of</w:t>
      </w:r>
      <w:r>
        <w:t xml:space="preserve"> </w:t>
      </w:r>
      <w:r>
        <w:rPr>
          <w:spacing w:val="-1"/>
        </w:rPr>
        <w:t>the</w:t>
      </w:r>
      <w:r>
        <w:rPr>
          <w:spacing w:val="1"/>
        </w:rPr>
        <w:t xml:space="preserve"> </w:t>
      </w:r>
      <w:r>
        <w:rPr>
          <w:spacing w:val="-1"/>
        </w:rPr>
        <w:t>Assurance</w:t>
      </w:r>
      <w:r>
        <w:rPr>
          <w:spacing w:val="1"/>
        </w:rPr>
        <w:t xml:space="preserve"> </w:t>
      </w:r>
      <w:r>
        <w:rPr>
          <w:spacing w:val="-1"/>
        </w:rPr>
        <w:t>Framework</w:t>
      </w:r>
      <w:r>
        <w:t xml:space="preserve"> by</w:t>
      </w:r>
      <w:r>
        <w:rPr>
          <w:spacing w:val="-2"/>
        </w:rPr>
        <w:t xml:space="preserve"> </w:t>
      </w:r>
      <w:r>
        <w:t>the</w:t>
      </w:r>
      <w:r>
        <w:rPr>
          <w:spacing w:val="1"/>
        </w:rPr>
        <w:t xml:space="preserve"> </w:t>
      </w:r>
      <w:r>
        <w:rPr>
          <w:spacing w:val="-1"/>
        </w:rPr>
        <w:t>Audit</w:t>
      </w:r>
      <w:r>
        <w:rPr>
          <w:spacing w:val="1"/>
        </w:rPr>
        <w:t xml:space="preserve"> </w:t>
      </w:r>
      <w:r>
        <w:rPr>
          <w:spacing w:val="-1"/>
        </w:rPr>
        <w:t>Committee,</w:t>
      </w:r>
      <w:r>
        <w:rPr>
          <w:spacing w:val="51"/>
        </w:rPr>
        <w:t xml:space="preserve"> </w:t>
      </w:r>
      <w:r>
        <w:t>and</w:t>
      </w:r>
      <w:r>
        <w:rPr>
          <w:spacing w:val="-1"/>
        </w:rPr>
        <w:t xml:space="preserve"> Board.</w:t>
      </w:r>
    </w:p>
    <w:p w14:paraId="7B7FD96A" w14:textId="77777777" w:rsidR="00D43A59" w:rsidRDefault="00D43A59" w:rsidP="00D43A59">
      <w:pPr>
        <w:pStyle w:val="BodyText"/>
        <w:kinsoku w:val="0"/>
        <w:overflowPunct w:val="0"/>
        <w:ind w:right="135"/>
        <w:rPr>
          <w:spacing w:val="-1"/>
        </w:rPr>
      </w:pPr>
      <w:r>
        <w:t>The</w:t>
      </w:r>
      <w:r>
        <w:rPr>
          <w:spacing w:val="1"/>
        </w:rPr>
        <w:t xml:space="preserve"> </w:t>
      </w:r>
      <w:r>
        <w:rPr>
          <w:spacing w:val="-1"/>
        </w:rPr>
        <w:t>annual</w:t>
      </w:r>
      <w:r>
        <w:t xml:space="preserve"> </w:t>
      </w:r>
      <w:r>
        <w:rPr>
          <w:spacing w:val="-1"/>
        </w:rPr>
        <w:t>audit</w:t>
      </w:r>
      <w:r>
        <w:rPr>
          <w:spacing w:val="-2"/>
        </w:rPr>
        <w:t xml:space="preserve"> </w:t>
      </w:r>
      <w:r>
        <w:rPr>
          <w:spacing w:val="-1"/>
        </w:rPr>
        <w:t>of</w:t>
      </w:r>
      <w:r>
        <w:rPr>
          <w:spacing w:val="3"/>
        </w:rPr>
        <w:t xml:space="preserve"> </w:t>
      </w:r>
      <w:r>
        <w:rPr>
          <w:spacing w:val="-1"/>
        </w:rPr>
        <w:t>risk</w:t>
      </w:r>
      <w:r>
        <w:t xml:space="preserve"> and</w:t>
      </w:r>
      <w:r>
        <w:rPr>
          <w:spacing w:val="-1"/>
        </w:rPr>
        <w:t xml:space="preserve"> governance</w:t>
      </w:r>
      <w:r>
        <w:rPr>
          <w:spacing w:val="1"/>
        </w:rPr>
        <w:t xml:space="preserve"> </w:t>
      </w:r>
      <w:r>
        <w:rPr>
          <w:spacing w:val="-1"/>
        </w:rPr>
        <w:t>was</w:t>
      </w:r>
      <w:r>
        <w:t xml:space="preserve"> </w:t>
      </w:r>
      <w:r>
        <w:rPr>
          <w:spacing w:val="-1"/>
        </w:rPr>
        <w:t xml:space="preserve">finalised </w:t>
      </w:r>
      <w:r>
        <w:t>by</w:t>
      </w:r>
      <w:r>
        <w:rPr>
          <w:spacing w:val="-2"/>
        </w:rPr>
        <w:t xml:space="preserve"> </w:t>
      </w:r>
      <w:r>
        <w:t>the</w:t>
      </w:r>
      <w:r>
        <w:rPr>
          <w:spacing w:val="1"/>
        </w:rPr>
        <w:t xml:space="preserve"> </w:t>
      </w:r>
      <w:r>
        <w:rPr>
          <w:spacing w:val="-1"/>
        </w:rPr>
        <w:t>CCG’s</w:t>
      </w:r>
      <w:r>
        <w:rPr>
          <w:spacing w:val="-2"/>
        </w:rPr>
        <w:t xml:space="preserve"> </w:t>
      </w:r>
      <w:r>
        <w:rPr>
          <w:spacing w:val="-1"/>
        </w:rPr>
        <w:t>Internal</w:t>
      </w:r>
      <w:r>
        <w:t xml:space="preserve"> </w:t>
      </w:r>
      <w:r>
        <w:rPr>
          <w:spacing w:val="-1"/>
        </w:rPr>
        <w:t>Auditor in March</w:t>
      </w:r>
      <w:r>
        <w:rPr>
          <w:spacing w:val="1"/>
        </w:rPr>
        <w:t xml:space="preserve"> </w:t>
      </w:r>
      <w:r>
        <w:rPr>
          <w:spacing w:val="-1"/>
        </w:rPr>
        <w:t>2021</w:t>
      </w:r>
      <w:r>
        <w:rPr>
          <w:spacing w:val="1"/>
        </w:rPr>
        <w:t xml:space="preserve"> </w:t>
      </w:r>
      <w:r>
        <w:rPr>
          <w:spacing w:val="-1"/>
        </w:rPr>
        <w:t>and</w:t>
      </w:r>
      <w:r>
        <w:rPr>
          <w:spacing w:val="1"/>
        </w:rPr>
        <w:t xml:space="preserve"> </w:t>
      </w:r>
      <w:r>
        <w:rPr>
          <w:spacing w:val="-1"/>
        </w:rPr>
        <w:t>identified</w:t>
      </w:r>
      <w:r>
        <w:rPr>
          <w:spacing w:val="1"/>
        </w:rPr>
        <w:t xml:space="preserve"> </w:t>
      </w:r>
      <w:r>
        <w:rPr>
          <w:spacing w:val="-1"/>
        </w:rPr>
        <w:t>‘reasonable’</w:t>
      </w:r>
      <w:r>
        <w:t xml:space="preserve"> </w:t>
      </w:r>
      <w:r>
        <w:rPr>
          <w:spacing w:val="-1"/>
        </w:rPr>
        <w:t>assurance.</w:t>
      </w:r>
    </w:p>
    <w:p w14:paraId="0AD72184" w14:textId="0FFF87B8" w:rsidR="00D43A59" w:rsidRDefault="00D43A59" w:rsidP="00D43A59">
      <w:pPr>
        <w:rPr>
          <w:b/>
          <w:bCs/>
        </w:rPr>
      </w:pPr>
      <w:r>
        <w:rPr>
          <w:b/>
          <w:bCs/>
        </w:rPr>
        <w:t>Prevention of Risk</w:t>
      </w:r>
    </w:p>
    <w:p w14:paraId="55028C64" w14:textId="77777777" w:rsidR="00D43A59" w:rsidRDefault="00D43A59" w:rsidP="00D43A59">
      <w:pPr>
        <w:pStyle w:val="BodyText"/>
        <w:kinsoku w:val="0"/>
        <w:overflowPunct w:val="0"/>
        <w:spacing w:before="122"/>
        <w:rPr>
          <w:spacing w:val="-1"/>
        </w:rPr>
      </w:pPr>
      <w:r>
        <w:t>The</w:t>
      </w:r>
      <w:r>
        <w:rPr>
          <w:spacing w:val="1"/>
        </w:rPr>
        <w:t xml:space="preserve"> </w:t>
      </w:r>
      <w:r>
        <w:rPr>
          <w:spacing w:val="-1"/>
        </w:rPr>
        <w:t>application</w:t>
      </w:r>
      <w:r>
        <w:rPr>
          <w:spacing w:val="1"/>
        </w:rPr>
        <w:t xml:space="preserve"> </w:t>
      </w:r>
      <w:r>
        <w:rPr>
          <w:spacing w:val="-1"/>
        </w:rPr>
        <w:t>of</w:t>
      </w:r>
      <w:r>
        <w:t xml:space="preserve"> </w:t>
      </w:r>
      <w:r>
        <w:rPr>
          <w:spacing w:val="-1"/>
        </w:rPr>
        <w:t>this</w:t>
      </w:r>
      <w:r>
        <w:rPr>
          <w:spacing w:val="-2"/>
        </w:rPr>
        <w:t xml:space="preserve"> </w:t>
      </w:r>
      <w:r>
        <w:rPr>
          <w:spacing w:val="-1"/>
        </w:rPr>
        <w:t>framework</w:t>
      </w:r>
      <w:r>
        <w:t xml:space="preserve"> </w:t>
      </w:r>
      <w:r>
        <w:rPr>
          <w:spacing w:val="-1"/>
        </w:rPr>
        <w:t>enables</w:t>
      </w:r>
      <w:r>
        <w:rPr>
          <w:spacing w:val="-2"/>
        </w:rPr>
        <w:t xml:space="preserve"> </w:t>
      </w:r>
      <w:r>
        <w:t>the</w:t>
      </w:r>
      <w:r>
        <w:rPr>
          <w:spacing w:val="-1"/>
        </w:rPr>
        <w:t xml:space="preserve"> prevention of</w:t>
      </w:r>
      <w:r>
        <w:rPr>
          <w:spacing w:val="3"/>
        </w:rPr>
        <w:t xml:space="preserve"> </w:t>
      </w:r>
      <w:r>
        <w:rPr>
          <w:spacing w:val="-1"/>
        </w:rPr>
        <w:t>risk</w:t>
      </w:r>
      <w:r>
        <w:t xml:space="preserve"> </w:t>
      </w:r>
      <w:r>
        <w:rPr>
          <w:spacing w:val="-1"/>
        </w:rPr>
        <w:t>through:</w:t>
      </w:r>
    </w:p>
    <w:p w14:paraId="29197B43" w14:textId="77777777" w:rsidR="00D43A59" w:rsidRDefault="00D43A59" w:rsidP="000D3041">
      <w:pPr>
        <w:pStyle w:val="BodyText"/>
        <w:widowControl w:val="0"/>
        <w:numPr>
          <w:ilvl w:val="3"/>
          <w:numId w:val="20"/>
        </w:numPr>
        <w:tabs>
          <w:tab w:val="left" w:pos="820"/>
        </w:tabs>
        <w:kinsoku w:val="0"/>
        <w:overflowPunct w:val="0"/>
        <w:autoSpaceDE w:val="0"/>
        <w:autoSpaceDN w:val="0"/>
        <w:adjustRightInd w:val="0"/>
        <w:spacing w:before="0" w:after="0"/>
        <w:ind w:right="109"/>
        <w:rPr>
          <w:spacing w:val="-1"/>
        </w:rPr>
      </w:pPr>
      <w:r>
        <w:rPr>
          <w:spacing w:val="-1"/>
        </w:rPr>
        <w:t>Commitment</w:t>
      </w:r>
      <w:r>
        <w:rPr>
          <w:spacing w:val="-2"/>
        </w:rPr>
        <w:t xml:space="preserve"> </w:t>
      </w:r>
      <w:r>
        <w:t>to</w:t>
      </w:r>
      <w:r>
        <w:rPr>
          <w:spacing w:val="1"/>
        </w:rPr>
        <w:t xml:space="preserve"> </w:t>
      </w:r>
      <w:r>
        <w:rPr>
          <w:spacing w:val="-1"/>
        </w:rPr>
        <w:t xml:space="preserve">identifying </w:t>
      </w:r>
      <w:r>
        <w:t>the</w:t>
      </w:r>
      <w:r>
        <w:rPr>
          <w:spacing w:val="1"/>
        </w:rPr>
        <w:t xml:space="preserve"> </w:t>
      </w:r>
      <w:r>
        <w:rPr>
          <w:spacing w:val="-1"/>
        </w:rPr>
        <w:t xml:space="preserve">underlying </w:t>
      </w:r>
      <w:r>
        <w:t>or</w:t>
      </w:r>
      <w:r>
        <w:rPr>
          <w:spacing w:val="-1"/>
        </w:rPr>
        <w:t xml:space="preserve"> root</w:t>
      </w:r>
      <w:r>
        <w:t xml:space="preserve"> </w:t>
      </w:r>
      <w:r>
        <w:rPr>
          <w:spacing w:val="-1"/>
        </w:rPr>
        <w:t>causes</w:t>
      </w:r>
      <w:r>
        <w:rPr>
          <w:spacing w:val="-2"/>
        </w:rPr>
        <w:t xml:space="preserve"> </w:t>
      </w:r>
      <w:r>
        <w:rPr>
          <w:spacing w:val="-1"/>
        </w:rPr>
        <w:t>of</w:t>
      </w:r>
      <w:r>
        <w:rPr>
          <w:spacing w:val="3"/>
        </w:rPr>
        <w:t xml:space="preserve"> </w:t>
      </w:r>
      <w:r>
        <w:rPr>
          <w:spacing w:val="-1"/>
        </w:rPr>
        <w:t>incidents,</w:t>
      </w:r>
      <w:r>
        <w:rPr>
          <w:spacing w:val="-4"/>
        </w:rPr>
        <w:t xml:space="preserve"> </w:t>
      </w:r>
      <w:r>
        <w:rPr>
          <w:spacing w:val="-1"/>
        </w:rPr>
        <w:t>complaints</w:t>
      </w:r>
      <w:r>
        <w:rPr>
          <w:spacing w:val="-2"/>
        </w:rPr>
        <w:t xml:space="preserve"> </w:t>
      </w:r>
      <w:r>
        <w:t>and</w:t>
      </w:r>
      <w:r>
        <w:rPr>
          <w:spacing w:val="-1"/>
        </w:rPr>
        <w:t xml:space="preserve"> claims</w:t>
      </w:r>
      <w:r>
        <w:rPr>
          <w:spacing w:val="75"/>
        </w:rPr>
        <w:t xml:space="preserve"> </w:t>
      </w:r>
      <w:r>
        <w:rPr>
          <w:spacing w:val="-1"/>
        </w:rPr>
        <w:t>(should</w:t>
      </w:r>
      <w:r>
        <w:rPr>
          <w:spacing w:val="1"/>
        </w:rPr>
        <w:t xml:space="preserve"> </w:t>
      </w:r>
      <w:r>
        <w:rPr>
          <w:spacing w:val="-1"/>
        </w:rPr>
        <w:t>they</w:t>
      </w:r>
      <w:r>
        <w:rPr>
          <w:spacing w:val="-2"/>
        </w:rPr>
        <w:t xml:space="preserve"> </w:t>
      </w:r>
      <w:r>
        <w:rPr>
          <w:spacing w:val="-1"/>
        </w:rPr>
        <w:t>arise)</w:t>
      </w:r>
    </w:p>
    <w:p w14:paraId="519A8371" w14:textId="77777777" w:rsidR="00D43A59" w:rsidRDefault="00D43A59" w:rsidP="000D3041">
      <w:pPr>
        <w:pStyle w:val="BodyText"/>
        <w:widowControl w:val="0"/>
        <w:numPr>
          <w:ilvl w:val="3"/>
          <w:numId w:val="20"/>
        </w:numPr>
        <w:tabs>
          <w:tab w:val="left" w:pos="820"/>
        </w:tabs>
        <w:kinsoku w:val="0"/>
        <w:overflowPunct w:val="0"/>
        <w:autoSpaceDE w:val="0"/>
        <w:autoSpaceDN w:val="0"/>
        <w:adjustRightInd w:val="0"/>
        <w:spacing w:before="120" w:after="0"/>
        <w:rPr>
          <w:spacing w:val="-1"/>
        </w:rPr>
      </w:pPr>
      <w:r>
        <w:rPr>
          <w:spacing w:val="-1"/>
        </w:rPr>
        <w:t xml:space="preserve">Promoting </w:t>
      </w:r>
      <w:r>
        <w:t>an</w:t>
      </w:r>
      <w:r>
        <w:rPr>
          <w:spacing w:val="-1"/>
        </w:rPr>
        <w:t xml:space="preserve"> open,</w:t>
      </w:r>
      <w:r>
        <w:t xml:space="preserve"> </w:t>
      </w:r>
      <w:r>
        <w:rPr>
          <w:spacing w:val="-2"/>
        </w:rPr>
        <w:t>just</w:t>
      </w:r>
      <w:r>
        <w:rPr>
          <w:spacing w:val="1"/>
        </w:rPr>
        <w:t xml:space="preserve"> </w:t>
      </w:r>
      <w:r>
        <w:rPr>
          <w:spacing w:val="-1"/>
        </w:rPr>
        <w:t>and</w:t>
      </w:r>
      <w:r>
        <w:rPr>
          <w:spacing w:val="1"/>
        </w:rPr>
        <w:t xml:space="preserve"> </w:t>
      </w:r>
      <w:r>
        <w:rPr>
          <w:spacing w:val="-1"/>
        </w:rPr>
        <w:t>non-punitive</w:t>
      </w:r>
      <w:r>
        <w:rPr>
          <w:spacing w:val="1"/>
        </w:rPr>
        <w:t xml:space="preserve"> </w:t>
      </w:r>
      <w:r>
        <w:rPr>
          <w:spacing w:val="-1"/>
        </w:rPr>
        <w:t>culture</w:t>
      </w:r>
    </w:p>
    <w:p w14:paraId="2FB1788B" w14:textId="77777777" w:rsidR="00D43A59" w:rsidRDefault="00D43A59" w:rsidP="000D3041">
      <w:pPr>
        <w:pStyle w:val="BodyText"/>
        <w:widowControl w:val="0"/>
        <w:numPr>
          <w:ilvl w:val="3"/>
          <w:numId w:val="20"/>
        </w:numPr>
        <w:tabs>
          <w:tab w:val="left" w:pos="820"/>
        </w:tabs>
        <w:kinsoku w:val="0"/>
        <w:overflowPunct w:val="0"/>
        <w:autoSpaceDE w:val="0"/>
        <w:autoSpaceDN w:val="0"/>
        <w:adjustRightInd w:val="0"/>
        <w:spacing w:before="118" w:after="0"/>
        <w:ind w:right="427"/>
        <w:rPr>
          <w:spacing w:val="-1"/>
        </w:rPr>
      </w:pPr>
      <w:r>
        <w:rPr>
          <w:spacing w:val="-1"/>
        </w:rPr>
        <w:t xml:space="preserve">Driving </w:t>
      </w:r>
      <w:r>
        <w:t>an</w:t>
      </w:r>
      <w:r>
        <w:rPr>
          <w:spacing w:val="1"/>
        </w:rPr>
        <w:t xml:space="preserve"> </w:t>
      </w:r>
      <w:r>
        <w:rPr>
          <w:spacing w:val="-1"/>
        </w:rPr>
        <w:t>ongoing information</w:t>
      </w:r>
      <w:r>
        <w:rPr>
          <w:spacing w:val="1"/>
        </w:rPr>
        <w:t xml:space="preserve"> </w:t>
      </w:r>
      <w:r>
        <w:rPr>
          <w:spacing w:val="-1"/>
        </w:rPr>
        <w:t>and</w:t>
      </w:r>
      <w:r>
        <w:rPr>
          <w:spacing w:val="1"/>
        </w:rPr>
        <w:t xml:space="preserve"> </w:t>
      </w:r>
      <w:r>
        <w:rPr>
          <w:spacing w:val="-1"/>
        </w:rPr>
        <w:t>education</w:t>
      </w:r>
      <w:r>
        <w:rPr>
          <w:spacing w:val="-4"/>
        </w:rPr>
        <w:t xml:space="preserve"> </w:t>
      </w:r>
      <w:r>
        <w:rPr>
          <w:spacing w:val="-1"/>
        </w:rPr>
        <w:t>programme</w:t>
      </w:r>
      <w:r>
        <w:rPr>
          <w:spacing w:val="1"/>
        </w:rPr>
        <w:t xml:space="preserve"> </w:t>
      </w:r>
      <w:r>
        <w:rPr>
          <w:spacing w:val="-1"/>
        </w:rPr>
        <w:t>which</w:t>
      </w:r>
      <w:r>
        <w:rPr>
          <w:spacing w:val="1"/>
        </w:rPr>
        <w:t xml:space="preserve"> </w:t>
      </w:r>
      <w:r>
        <w:rPr>
          <w:spacing w:val="-1"/>
        </w:rPr>
        <w:t>empowers</w:t>
      </w:r>
      <w:r>
        <w:t xml:space="preserve"> and</w:t>
      </w:r>
      <w:r>
        <w:rPr>
          <w:spacing w:val="1"/>
        </w:rPr>
        <w:t xml:space="preserve"> </w:t>
      </w:r>
      <w:r>
        <w:rPr>
          <w:spacing w:val="-1"/>
        </w:rPr>
        <w:t>supports Board members and</w:t>
      </w:r>
      <w:r>
        <w:rPr>
          <w:spacing w:val="55"/>
        </w:rPr>
        <w:t xml:space="preserve"> </w:t>
      </w:r>
      <w:r>
        <w:rPr>
          <w:spacing w:val="-1"/>
        </w:rPr>
        <w:t>staff</w:t>
      </w:r>
      <w:r>
        <w:rPr>
          <w:spacing w:val="3"/>
        </w:rPr>
        <w:t xml:space="preserve"> </w:t>
      </w:r>
      <w:r>
        <w:rPr>
          <w:spacing w:val="-1"/>
        </w:rPr>
        <w:t>in the</w:t>
      </w:r>
      <w:r>
        <w:rPr>
          <w:spacing w:val="1"/>
        </w:rPr>
        <w:t xml:space="preserve"> </w:t>
      </w:r>
      <w:r>
        <w:rPr>
          <w:spacing w:val="-1"/>
        </w:rPr>
        <w:t>risk</w:t>
      </w:r>
      <w:r>
        <w:t xml:space="preserve"> </w:t>
      </w:r>
      <w:r>
        <w:rPr>
          <w:spacing w:val="-1"/>
        </w:rPr>
        <w:t>management</w:t>
      </w:r>
      <w:r>
        <w:rPr>
          <w:spacing w:val="-2"/>
        </w:rPr>
        <w:t xml:space="preserve"> </w:t>
      </w:r>
      <w:r>
        <w:rPr>
          <w:spacing w:val="-1"/>
        </w:rPr>
        <w:t>process</w:t>
      </w:r>
      <w:r>
        <w:t xml:space="preserve"> </w:t>
      </w:r>
      <w:r>
        <w:rPr>
          <w:spacing w:val="-1"/>
        </w:rPr>
        <w:t>generally</w:t>
      </w:r>
      <w:r>
        <w:rPr>
          <w:spacing w:val="-2"/>
        </w:rPr>
        <w:t xml:space="preserve"> </w:t>
      </w:r>
      <w:r>
        <w:t>and</w:t>
      </w:r>
      <w:r>
        <w:rPr>
          <w:spacing w:val="1"/>
        </w:rPr>
        <w:t xml:space="preserve"> </w:t>
      </w:r>
      <w:r>
        <w:rPr>
          <w:spacing w:val="-1"/>
        </w:rPr>
        <w:t>in</w:t>
      </w:r>
      <w:r>
        <w:rPr>
          <w:spacing w:val="1"/>
        </w:rPr>
        <w:t xml:space="preserve"> </w:t>
      </w:r>
      <w:r>
        <w:rPr>
          <w:spacing w:val="-1"/>
        </w:rPr>
        <w:t>relation</w:t>
      </w:r>
      <w:r>
        <w:rPr>
          <w:spacing w:val="1"/>
        </w:rPr>
        <w:t xml:space="preserve"> </w:t>
      </w:r>
      <w:r>
        <w:rPr>
          <w:spacing w:val="-1"/>
        </w:rPr>
        <w:t>to</w:t>
      </w:r>
      <w:r>
        <w:rPr>
          <w:spacing w:val="1"/>
        </w:rPr>
        <w:t xml:space="preserve"> </w:t>
      </w:r>
      <w:r>
        <w:rPr>
          <w:spacing w:val="-1"/>
        </w:rPr>
        <w:t>specific</w:t>
      </w:r>
      <w:r>
        <w:rPr>
          <w:spacing w:val="-2"/>
        </w:rPr>
        <w:t xml:space="preserve"> </w:t>
      </w:r>
      <w:r>
        <w:rPr>
          <w:spacing w:val="-1"/>
        </w:rPr>
        <w:t>areas</w:t>
      </w:r>
      <w:r>
        <w:rPr>
          <w:spacing w:val="-2"/>
        </w:rPr>
        <w:t xml:space="preserve"> </w:t>
      </w:r>
      <w:r>
        <w:rPr>
          <w:spacing w:val="-1"/>
        </w:rPr>
        <w:t>of</w:t>
      </w:r>
      <w:r>
        <w:rPr>
          <w:spacing w:val="3"/>
        </w:rPr>
        <w:t xml:space="preserve"> </w:t>
      </w:r>
      <w:r>
        <w:rPr>
          <w:spacing w:val="-1"/>
        </w:rPr>
        <w:t>risk</w:t>
      </w:r>
    </w:p>
    <w:p w14:paraId="466A34F4" w14:textId="77777777" w:rsidR="00D43A59" w:rsidRDefault="00D43A59" w:rsidP="000D3041">
      <w:pPr>
        <w:pStyle w:val="BodyText"/>
        <w:widowControl w:val="0"/>
        <w:numPr>
          <w:ilvl w:val="3"/>
          <w:numId w:val="20"/>
        </w:numPr>
        <w:tabs>
          <w:tab w:val="left" w:pos="820"/>
        </w:tabs>
        <w:kinsoku w:val="0"/>
        <w:overflowPunct w:val="0"/>
        <w:autoSpaceDE w:val="0"/>
        <w:autoSpaceDN w:val="0"/>
        <w:adjustRightInd w:val="0"/>
        <w:spacing w:before="118" w:after="0"/>
        <w:ind w:right="311"/>
        <w:rPr>
          <w:spacing w:val="-1"/>
        </w:rPr>
      </w:pPr>
      <w:r>
        <w:rPr>
          <w:spacing w:val="-1"/>
        </w:rPr>
        <w:t>All</w:t>
      </w:r>
      <w:r>
        <w:t xml:space="preserve"> </w:t>
      </w:r>
      <w:r>
        <w:rPr>
          <w:spacing w:val="-1"/>
        </w:rPr>
        <w:t>staff</w:t>
      </w:r>
      <w:r>
        <w:t xml:space="preserve"> </w:t>
      </w:r>
      <w:r>
        <w:rPr>
          <w:spacing w:val="-1"/>
        </w:rPr>
        <w:t>being</w:t>
      </w:r>
      <w:r>
        <w:rPr>
          <w:spacing w:val="-4"/>
        </w:rPr>
        <w:t xml:space="preserve"> </w:t>
      </w:r>
      <w:r>
        <w:rPr>
          <w:spacing w:val="-1"/>
        </w:rPr>
        <w:t>familiar</w:t>
      </w:r>
      <w:r>
        <w:rPr>
          <w:spacing w:val="-3"/>
        </w:rPr>
        <w:t xml:space="preserve"> </w:t>
      </w:r>
      <w:r>
        <w:rPr>
          <w:spacing w:val="-1"/>
        </w:rPr>
        <w:t>with</w:t>
      </w:r>
      <w:r>
        <w:rPr>
          <w:spacing w:val="1"/>
        </w:rPr>
        <w:t xml:space="preserve"> </w:t>
      </w:r>
      <w:r>
        <w:t>the</w:t>
      </w:r>
      <w:r>
        <w:rPr>
          <w:spacing w:val="1"/>
        </w:rPr>
        <w:t xml:space="preserve"> </w:t>
      </w:r>
      <w:r>
        <w:rPr>
          <w:spacing w:val="-1"/>
        </w:rPr>
        <w:t>Anti-fraud,</w:t>
      </w:r>
      <w:r>
        <w:rPr>
          <w:spacing w:val="-2"/>
        </w:rPr>
        <w:t xml:space="preserve"> </w:t>
      </w:r>
      <w:r>
        <w:rPr>
          <w:spacing w:val="-1"/>
        </w:rPr>
        <w:t>Anti-bribery</w:t>
      </w:r>
      <w:r>
        <w:rPr>
          <w:spacing w:val="-2"/>
        </w:rPr>
        <w:t xml:space="preserve"> </w:t>
      </w:r>
      <w:r>
        <w:t>and</w:t>
      </w:r>
      <w:r>
        <w:rPr>
          <w:spacing w:val="1"/>
        </w:rPr>
        <w:t xml:space="preserve"> </w:t>
      </w:r>
      <w:r>
        <w:rPr>
          <w:spacing w:val="-1"/>
        </w:rPr>
        <w:t>Security</w:t>
      </w:r>
      <w:r>
        <w:rPr>
          <w:spacing w:val="-2"/>
        </w:rPr>
        <w:t xml:space="preserve"> </w:t>
      </w:r>
      <w:r>
        <w:rPr>
          <w:spacing w:val="-1"/>
        </w:rPr>
        <w:t>policies’</w:t>
      </w:r>
      <w:r>
        <w:t xml:space="preserve"> terms</w:t>
      </w:r>
      <w:r>
        <w:rPr>
          <w:spacing w:val="-2"/>
        </w:rPr>
        <w:t xml:space="preserve"> </w:t>
      </w:r>
      <w:r>
        <w:rPr>
          <w:spacing w:val="-1"/>
        </w:rPr>
        <w:t>through</w:t>
      </w:r>
      <w:r>
        <w:rPr>
          <w:spacing w:val="79"/>
        </w:rPr>
        <w:t xml:space="preserve"> </w:t>
      </w:r>
      <w:r>
        <w:rPr>
          <w:spacing w:val="-1"/>
        </w:rPr>
        <w:t>promotion and</w:t>
      </w:r>
      <w:r>
        <w:rPr>
          <w:spacing w:val="1"/>
        </w:rPr>
        <w:t xml:space="preserve"> </w:t>
      </w:r>
      <w:r>
        <w:rPr>
          <w:spacing w:val="-1"/>
        </w:rPr>
        <w:t>training</w:t>
      </w:r>
      <w:r>
        <w:rPr>
          <w:spacing w:val="-4"/>
        </w:rPr>
        <w:t xml:space="preserve"> </w:t>
      </w:r>
      <w:r>
        <w:t>and</w:t>
      </w:r>
      <w:r>
        <w:rPr>
          <w:spacing w:val="-1"/>
        </w:rPr>
        <w:t xml:space="preserve"> </w:t>
      </w:r>
      <w:r>
        <w:t>the</w:t>
      </w:r>
      <w:r>
        <w:rPr>
          <w:spacing w:val="-1"/>
        </w:rPr>
        <w:t xml:space="preserve"> issuing of</w:t>
      </w:r>
      <w:r>
        <w:t xml:space="preserve"> </w:t>
      </w:r>
      <w:r>
        <w:rPr>
          <w:spacing w:val="-1"/>
        </w:rPr>
        <w:t>fraud</w:t>
      </w:r>
      <w:r>
        <w:rPr>
          <w:spacing w:val="1"/>
        </w:rPr>
        <w:t xml:space="preserve"> </w:t>
      </w:r>
      <w:r>
        <w:rPr>
          <w:spacing w:val="-1"/>
        </w:rPr>
        <w:t>alerts,</w:t>
      </w:r>
      <w:r>
        <w:t xml:space="preserve"> </w:t>
      </w:r>
      <w:r>
        <w:rPr>
          <w:spacing w:val="-1"/>
        </w:rPr>
        <w:t>with</w:t>
      </w:r>
      <w:r>
        <w:rPr>
          <w:spacing w:val="1"/>
        </w:rPr>
        <w:t xml:space="preserve"> </w:t>
      </w:r>
      <w:r>
        <w:rPr>
          <w:spacing w:val="-1"/>
        </w:rPr>
        <w:t>the</w:t>
      </w:r>
      <w:r>
        <w:rPr>
          <w:spacing w:val="1"/>
        </w:rPr>
        <w:t xml:space="preserve"> </w:t>
      </w:r>
      <w:r>
        <w:rPr>
          <w:spacing w:val="-1"/>
        </w:rPr>
        <w:t>help of</w:t>
      </w:r>
      <w:r>
        <w:rPr>
          <w:spacing w:val="3"/>
        </w:rPr>
        <w:t xml:space="preserve"> </w:t>
      </w:r>
      <w:r>
        <w:rPr>
          <w:spacing w:val="-1"/>
        </w:rPr>
        <w:t>counter-fraud</w:t>
      </w:r>
      <w:r>
        <w:rPr>
          <w:spacing w:val="63"/>
        </w:rPr>
        <w:t xml:space="preserve"> </w:t>
      </w:r>
      <w:r>
        <w:rPr>
          <w:spacing w:val="-1"/>
        </w:rPr>
        <w:t>services</w:t>
      </w:r>
    </w:p>
    <w:p w14:paraId="737E40EA" w14:textId="77777777" w:rsidR="00D43A59" w:rsidRDefault="00D43A59" w:rsidP="000D3041">
      <w:pPr>
        <w:pStyle w:val="BodyText"/>
        <w:widowControl w:val="0"/>
        <w:numPr>
          <w:ilvl w:val="3"/>
          <w:numId w:val="20"/>
        </w:numPr>
        <w:tabs>
          <w:tab w:val="left" w:pos="820"/>
        </w:tabs>
        <w:kinsoku w:val="0"/>
        <w:overflowPunct w:val="0"/>
        <w:autoSpaceDE w:val="0"/>
        <w:autoSpaceDN w:val="0"/>
        <w:adjustRightInd w:val="0"/>
        <w:spacing w:before="120" w:after="0"/>
        <w:ind w:right="460"/>
        <w:rPr>
          <w:spacing w:val="-1"/>
        </w:rPr>
      </w:pPr>
      <w:r>
        <w:rPr>
          <w:spacing w:val="-1"/>
        </w:rPr>
        <w:t>All</w:t>
      </w:r>
      <w:r>
        <w:t xml:space="preserve"> </w:t>
      </w:r>
      <w:r>
        <w:rPr>
          <w:spacing w:val="-1"/>
        </w:rPr>
        <w:t>staff</w:t>
      </w:r>
      <w:r>
        <w:t xml:space="preserve"> </w:t>
      </w:r>
      <w:r>
        <w:rPr>
          <w:spacing w:val="-1"/>
        </w:rPr>
        <w:t>being</w:t>
      </w:r>
      <w:r>
        <w:rPr>
          <w:spacing w:val="-4"/>
        </w:rPr>
        <w:t xml:space="preserve"> </w:t>
      </w:r>
      <w:r>
        <w:rPr>
          <w:spacing w:val="-1"/>
        </w:rPr>
        <w:t>familiar</w:t>
      </w:r>
      <w:r>
        <w:rPr>
          <w:spacing w:val="-3"/>
        </w:rPr>
        <w:t xml:space="preserve"> </w:t>
      </w:r>
      <w:r>
        <w:rPr>
          <w:spacing w:val="-1"/>
        </w:rPr>
        <w:t>with</w:t>
      </w:r>
      <w:r>
        <w:rPr>
          <w:spacing w:val="1"/>
        </w:rPr>
        <w:t xml:space="preserve"> </w:t>
      </w:r>
      <w:r>
        <w:t>the</w:t>
      </w:r>
      <w:r>
        <w:rPr>
          <w:spacing w:val="1"/>
        </w:rPr>
        <w:t xml:space="preserve"> </w:t>
      </w:r>
      <w:r>
        <w:rPr>
          <w:spacing w:val="-1"/>
        </w:rPr>
        <w:t>terms</w:t>
      </w:r>
      <w:r>
        <w:t xml:space="preserve"> </w:t>
      </w:r>
      <w:r>
        <w:rPr>
          <w:spacing w:val="-1"/>
        </w:rPr>
        <w:t>of</w:t>
      </w:r>
      <w:r>
        <w:t xml:space="preserve"> </w:t>
      </w:r>
      <w:r>
        <w:rPr>
          <w:spacing w:val="-1"/>
        </w:rPr>
        <w:t>the</w:t>
      </w:r>
      <w:r>
        <w:rPr>
          <w:spacing w:val="1"/>
        </w:rPr>
        <w:t xml:space="preserve"> </w:t>
      </w:r>
      <w:r>
        <w:rPr>
          <w:spacing w:val="-1"/>
        </w:rPr>
        <w:t>Conflicts</w:t>
      </w:r>
      <w:r>
        <w:t xml:space="preserve"> </w:t>
      </w:r>
      <w:r>
        <w:rPr>
          <w:spacing w:val="-1"/>
        </w:rPr>
        <w:t>of</w:t>
      </w:r>
      <w:r>
        <w:t xml:space="preserve"> </w:t>
      </w:r>
      <w:r>
        <w:rPr>
          <w:spacing w:val="-1"/>
        </w:rPr>
        <w:t>Interest,</w:t>
      </w:r>
      <w:r>
        <w:rPr>
          <w:spacing w:val="-2"/>
        </w:rPr>
        <w:t xml:space="preserve"> </w:t>
      </w:r>
      <w:r>
        <w:rPr>
          <w:spacing w:val="-1"/>
        </w:rPr>
        <w:t>Gifts</w:t>
      </w:r>
      <w:r>
        <w:t xml:space="preserve"> and</w:t>
      </w:r>
      <w:r>
        <w:rPr>
          <w:spacing w:val="-1"/>
        </w:rPr>
        <w:t xml:space="preserve"> Hospitality</w:t>
      </w:r>
      <w:r>
        <w:rPr>
          <w:spacing w:val="-2"/>
        </w:rPr>
        <w:t xml:space="preserve"> </w:t>
      </w:r>
      <w:r>
        <w:rPr>
          <w:spacing w:val="-1"/>
        </w:rPr>
        <w:t>and</w:t>
      </w:r>
      <w:r>
        <w:rPr>
          <w:spacing w:val="77"/>
        </w:rPr>
        <w:t xml:space="preserve"> </w:t>
      </w:r>
      <w:r>
        <w:rPr>
          <w:spacing w:val="-1"/>
        </w:rPr>
        <w:t>Standards</w:t>
      </w:r>
      <w:r>
        <w:rPr>
          <w:spacing w:val="-2"/>
        </w:rPr>
        <w:t xml:space="preserve"> </w:t>
      </w:r>
      <w:r>
        <w:rPr>
          <w:spacing w:val="-1"/>
        </w:rPr>
        <w:t>of</w:t>
      </w:r>
      <w:r>
        <w:rPr>
          <w:spacing w:val="3"/>
        </w:rPr>
        <w:t xml:space="preserve"> </w:t>
      </w:r>
      <w:r>
        <w:rPr>
          <w:spacing w:val="-1"/>
        </w:rPr>
        <w:t>Conduct</w:t>
      </w:r>
      <w:r>
        <w:rPr>
          <w:spacing w:val="-2"/>
        </w:rPr>
        <w:t xml:space="preserve"> </w:t>
      </w:r>
      <w:r>
        <w:rPr>
          <w:spacing w:val="-1"/>
        </w:rPr>
        <w:t>Policies.</w:t>
      </w:r>
    </w:p>
    <w:p w14:paraId="40ED1C50" w14:textId="5EA2D500" w:rsidR="00D43A59" w:rsidRPr="00EE41DE" w:rsidRDefault="00D43A59" w:rsidP="000D3041">
      <w:pPr>
        <w:pStyle w:val="BodyText"/>
        <w:widowControl w:val="0"/>
        <w:numPr>
          <w:ilvl w:val="3"/>
          <w:numId w:val="20"/>
        </w:numPr>
        <w:tabs>
          <w:tab w:val="left" w:pos="820"/>
        </w:tabs>
        <w:kinsoku w:val="0"/>
        <w:overflowPunct w:val="0"/>
        <w:autoSpaceDE w:val="0"/>
        <w:autoSpaceDN w:val="0"/>
        <w:adjustRightInd w:val="0"/>
        <w:spacing w:before="120" w:after="0" w:line="293" w:lineRule="exact"/>
        <w:ind w:right="135"/>
        <w:rPr>
          <w:spacing w:val="-1"/>
        </w:rPr>
      </w:pPr>
      <w:r w:rsidRPr="00EE41DE">
        <w:rPr>
          <w:spacing w:val="-1"/>
        </w:rPr>
        <w:t>Registers</w:t>
      </w:r>
      <w:r>
        <w:t xml:space="preserve"> of </w:t>
      </w:r>
      <w:r w:rsidRPr="00EE41DE">
        <w:rPr>
          <w:spacing w:val="-1"/>
        </w:rPr>
        <w:t>Interests</w:t>
      </w:r>
      <w:r w:rsidRPr="00EE41DE">
        <w:rPr>
          <w:spacing w:val="-2"/>
        </w:rPr>
        <w:t xml:space="preserve"> </w:t>
      </w:r>
      <w:r w:rsidRPr="00EE41DE">
        <w:rPr>
          <w:spacing w:val="-1"/>
        </w:rPr>
        <w:t>being produced</w:t>
      </w:r>
      <w:r w:rsidRPr="00EE41DE">
        <w:rPr>
          <w:spacing w:val="-4"/>
        </w:rPr>
        <w:t xml:space="preserve"> </w:t>
      </w:r>
      <w:r>
        <w:t>for</w:t>
      </w:r>
      <w:r w:rsidRPr="00EE41DE">
        <w:rPr>
          <w:spacing w:val="-3"/>
        </w:rPr>
        <w:t xml:space="preserve"> </w:t>
      </w:r>
      <w:r w:rsidRPr="00EE41DE">
        <w:rPr>
          <w:spacing w:val="-1"/>
        </w:rPr>
        <w:t>Board</w:t>
      </w:r>
      <w:r w:rsidRPr="00EE41DE">
        <w:rPr>
          <w:spacing w:val="1"/>
        </w:rPr>
        <w:t xml:space="preserve"> </w:t>
      </w:r>
      <w:r w:rsidRPr="00EE41DE">
        <w:rPr>
          <w:spacing w:val="-1"/>
        </w:rPr>
        <w:t>and</w:t>
      </w:r>
      <w:r w:rsidRPr="00EE41DE">
        <w:rPr>
          <w:spacing w:val="1"/>
        </w:rPr>
        <w:t xml:space="preserve"> </w:t>
      </w:r>
      <w:r w:rsidRPr="00EE41DE">
        <w:rPr>
          <w:spacing w:val="-1"/>
        </w:rPr>
        <w:t>Committee</w:t>
      </w:r>
      <w:r w:rsidRPr="00EE41DE">
        <w:rPr>
          <w:spacing w:val="1"/>
        </w:rPr>
        <w:t xml:space="preserve"> </w:t>
      </w:r>
      <w:r w:rsidRPr="00EE41DE">
        <w:rPr>
          <w:spacing w:val="-1"/>
        </w:rPr>
        <w:t>meetings</w:t>
      </w:r>
      <w:r>
        <w:t xml:space="preserve"> and</w:t>
      </w:r>
      <w:r w:rsidRPr="00EE41DE">
        <w:rPr>
          <w:spacing w:val="-1"/>
        </w:rPr>
        <w:t xml:space="preserve"> those</w:t>
      </w:r>
      <w:r w:rsidR="00EE41DE">
        <w:rPr>
          <w:spacing w:val="-1"/>
        </w:rPr>
        <w:t xml:space="preserve"> s</w:t>
      </w:r>
      <w:r>
        <w:t>ub</w:t>
      </w:r>
      <w:r w:rsidRPr="00EE41DE">
        <w:rPr>
          <w:spacing w:val="1"/>
        </w:rPr>
        <w:t>-</w:t>
      </w:r>
      <w:r w:rsidRPr="00EE41DE">
        <w:rPr>
          <w:spacing w:val="-1"/>
        </w:rPr>
        <w:t>committees</w:t>
      </w:r>
      <w:r>
        <w:t xml:space="preserve"> </w:t>
      </w:r>
      <w:r w:rsidRPr="00EE41DE">
        <w:rPr>
          <w:spacing w:val="-1"/>
        </w:rPr>
        <w:t>with</w:t>
      </w:r>
      <w:r w:rsidRPr="00EE41DE">
        <w:rPr>
          <w:spacing w:val="1"/>
        </w:rPr>
        <w:t xml:space="preserve"> </w:t>
      </w:r>
      <w:r w:rsidRPr="00EE41DE">
        <w:rPr>
          <w:spacing w:val="-1"/>
        </w:rPr>
        <w:t>decision-making powers,</w:t>
      </w:r>
      <w:r>
        <w:t xml:space="preserve"> or</w:t>
      </w:r>
      <w:r w:rsidRPr="00EE41DE">
        <w:rPr>
          <w:spacing w:val="-1"/>
        </w:rPr>
        <w:t xml:space="preserve"> capacity</w:t>
      </w:r>
      <w:r w:rsidRPr="00EE41DE">
        <w:rPr>
          <w:spacing w:val="-2"/>
        </w:rPr>
        <w:t xml:space="preserve"> </w:t>
      </w:r>
      <w:r>
        <w:t>to</w:t>
      </w:r>
      <w:r w:rsidRPr="00EE41DE">
        <w:rPr>
          <w:spacing w:val="1"/>
        </w:rPr>
        <w:t xml:space="preserve"> </w:t>
      </w:r>
      <w:r w:rsidRPr="00EE41DE">
        <w:rPr>
          <w:spacing w:val="-1"/>
        </w:rPr>
        <w:t>influence</w:t>
      </w:r>
      <w:r w:rsidRPr="00EE41DE">
        <w:rPr>
          <w:spacing w:val="1"/>
        </w:rPr>
        <w:t xml:space="preserve"> </w:t>
      </w:r>
      <w:r w:rsidRPr="00EE41DE">
        <w:rPr>
          <w:spacing w:val="-1"/>
        </w:rPr>
        <w:t>decisions</w:t>
      </w:r>
      <w:r w:rsidRPr="00EE41DE">
        <w:rPr>
          <w:spacing w:val="-2"/>
        </w:rPr>
        <w:t xml:space="preserve"> </w:t>
      </w:r>
      <w:r w:rsidRPr="00EE41DE">
        <w:rPr>
          <w:spacing w:val="-1"/>
        </w:rPr>
        <w:t>made</w:t>
      </w:r>
      <w:r w:rsidRPr="00EE41DE">
        <w:rPr>
          <w:spacing w:val="1"/>
        </w:rPr>
        <w:t xml:space="preserve"> </w:t>
      </w:r>
      <w:r>
        <w:t>by</w:t>
      </w:r>
      <w:r w:rsidRPr="00EE41DE">
        <w:rPr>
          <w:spacing w:val="63"/>
        </w:rPr>
        <w:t xml:space="preserve"> </w:t>
      </w:r>
      <w:r>
        <w:t>the</w:t>
      </w:r>
      <w:r w:rsidRPr="00EE41DE">
        <w:rPr>
          <w:spacing w:val="1"/>
        </w:rPr>
        <w:t xml:space="preserve"> </w:t>
      </w:r>
      <w:r w:rsidRPr="00EE41DE">
        <w:rPr>
          <w:spacing w:val="-1"/>
        </w:rPr>
        <w:t>CCG,</w:t>
      </w:r>
      <w:r>
        <w:t xml:space="preserve"> </w:t>
      </w:r>
      <w:r w:rsidRPr="00EE41DE">
        <w:rPr>
          <w:spacing w:val="-2"/>
        </w:rPr>
        <w:t>so</w:t>
      </w:r>
      <w:r w:rsidRPr="00EE41DE">
        <w:rPr>
          <w:spacing w:val="1"/>
        </w:rPr>
        <w:t xml:space="preserve"> </w:t>
      </w:r>
      <w:r w:rsidRPr="00EE41DE">
        <w:rPr>
          <w:spacing w:val="-1"/>
        </w:rPr>
        <w:t>that</w:t>
      </w:r>
      <w:r w:rsidRPr="00EE41DE">
        <w:rPr>
          <w:spacing w:val="-2"/>
        </w:rPr>
        <w:t xml:space="preserve"> </w:t>
      </w:r>
      <w:r>
        <w:t>the</w:t>
      </w:r>
      <w:r w:rsidRPr="00EE41DE">
        <w:rPr>
          <w:spacing w:val="-1"/>
        </w:rPr>
        <w:t xml:space="preserve"> relevant</w:t>
      </w:r>
      <w:r>
        <w:t xml:space="preserve"> </w:t>
      </w:r>
      <w:r w:rsidRPr="00EE41DE">
        <w:rPr>
          <w:spacing w:val="-1"/>
        </w:rPr>
        <w:t>Chair can</w:t>
      </w:r>
      <w:r w:rsidRPr="00EE41DE">
        <w:rPr>
          <w:spacing w:val="1"/>
        </w:rPr>
        <w:t xml:space="preserve"> </w:t>
      </w:r>
      <w:r w:rsidRPr="00EE41DE">
        <w:rPr>
          <w:spacing w:val="-1"/>
        </w:rPr>
        <w:t>ensure</w:t>
      </w:r>
      <w:r w:rsidRPr="00EE41DE">
        <w:rPr>
          <w:spacing w:val="1"/>
        </w:rPr>
        <w:t xml:space="preserve"> </w:t>
      </w:r>
      <w:r>
        <w:t>that</w:t>
      </w:r>
      <w:r w:rsidRPr="00EE41DE">
        <w:rPr>
          <w:spacing w:val="-2"/>
        </w:rPr>
        <w:t xml:space="preserve"> </w:t>
      </w:r>
      <w:r w:rsidRPr="00EE41DE">
        <w:rPr>
          <w:spacing w:val="-1"/>
        </w:rPr>
        <w:t>potential</w:t>
      </w:r>
      <w:r>
        <w:t xml:space="preserve"> </w:t>
      </w:r>
      <w:r w:rsidRPr="00EE41DE">
        <w:rPr>
          <w:spacing w:val="-1"/>
        </w:rPr>
        <w:t>conflicts</w:t>
      </w:r>
      <w:r>
        <w:t xml:space="preserve"> </w:t>
      </w:r>
      <w:r w:rsidRPr="00EE41DE">
        <w:rPr>
          <w:spacing w:val="-1"/>
        </w:rPr>
        <w:t>are managed</w:t>
      </w:r>
      <w:r w:rsidRPr="00EE41DE">
        <w:rPr>
          <w:spacing w:val="57"/>
        </w:rPr>
        <w:t xml:space="preserve"> </w:t>
      </w:r>
      <w:r w:rsidRPr="00EE41DE">
        <w:rPr>
          <w:spacing w:val="-1"/>
        </w:rPr>
        <w:t>appropriately.</w:t>
      </w:r>
    </w:p>
    <w:p w14:paraId="72303F2C" w14:textId="77777777" w:rsidR="00E06CCF" w:rsidRPr="00430F01" w:rsidRDefault="00E06CCF" w:rsidP="000D283B">
      <w:pPr>
        <w:pStyle w:val="Heading3"/>
        <w:spacing w:before="480"/>
      </w:pPr>
      <w:bookmarkStart w:id="154" w:name="_Toc94188200"/>
      <w:bookmarkStart w:id="155" w:name="_Toc97218351"/>
      <w:bookmarkStart w:id="156" w:name="_Toc107389470"/>
      <w:r w:rsidRPr="00430F01">
        <w:t>Risk Assessment</w:t>
      </w:r>
      <w:bookmarkEnd w:id="152"/>
      <w:bookmarkEnd w:id="154"/>
      <w:bookmarkEnd w:id="155"/>
      <w:bookmarkEnd w:id="156"/>
      <w:r w:rsidRPr="00430F01">
        <w:t xml:space="preserve"> </w:t>
      </w:r>
    </w:p>
    <w:p w14:paraId="41090CFF" w14:textId="4DC4A3E4" w:rsidR="00EE41DE" w:rsidRPr="00430F01" w:rsidRDefault="00EE41DE" w:rsidP="00EE41DE">
      <w:pPr>
        <w:pStyle w:val="BodyText"/>
        <w:kinsoku w:val="0"/>
        <w:overflowPunct w:val="0"/>
        <w:spacing w:before="122"/>
        <w:ind w:right="261"/>
        <w:rPr>
          <w:spacing w:val="-1"/>
        </w:rPr>
      </w:pPr>
      <w:bookmarkStart w:id="157" w:name="_Toc94188201"/>
      <w:bookmarkStart w:id="158" w:name="_Toc97218352"/>
      <w:bookmarkStart w:id="159" w:name="_Toc437807155"/>
      <w:bookmarkEnd w:id="153"/>
      <w:r w:rsidRPr="00430F01">
        <w:rPr>
          <w:spacing w:val="-1"/>
        </w:rPr>
        <w:t>Risk</w:t>
      </w:r>
      <w:r w:rsidRPr="00430F01">
        <w:rPr>
          <w:spacing w:val="26"/>
        </w:rPr>
        <w:t xml:space="preserve"> </w:t>
      </w:r>
      <w:r w:rsidRPr="00430F01">
        <w:rPr>
          <w:spacing w:val="-2"/>
        </w:rPr>
        <w:t>assessments</w:t>
      </w:r>
      <w:r w:rsidRPr="00430F01">
        <w:rPr>
          <w:spacing w:val="24"/>
        </w:rPr>
        <w:t xml:space="preserve"> </w:t>
      </w:r>
      <w:r w:rsidRPr="00430F01">
        <w:rPr>
          <w:spacing w:val="-2"/>
        </w:rPr>
        <w:t>have</w:t>
      </w:r>
      <w:r w:rsidRPr="00430F01">
        <w:rPr>
          <w:spacing w:val="25"/>
        </w:rPr>
        <w:t xml:space="preserve"> </w:t>
      </w:r>
      <w:r w:rsidRPr="00430F01">
        <w:rPr>
          <w:spacing w:val="-2"/>
        </w:rPr>
        <w:t>been</w:t>
      </w:r>
      <w:r w:rsidRPr="00430F01">
        <w:rPr>
          <w:spacing w:val="30"/>
        </w:rPr>
        <w:t xml:space="preserve"> </w:t>
      </w:r>
      <w:r w:rsidRPr="00430F01">
        <w:rPr>
          <w:spacing w:val="-1"/>
        </w:rPr>
        <w:t xml:space="preserve">carried </w:t>
      </w:r>
      <w:r w:rsidRPr="00430F01">
        <w:t>for</w:t>
      </w:r>
      <w:r w:rsidRPr="00430F01">
        <w:rPr>
          <w:spacing w:val="-3"/>
        </w:rPr>
        <w:t xml:space="preserve"> </w:t>
      </w:r>
      <w:r w:rsidRPr="00430F01">
        <w:rPr>
          <w:spacing w:val="-1"/>
        </w:rPr>
        <w:t>each</w:t>
      </w:r>
      <w:r w:rsidRPr="00430F01">
        <w:rPr>
          <w:spacing w:val="1"/>
        </w:rPr>
        <w:t xml:space="preserve"> </w:t>
      </w:r>
      <w:r w:rsidRPr="00430F01">
        <w:rPr>
          <w:spacing w:val="-1"/>
        </w:rPr>
        <w:t>workstream</w:t>
      </w:r>
      <w:r w:rsidRPr="00430F01">
        <w:rPr>
          <w:spacing w:val="2"/>
        </w:rPr>
        <w:t xml:space="preserve"> </w:t>
      </w:r>
      <w:r w:rsidRPr="00430F01">
        <w:rPr>
          <w:spacing w:val="-1"/>
        </w:rPr>
        <w:t>identified</w:t>
      </w:r>
      <w:r w:rsidRPr="00430F01">
        <w:rPr>
          <w:spacing w:val="1"/>
        </w:rPr>
        <w:t xml:space="preserve"> </w:t>
      </w:r>
      <w:r w:rsidRPr="00430F01">
        <w:rPr>
          <w:spacing w:val="-1"/>
        </w:rPr>
        <w:t>in</w:t>
      </w:r>
      <w:r w:rsidRPr="00430F01">
        <w:rPr>
          <w:spacing w:val="1"/>
        </w:rPr>
        <w:t xml:space="preserve"> </w:t>
      </w:r>
      <w:r w:rsidRPr="00430F01">
        <w:rPr>
          <w:spacing w:val="-1"/>
        </w:rPr>
        <w:t>Section 2.2.3 above.</w:t>
      </w:r>
      <w:r w:rsidRPr="00430F01">
        <w:rPr>
          <w:spacing w:val="69"/>
        </w:rPr>
        <w:t xml:space="preserve"> </w:t>
      </w:r>
      <w:r w:rsidRPr="00430F01">
        <w:rPr>
          <w:spacing w:val="27"/>
        </w:rPr>
        <w:t>E</w:t>
      </w:r>
      <w:r w:rsidRPr="00430F01">
        <w:t>ach</w:t>
      </w:r>
      <w:r w:rsidRPr="00430F01">
        <w:rPr>
          <w:spacing w:val="1"/>
        </w:rPr>
        <w:t xml:space="preserve"> </w:t>
      </w:r>
      <w:r w:rsidRPr="00430F01">
        <w:rPr>
          <w:spacing w:val="-1"/>
        </w:rPr>
        <w:t>risk</w:t>
      </w:r>
      <w:r w:rsidRPr="00430F01">
        <w:t xml:space="preserve"> </w:t>
      </w:r>
      <w:r w:rsidRPr="00430F01">
        <w:rPr>
          <w:spacing w:val="-1"/>
        </w:rPr>
        <w:t xml:space="preserve">recorded </w:t>
      </w:r>
      <w:r w:rsidRPr="00430F01">
        <w:t>on</w:t>
      </w:r>
      <w:r w:rsidRPr="00430F01">
        <w:rPr>
          <w:spacing w:val="-1"/>
        </w:rPr>
        <w:t xml:space="preserve"> </w:t>
      </w:r>
      <w:r w:rsidRPr="00430F01">
        <w:t>the</w:t>
      </w:r>
      <w:r w:rsidRPr="00430F01">
        <w:rPr>
          <w:spacing w:val="1"/>
        </w:rPr>
        <w:t xml:space="preserve"> </w:t>
      </w:r>
      <w:r w:rsidRPr="00430F01">
        <w:rPr>
          <w:spacing w:val="-1"/>
        </w:rPr>
        <w:t>BAF</w:t>
      </w:r>
      <w:r w:rsidRPr="00430F01">
        <w:t xml:space="preserve"> </w:t>
      </w:r>
      <w:r w:rsidRPr="00430F01">
        <w:rPr>
          <w:spacing w:val="-1"/>
        </w:rPr>
        <w:t>is</w:t>
      </w:r>
      <w:r w:rsidRPr="00430F01">
        <w:t xml:space="preserve"> </w:t>
      </w:r>
      <w:r w:rsidRPr="00430F01">
        <w:rPr>
          <w:spacing w:val="-1"/>
        </w:rPr>
        <w:t>scored</w:t>
      </w:r>
      <w:r w:rsidRPr="00430F01">
        <w:rPr>
          <w:spacing w:val="1"/>
        </w:rPr>
        <w:t xml:space="preserve"> </w:t>
      </w:r>
      <w:r w:rsidRPr="00430F01">
        <w:rPr>
          <w:spacing w:val="-1"/>
        </w:rPr>
        <w:t>on</w:t>
      </w:r>
      <w:r w:rsidRPr="00430F01">
        <w:rPr>
          <w:spacing w:val="1"/>
        </w:rPr>
        <w:t xml:space="preserve"> </w:t>
      </w:r>
      <w:r w:rsidRPr="00430F01">
        <w:rPr>
          <w:spacing w:val="-1"/>
        </w:rPr>
        <w:t>the</w:t>
      </w:r>
      <w:r w:rsidRPr="00430F01">
        <w:rPr>
          <w:spacing w:val="1"/>
        </w:rPr>
        <w:t xml:space="preserve"> </w:t>
      </w:r>
      <w:r w:rsidRPr="00430F01">
        <w:rPr>
          <w:spacing w:val="-1"/>
        </w:rPr>
        <w:t>basis</w:t>
      </w:r>
      <w:r w:rsidRPr="00430F01">
        <w:t xml:space="preserve"> </w:t>
      </w:r>
      <w:r w:rsidRPr="00430F01">
        <w:rPr>
          <w:spacing w:val="-1"/>
        </w:rPr>
        <w:t>of</w:t>
      </w:r>
      <w:r w:rsidRPr="00430F01">
        <w:t xml:space="preserve"> </w:t>
      </w:r>
      <w:r w:rsidRPr="00430F01">
        <w:rPr>
          <w:spacing w:val="-1"/>
        </w:rPr>
        <w:t>inherent</w:t>
      </w:r>
      <w:r w:rsidRPr="00430F01">
        <w:rPr>
          <w:spacing w:val="-2"/>
        </w:rPr>
        <w:t xml:space="preserve"> </w:t>
      </w:r>
      <w:r w:rsidRPr="00430F01">
        <w:rPr>
          <w:spacing w:val="-1"/>
        </w:rPr>
        <w:t>and</w:t>
      </w:r>
      <w:r w:rsidRPr="00430F01">
        <w:rPr>
          <w:spacing w:val="1"/>
        </w:rPr>
        <w:t xml:space="preserve"> </w:t>
      </w:r>
      <w:r w:rsidRPr="00430F01">
        <w:rPr>
          <w:spacing w:val="-1"/>
        </w:rPr>
        <w:t>residual</w:t>
      </w:r>
      <w:r w:rsidRPr="00430F01">
        <w:t xml:space="preserve"> </w:t>
      </w:r>
      <w:r w:rsidRPr="00430F01">
        <w:rPr>
          <w:spacing w:val="-1"/>
        </w:rPr>
        <w:t>risk.</w:t>
      </w:r>
      <w:r w:rsidRPr="00430F01">
        <w:t xml:space="preserve"> </w:t>
      </w:r>
      <w:r w:rsidRPr="00430F01">
        <w:rPr>
          <w:spacing w:val="-2"/>
        </w:rPr>
        <w:t>Continued</w:t>
      </w:r>
      <w:r w:rsidRPr="00430F01">
        <w:rPr>
          <w:spacing w:val="113"/>
        </w:rPr>
        <w:t xml:space="preserve"> </w:t>
      </w:r>
      <w:r w:rsidRPr="00430F01">
        <w:rPr>
          <w:spacing w:val="-2"/>
        </w:rPr>
        <w:t>efforts</w:t>
      </w:r>
      <w:r w:rsidRPr="00430F01">
        <w:t xml:space="preserve"> </w:t>
      </w:r>
      <w:r w:rsidRPr="00430F01">
        <w:rPr>
          <w:spacing w:val="-1"/>
        </w:rPr>
        <w:t>are</w:t>
      </w:r>
      <w:r w:rsidRPr="00430F01">
        <w:rPr>
          <w:spacing w:val="1"/>
        </w:rPr>
        <w:t xml:space="preserve"> </w:t>
      </w:r>
      <w:r w:rsidRPr="00430F01">
        <w:rPr>
          <w:spacing w:val="-1"/>
        </w:rPr>
        <w:t>made to</w:t>
      </w:r>
      <w:r w:rsidRPr="00430F01">
        <w:rPr>
          <w:spacing w:val="3"/>
        </w:rPr>
        <w:t xml:space="preserve"> </w:t>
      </w:r>
      <w:r w:rsidRPr="00430F01">
        <w:rPr>
          <w:spacing w:val="-2"/>
        </w:rPr>
        <w:t>strengthen</w:t>
      </w:r>
      <w:r w:rsidRPr="00430F01">
        <w:rPr>
          <w:spacing w:val="1"/>
        </w:rPr>
        <w:t xml:space="preserve"> </w:t>
      </w:r>
      <w:r w:rsidRPr="00430F01">
        <w:rPr>
          <w:spacing w:val="-2"/>
        </w:rPr>
        <w:t>controls</w:t>
      </w:r>
      <w:r w:rsidRPr="00430F01">
        <w:t xml:space="preserve"> </w:t>
      </w:r>
      <w:r w:rsidRPr="00430F01">
        <w:rPr>
          <w:spacing w:val="-3"/>
        </w:rPr>
        <w:t>where</w:t>
      </w:r>
      <w:r w:rsidRPr="00430F01">
        <w:rPr>
          <w:spacing w:val="-1"/>
        </w:rPr>
        <w:t xml:space="preserve"> </w:t>
      </w:r>
      <w:r w:rsidRPr="00430F01">
        <w:rPr>
          <w:spacing w:val="-2"/>
        </w:rPr>
        <w:t>residual</w:t>
      </w:r>
      <w:r w:rsidRPr="00430F01">
        <w:t xml:space="preserve"> </w:t>
      </w:r>
      <w:r w:rsidRPr="00430F01">
        <w:rPr>
          <w:spacing w:val="-1"/>
        </w:rPr>
        <w:t>risk</w:t>
      </w:r>
      <w:r w:rsidRPr="00430F01">
        <w:t xml:space="preserve"> </w:t>
      </w:r>
      <w:r w:rsidRPr="00430F01">
        <w:rPr>
          <w:spacing w:val="-1"/>
        </w:rPr>
        <w:t>scores</w:t>
      </w:r>
      <w:r w:rsidRPr="00430F01">
        <w:rPr>
          <w:spacing w:val="-5"/>
        </w:rPr>
        <w:t xml:space="preserve"> </w:t>
      </w:r>
      <w:r w:rsidRPr="00430F01">
        <w:rPr>
          <w:spacing w:val="-2"/>
        </w:rPr>
        <w:t>remain</w:t>
      </w:r>
      <w:r w:rsidRPr="00430F01">
        <w:rPr>
          <w:spacing w:val="-4"/>
        </w:rPr>
        <w:t xml:space="preserve"> </w:t>
      </w:r>
      <w:r w:rsidRPr="00430F01">
        <w:rPr>
          <w:spacing w:val="-2"/>
        </w:rPr>
        <w:t>above</w:t>
      </w:r>
      <w:r w:rsidRPr="00430F01">
        <w:rPr>
          <w:spacing w:val="-4"/>
        </w:rPr>
        <w:t xml:space="preserve"> </w:t>
      </w:r>
      <w:r w:rsidRPr="00430F01">
        <w:rPr>
          <w:spacing w:val="-1"/>
        </w:rPr>
        <w:t>the</w:t>
      </w:r>
      <w:r w:rsidRPr="00430F01">
        <w:rPr>
          <w:spacing w:val="-6"/>
        </w:rPr>
        <w:t xml:space="preserve"> </w:t>
      </w:r>
      <w:r w:rsidRPr="00430F01">
        <w:rPr>
          <w:spacing w:val="-1"/>
        </w:rPr>
        <w:t>CCG</w:t>
      </w:r>
      <w:r w:rsidRPr="00430F01">
        <w:rPr>
          <w:spacing w:val="-7"/>
        </w:rPr>
        <w:t xml:space="preserve"> </w:t>
      </w:r>
      <w:r w:rsidRPr="00430F01">
        <w:rPr>
          <w:spacing w:val="-1"/>
        </w:rPr>
        <w:t>Risk Appetite.</w:t>
      </w:r>
    </w:p>
    <w:p w14:paraId="3FDA9A55" w14:textId="6E32E22E" w:rsidR="00EE41DE" w:rsidRPr="00430F01" w:rsidRDefault="00EE41DE" w:rsidP="00EE41DE">
      <w:pPr>
        <w:pStyle w:val="BodyText"/>
        <w:kinsoku w:val="0"/>
        <w:overflowPunct w:val="0"/>
        <w:ind w:right="163"/>
        <w:rPr>
          <w:spacing w:val="-1"/>
        </w:rPr>
      </w:pPr>
      <w:r w:rsidRPr="00430F01">
        <w:t>The</w:t>
      </w:r>
      <w:r w:rsidRPr="00430F01">
        <w:rPr>
          <w:spacing w:val="1"/>
        </w:rPr>
        <w:t xml:space="preserve"> </w:t>
      </w:r>
      <w:r w:rsidRPr="00430F01">
        <w:rPr>
          <w:spacing w:val="-1"/>
        </w:rPr>
        <w:t>CCG</w:t>
      </w:r>
      <w:r w:rsidRPr="00430F01">
        <w:t xml:space="preserve"> </w:t>
      </w:r>
      <w:r w:rsidRPr="00430F01">
        <w:rPr>
          <w:spacing w:val="-1"/>
        </w:rPr>
        <w:t>also undertakes</w:t>
      </w:r>
      <w:r w:rsidRPr="00430F01">
        <w:t xml:space="preserve"> </w:t>
      </w:r>
      <w:r w:rsidRPr="00430F01">
        <w:rPr>
          <w:spacing w:val="-1"/>
        </w:rPr>
        <w:t>other</w:t>
      </w:r>
      <w:r w:rsidRPr="00430F01">
        <w:rPr>
          <w:spacing w:val="-3"/>
        </w:rPr>
        <w:t xml:space="preserve"> </w:t>
      </w:r>
      <w:r w:rsidRPr="00430F01">
        <w:rPr>
          <w:spacing w:val="-1"/>
        </w:rPr>
        <w:t>risk</w:t>
      </w:r>
      <w:r w:rsidRPr="00430F01">
        <w:t xml:space="preserve"> </w:t>
      </w:r>
      <w:r w:rsidRPr="00430F01">
        <w:rPr>
          <w:spacing w:val="-1"/>
        </w:rPr>
        <w:t>assessments,</w:t>
      </w:r>
      <w:r w:rsidRPr="00430F01">
        <w:rPr>
          <w:spacing w:val="-4"/>
        </w:rPr>
        <w:t xml:space="preserve"> </w:t>
      </w:r>
      <w:r w:rsidRPr="00430F01">
        <w:t>for</w:t>
      </w:r>
      <w:r w:rsidRPr="00430F01">
        <w:rPr>
          <w:spacing w:val="-1"/>
        </w:rPr>
        <w:t xml:space="preserve"> example,</w:t>
      </w:r>
      <w:r w:rsidRPr="00430F01">
        <w:t xml:space="preserve"> </w:t>
      </w:r>
      <w:r w:rsidRPr="00430F01">
        <w:rPr>
          <w:spacing w:val="-1"/>
        </w:rPr>
        <w:t>health</w:t>
      </w:r>
      <w:r w:rsidRPr="00430F01">
        <w:rPr>
          <w:spacing w:val="1"/>
        </w:rPr>
        <w:t xml:space="preserve"> </w:t>
      </w:r>
      <w:r w:rsidRPr="00430F01">
        <w:rPr>
          <w:spacing w:val="-1"/>
        </w:rPr>
        <w:t>and</w:t>
      </w:r>
      <w:r w:rsidRPr="00430F01">
        <w:rPr>
          <w:spacing w:val="1"/>
        </w:rPr>
        <w:t xml:space="preserve"> </w:t>
      </w:r>
      <w:r w:rsidRPr="00430F01">
        <w:rPr>
          <w:spacing w:val="-1"/>
        </w:rPr>
        <w:t>safety/fire</w:t>
      </w:r>
      <w:r w:rsidRPr="00430F01">
        <w:rPr>
          <w:spacing w:val="81"/>
        </w:rPr>
        <w:t xml:space="preserve"> </w:t>
      </w:r>
      <w:r w:rsidRPr="00430F01">
        <w:rPr>
          <w:spacing w:val="-1"/>
        </w:rPr>
        <w:t>workplace</w:t>
      </w:r>
      <w:r w:rsidRPr="00430F01">
        <w:rPr>
          <w:spacing w:val="1"/>
        </w:rPr>
        <w:t xml:space="preserve"> </w:t>
      </w:r>
      <w:r w:rsidRPr="00430F01">
        <w:rPr>
          <w:spacing w:val="-1"/>
        </w:rPr>
        <w:t>risk</w:t>
      </w:r>
      <w:r w:rsidRPr="00430F01">
        <w:t xml:space="preserve"> </w:t>
      </w:r>
      <w:r w:rsidRPr="00430F01">
        <w:rPr>
          <w:spacing w:val="-1"/>
        </w:rPr>
        <w:t>assessment</w:t>
      </w:r>
      <w:r w:rsidRPr="00430F01">
        <w:t xml:space="preserve"> </w:t>
      </w:r>
      <w:r w:rsidRPr="00430F01">
        <w:rPr>
          <w:spacing w:val="-1"/>
        </w:rPr>
        <w:t>of</w:t>
      </w:r>
      <w:r w:rsidRPr="00430F01">
        <w:t xml:space="preserve"> </w:t>
      </w:r>
      <w:r w:rsidRPr="00430F01">
        <w:rPr>
          <w:spacing w:val="-1"/>
        </w:rPr>
        <w:t>its</w:t>
      </w:r>
      <w:r w:rsidRPr="00430F01">
        <w:t xml:space="preserve"> </w:t>
      </w:r>
      <w:r w:rsidRPr="00430F01">
        <w:rPr>
          <w:spacing w:val="-1"/>
        </w:rPr>
        <w:t>premises</w:t>
      </w:r>
      <w:r w:rsidRPr="00430F01">
        <w:rPr>
          <w:spacing w:val="-2"/>
        </w:rPr>
        <w:t xml:space="preserve"> </w:t>
      </w:r>
      <w:r w:rsidRPr="00430F01">
        <w:rPr>
          <w:spacing w:val="-1"/>
        </w:rPr>
        <w:t>and</w:t>
      </w:r>
      <w:r w:rsidRPr="00430F01">
        <w:rPr>
          <w:spacing w:val="1"/>
        </w:rPr>
        <w:t xml:space="preserve"> </w:t>
      </w:r>
      <w:r w:rsidRPr="00430F01">
        <w:rPr>
          <w:spacing w:val="-1"/>
        </w:rPr>
        <w:t xml:space="preserve"> C</w:t>
      </w:r>
      <w:r w:rsidR="003067AE">
        <w:rPr>
          <w:spacing w:val="-1"/>
        </w:rPr>
        <w:t>ovid</w:t>
      </w:r>
      <w:r w:rsidRPr="00430F01">
        <w:rPr>
          <w:spacing w:val="-1"/>
        </w:rPr>
        <w:t>-19 risk</w:t>
      </w:r>
      <w:r w:rsidRPr="00430F01">
        <w:t xml:space="preserve"> </w:t>
      </w:r>
      <w:r w:rsidRPr="00430F01">
        <w:rPr>
          <w:spacing w:val="-1"/>
        </w:rPr>
        <w:t>assessment</w:t>
      </w:r>
      <w:r w:rsidRPr="00430F01">
        <w:t xml:space="preserve"> </w:t>
      </w:r>
      <w:r w:rsidRPr="00430F01">
        <w:rPr>
          <w:spacing w:val="-1"/>
        </w:rPr>
        <w:t>to</w:t>
      </w:r>
      <w:r w:rsidRPr="00430F01">
        <w:rPr>
          <w:spacing w:val="1"/>
        </w:rPr>
        <w:t xml:space="preserve"> </w:t>
      </w:r>
      <w:r w:rsidRPr="00430F01">
        <w:rPr>
          <w:spacing w:val="-1"/>
        </w:rPr>
        <w:t>ensure that</w:t>
      </w:r>
      <w:r w:rsidRPr="00430F01">
        <w:t xml:space="preserve"> </w:t>
      </w:r>
      <w:r w:rsidRPr="00430F01">
        <w:rPr>
          <w:spacing w:val="-1"/>
        </w:rPr>
        <w:t>its</w:t>
      </w:r>
      <w:r w:rsidRPr="00430F01">
        <w:rPr>
          <w:spacing w:val="87"/>
        </w:rPr>
        <w:t xml:space="preserve"> </w:t>
      </w:r>
      <w:r w:rsidRPr="00430F01">
        <w:rPr>
          <w:spacing w:val="-1"/>
        </w:rPr>
        <w:t>premises</w:t>
      </w:r>
      <w:r w:rsidRPr="00430F01">
        <w:rPr>
          <w:spacing w:val="-2"/>
        </w:rPr>
        <w:t xml:space="preserve"> </w:t>
      </w:r>
      <w:r w:rsidRPr="00430F01">
        <w:rPr>
          <w:spacing w:val="-1"/>
        </w:rPr>
        <w:t>are</w:t>
      </w:r>
      <w:r w:rsidRPr="00430F01">
        <w:rPr>
          <w:spacing w:val="1"/>
        </w:rPr>
        <w:t xml:space="preserve"> </w:t>
      </w:r>
      <w:r w:rsidRPr="00430F01">
        <w:rPr>
          <w:spacing w:val="-1"/>
        </w:rPr>
        <w:t>C</w:t>
      </w:r>
      <w:r w:rsidR="003067AE">
        <w:rPr>
          <w:spacing w:val="-1"/>
        </w:rPr>
        <w:t>ovid</w:t>
      </w:r>
      <w:r w:rsidRPr="00430F01">
        <w:rPr>
          <w:spacing w:val="-1"/>
        </w:rPr>
        <w:t>-19</w:t>
      </w:r>
      <w:r w:rsidRPr="00430F01">
        <w:rPr>
          <w:spacing w:val="1"/>
        </w:rPr>
        <w:t xml:space="preserve"> </w:t>
      </w:r>
      <w:r w:rsidRPr="00430F01">
        <w:rPr>
          <w:spacing w:val="-1"/>
        </w:rPr>
        <w:t>secure.</w:t>
      </w:r>
      <w:r w:rsidRPr="00430F01">
        <w:t xml:space="preserve"> </w:t>
      </w:r>
      <w:r w:rsidRPr="00430F01">
        <w:rPr>
          <w:spacing w:val="-1"/>
        </w:rPr>
        <w:t>These risk</w:t>
      </w:r>
      <w:r w:rsidRPr="00430F01">
        <w:t xml:space="preserve"> </w:t>
      </w:r>
      <w:r w:rsidRPr="00430F01">
        <w:rPr>
          <w:spacing w:val="-1"/>
        </w:rPr>
        <w:t>assessments</w:t>
      </w:r>
      <w:r w:rsidRPr="00430F01">
        <w:rPr>
          <w:spacing w:val="-2"/>
        </w:rPr>
        <w:t xml:space="preserve"> </w:t>
      </w:r>
      <w:r w:rsidRPr="00430F01">
        <w:rPr>
          <w:spacing w:val="-1"/>
        </w:rPr>
        <w:t>have</w:t>
      </w:r>
      <w:r w:rsidRPr="00430F01">
        <w:rPr>
          <w:spacing w:val="1"/>
        </w:rPr>
        <w:t xml:space="preserve"> </w:t>
      </w:r>
      <w:r w:rsidRPr="00430F01">
        <w:rPr>
          <w:spacing w:val="-1"/>
        </w:rPr>
        <w:t>associated</w:t>
      </w:r>
      <w:r w:rsidRPr="00430F01">
        <w:rPr>
          <w:spacing w:val="1"/>
        </w:rPr>
        <w:t xml:space="preserve"> </w:t>
      </w:r>
      <w:r w:rsidRPr="00430F01">
        <w:rPr>
          <w:spacing w:val="-1"/>
        </w:rPr>
        <w:t>action</w:t>
      </w:r>
      <w:r w:rsidRPr="00430F01">
        <w:rPr>
          <w:spacing w:val="1"/>
        </w:rPr>
        <w:t xml:space="preserve"> </w:t>
      </w:r>
      <w:r w:rsidRPr="00430F01">
        <w:rPr>
          <w:spacing w:val="-1"/>
        </w:rPr>
        <w:t>plans,</w:t>
      </w:r>
      <w:r w:rsidRPr="00430F01">
        <w:rPr>
          <w:spacing w:val="-2"/>
        </w:rPr>
        <w:t xml:space="preserve"> </w:t>
      </w:r>
      <w:r w:rsidRPr="00430F01">
        <w:rPr>
          <w:spacing w:val="-1"/>
        </w:rPr>
        <w:t>policies</w:t>
      </w:r>
      <w:r w:rsidRPr="00430F01">
        <w:rPr>
          <w:spacing w:val="89"/>
        </w:rPr>
        <w:t xml:space="preserve"> </w:t>
      </w:r>
      <w:r w:rsidRPr="00430F01">
        <w:t>and</w:t>
      </w:r>
      <w:r w:rsidRPr="00430F01">
        <w:rPr>
          <w:spacing w:val="-1"/>
        </w:rPr>
        <w:t xml:space="preserve"> procedures</w:t>
      </w:r>
      <w:r w:rsidRPr="00430F01">
        <w:t xml:space="preserve"> </w:t>
      </w:r>
      <w:r w:rsidRPr="00430F01">
        <w:rPr>
          <w:spacing w:val="-1"/>
        </w:rPr>
        <w:t>to</w:t>
      </w:r>
      <w:r w:rsidRPr="00430F01">
        <w:rPr>
          <w:spacing w:val="1"/>
        </w:rPr>
        <w:t xml:space="preserve"> </w:t>
      </w:r>
      <w:r w:rsidRPr="00430F01">
        <w:rPr>
          <w:spacing w:val="-1"/>
        </w:rPr>
        <w:t>ensure</w:t>
      </w:r>
      <w:r w:rsidRPr="00430F01">
        <w:rPr>
          <w:spacing w:val="1"/>
        </w:rPr>
        <w:t xml:space="preserve"> </w:t>
      </w:r>
      <w:r w:rsidRPr="00430F01">
        <w:rPr>
          <w:spacing w:val="-1"/>
        </w:rPr>
        <w:t>that</w:t>
      </w:r>
      <w:r w:rsidRPr="00430F01">
        <w:t xml:space="preserve"> </w:t>
      </w:r>
      <w:r w:rsidRPr="00430F01">
        <w:rPr>
          <w:spacing w:val="-1"/>
        </w:rPr>
        <w:t>risks</w:t>
      </w:r>
      <w:r w:rsidRPr="00430F01">
        <w:t xml:space="preserve"> </w:t>
      </w:r>
      <w:r w:rsidRPr="00430F01">
        <w:rPr>
          <w:spacing w:val="-1"/>
        </w:rPr>
        <w:t>identified are managed</w:t>
      </w:r>
      <w:r w:rsidRPr="00430F01">
        <w:rPr>
          <w:spacing w:val="1"/>
        </w:rPr>
        <w:t xml:space="preserve"> </w:t>
      </w:r>
      <w:r w:rsidRPr="00430F01">
        <w:rPr>
          <w:spacing w:val="-1"/>
        </w:rPr>
        <w:t>on</w:t>
      </w:r>
      <w:r w:rsidRPr="00430F01">
        <w:rPr>
          <w:spacing w:val="1"/>
        </w:rPr>
        <w:t xml:space="preserve"> </w:t>
      </w:r>
      <w:r w:rsidRPr="00430F01">
        <w:rPr>
          <w:spacing w:val="-1"/>
        </w:rPr>
        <w:t>an</w:t>
      </w:r>
      <w:r w:rsidRPr="00430F01">
        <w:rPr>
          <w:spacing w:val="1"/>
        </w:rPr>
        <w:t xml:space="preserve"> </w:t>
      </w:r>
      <w:r w:rsidRPr="00430F01">
        <w:rPr>
          <w:spacing w:val="-1"/>
        </w:rPr>
        <w:t>ongoing basis.</w:t>
      </w:r>
    </w:p>
    <w:p w14:paraId="72896A9A" w14:textId="438F6A4F" w:rsidR="00E06CCF" w:rsidRPr="00EE41DE" w:rsidRDefault="00E06CCF" w:rsidP="00A37230">
      <w:pPr>
        <w:pStyle w:val="Heading3"/>
        <w:spacing w:before="480" w:after="240"/>
      </w:pPr>
      <w:bookmarkStart w:id="160" w:name="_Toc107389471"/>
      <w:r w:rsidRPr="00EE41DE">
        <w:t>Other sources of assurance</w:t>
      </w:r>
      <w:bookmarkEnd w:id="157"/>
      <w:bookmarkEnd w:id="158"/>
      <w:bookmarkEnd w:id="160"/>
      <w:r w:rsidRPr="00EE41DE">
        <w:t xml:space="preserve"> </w:t>
      </w:r>
    </w:p>
    <w:p w14:paraId="1CCB7E79" w14:textId="7FCEABC9" w:rsidR="00E06CCF" w:rsidRPr="007830C3" w:rsidRDefault="00E06CCF" w:rsidP="00FF0E5D">
      <w:pPr>
        <w:pStyle w:val="Heading3"/>
      </w:pPr>
      <w:bookmarkStart w:id="161" w:name="_Toc94188202"/>
      <w:bookmarkStart w:id="162" w:name="_Toc97218353"/>
      <w:bookmarkStart w:id="163" w:name="_Toc107389472"/>
      <w:r w:rsidRPr="00EE41DE">
        <w:t>Internal Control Framework</w:t>
      </w:r>
      <w:bookmarkEnd w:id="159"/>
      <w:bookmarkEnd w:id="161"/>
      <w:bookmarkEnd w:id="162"/>
      <w:bookmarkEnd w:id="163"/>
    </w:p>
    <w:p w14:paraId="387CCD8E" w14:textId="77777777" w:rsidR="00EE41DE" w:rsidRDefault="00EE41DE" w:rsidP="00EE41DE">
      <w:pPr>
        <w:pStyle w:val="BodyText"/>
        <w:kinsoku w:val="0"/>
        <w:overflowPunct w:val="0"/>
        <w:spacing w:before="120"/>
        <w:ind w:right="199"/>
        <w:rPr>
          <w:spacing w:val="-1"/>
        </w:rPr>
      </w:pPr>
      <w:bookmarkStart w:id="164" w:name="_Toc94188203"/>
      <w:bookmarkStart w:id="165" w:name="_Toc97218354"/>
      <w:r>
        <w:t>A</w:t>
      </w:r>
      <w:r>
        <w:rPr>
          <w:spacing w:val="1"/>
        </w:rPr>
        <w:t xml:space="preserve"> </w:t>
      </w:r>
      <w:r>
        <w:rPr>
          <w:spacing w:val="-1"/>
        </w:rPr>
        <w:t>system</w:t>
      </w:r>
      <w:r>
        <w:rPr>
          <w:spacing w:val="2"/>
        </w:rPr>
        <w:t xml:space="preserve"> </w:t>
      </w:r>
      <w:r>
        <w:rPr>
          <w:spacing w:val="-1"/>
        </w:rPr>
        <w:t>of</w:t>
      </w:r>
      <w:r>
        <w:t xml:space="preserve"> </w:t>
      </w:r>
      <w:r>
        <w:rPr>
          <w:spacing w:val="-1"/>
        </w:rPr>
        <w:t>internal</w:t>
      </w:r>
      <w:r>
        <w:t xml:space="preserve"> </w:t>
      </w:r>
      <w:r>
        <w:rPr>
          <w:spacing w:val="-1"/>
        </w:rPr>
        <w:t>control</w:t>
      </w:r>
      <w:r>
        <w:t xml:space="preserve"> </w:t>
      </w:r>
      <w:r>
        <w:rPr>
          <w:spacing w:val="-1"/>
        </w:rPr>
        <w:t>is</w:t>
      </w:r>
      <w:r>
        <w:t xml:space="preserve"> </w:t>
      </w:r>
      <w:r>
        <w:rPr>
          <w:spacing w:val="-1"/>
        </w:rPr>
        <w:t>the</w:t>
      </w:r>
      <w:r>
        <w:rPr>
          <w:spacing w:val="1"/>
        </w:rPr>
        <w:t xml:space="preserve"> </w:t>
      </w:r>
      <w:r>
        <w:t>set</w:t>
      </w:r>
      <w:r>
        <w:rPr>
          <w:spacing w:val="-2"/>
        </w:rPr>
        <w:t xml:space="preserve"> </w:t>
      </w:r>
      <w:r>
        <w:rPr>
          <w:spacing w:val="-1"/>
        </w:rPr>
        <w:t>of</w:t>
      </w:r>
      <w:r>
        <w:t xml:space="preserve"> </w:t>
      </w:r>
      <w:r>
        <w:rPr>
          <w:spacing w:val="-1"/>
        </w:rPr>
        <w:t>processes</w:t>
      </w:r>
      <w:r>
        <w:t xml:space="preserve"> </w:t>
      </w:r>
      <w:r>
        <w:rPr>
          <w:spacing w:val="-1"/>
        </w:rPr>
        <w:t>and</w:t>
      </w:r>
      <w:r>
        <w:rPr>
          <w:spacing w:val="1"/>
        </w:rPr>
        <w:t xml:space="preserve"> </w:t>
      </w:r>
      <w:r>
        <w:rPr>
          <w:spacing w:val="-1"/>
        </w:rPr>
        <w:t>procedures</w:t>
      </w:r>
      <w:r>
        <w:t xml:space="preserve"> </w:t>
      </w:r>
      <w:r>
        <w:rPr>
          <w:spacing w:val="-2"/>
        </w:rPr>
        <w:t>in</w:t>
      </w:r>
      <w:r>
        <w:rPr>
          <w:spacing w:val="1"/>
        </w:rPr>
        <w:t xml:space="preserve"> </w:t>
      </w:r>
      <w:r>
        <w:rPr>
          <w:spacing w:val="-1"/>
        </w:rPr>
        <w:t>place</w:t>
      </w:r>
      <w:r>
        <w:rPr>
          <w:spacing w:val="1"/>
        </w:rPr>
        <w:t xml:space="preserve"> </w:t>
      </w:r>
      <w:r>
        <w:rPr>
          <w:spacing w:val="-1"/>
        </w:rPr>
        <w:t>in</w:t>
      </w:r>
      <w:r>
        <w:rPr>
          <w:spacing w:val="1"/>
        </w:rPr>
        <w:t xml:space="preserve"> </w:t>
      </w:r>
      <w:r>
        <w:rPr>
          <w:spacing w:val="-1"/>
        </w:rPr>
        <w:t>the</w:t>
      </w:r>
      <w:r>
        <w:rPr>
          <w:spacing w:val="1"/>
        </w:rPr>
        <w:t xml:space="preserve"> </w:t>
      </w:r>
      <w:r>
        <w:rPr>
          <w:spacing w:val="-1"/>
        </w:rPr>
        <w:t>CCG</w:t>
      </w:r>
      <w:r>
        <w:t xml:space="preserve"> </w:t>
      </w:r>
      <w:r>
        <w:rPr>
          <w:spacing w:val="-1"/>
        </w:rPr>
        <w:t>to ensure</w:t>
      </w:r>
      <w:r>
        <w:rPr>
          <w:spacing w:val="67"/>
        </w:rPr>
        <w:t xml:space="preserve"> </w:t>
      </w:r>
      <w:r>
        <w:rPr>
          <w:spacing w:val="-1"/>
        </w:rPr>
        <w:t>it</w:t>
      </w:r>
      <w:r>
        <w:t xml:space="preserve"> </w:t>
      </w:r>
      <w:r>
        <w:rPr>
          <w:spacing w:val="-1"/>
        </w:rPr>
        <w:t>delivers</w:t>
      </w:r>
      <w:r>
        <w:t xml:space="preserve"> </w:t>
      </w:r>
      <w:r>
        <w:rPr>
          <w:spacing w:val="-1"/>
        </w:rPr>
        <w:t>its</w:t>
      </w:r>
      <w:r>
        <w:t xml:space="preserve"> </w:t>
      </w:r>
      <w:r>
        <w:rPr>
          <w:spacing w:val="-1"/>
        </w:rPr>
        <w:t>policies,</w:t>
      </w:r>
      <w:r>
        <w:rPr>
          <w:spacing w:val="1"/>
        </w:rPr>
        <w:t xml:space="preserve"> </w:t>
      </w:r>
      <w:r>
        <w:rPr>
          <w:spacing w:val="-1"/>
        </w:rPr>
        <w:t>aims</w:t>
      </w:r>
      <w:r>
        <w:t xml:space="preserve"> </w:t>
      </w:r>
      <w:r>
        <w:rPr>
          <w:spacing w:val="-1"/>
        </w:rPr>
        <w:t>and</w:t>
      </w:r>
      <w:r>
        <w:rPr>
          <w:spacing w:val="1"/>
        </w:rPr>
        <w:t xml:space="preserve"> </w:t>
      </w:r>
      <w:r>
        <w:rPr>
          <w:spacing w:val="-1"/>
        </w:rPr>
        <w:t>objectives.</w:t>
      </w:r>
      <w:r>
        <w:t xml:space="preserve"> It </w:t>
      </w:r>
      <w:r>
        <w:rPr>
          <w:spacing w:val="-2"/>
        </w:rPr>
        <w:t>is</w:t>
      </w:r>
      <w:r>
        <w:t xml:space="preserve"> </w:t>
      </w:r>
      <w:r>
        <w:rPr>
          <w:spacing w:val="-1"/>
        </w:rPr>
        <w:t xml:space="preserve">designed </w:t>
      </w:r>
      <w:r>
        <w:t>to</w:t>
      </w:r>
      <w:r>
        <w:rPr>
          <w:spacing w:val="1"/>
        </w:rPr>
        <w:t xml:space="preserve"> </w:t>
      </w:r>
      <w:r>
        <w:rPr>
          <w:spacing w:val="-1"/>
        </w:rPr>
        <w:t>identify</w:t>
      </w:r>
      <w:r>
        <w:rPr>
          <w:spacing w:val="-2"/>
        </w:rPr>
        <w:t xml:space="preserve"> </w:t>
      </w:r>
      <w:r>
        <w:rPr>
          <w:spacing w:val="-1"/>
        </w:rPr>
        <w:t>and</w:t>
      </w:r>
      <w:r>
        <w:rPr>
          <w:spacing w:val="1"/>
        </w:rPr>
        <w:t xml:space="preserve"> </w:t>
      </w:r>
      <w:r>
        <w:rPr>
          <w:spacing w:val="-1"/>
        </w:rPr>
        <w:t>prioritise</w:t>
      </w:r>
      <w:r>
        <w:rPr>
          <w:spacing w:val="1"/>
        </w:rPr>
        <w:t xml:space="preserve"> </w:t>
      </w:r>
      <w:r>
        <w:rPr>
          <w:spacing w:val="-1"/>
        </w:rPr>
        <w:t>the</w:t>
      </w:r>
      <w:r>
        <w:rPr>
          <w:spacing w:val="1"/>
        </w:rPr>
        <w:t xml:space="preserve"> </w:t>
      </w:r>
      <w:r>
        <w:rPr>
          <w:spacing w:val="-1"/>
        </w:rPr>
        <w:t>risks,</w:t>
      </w:r>
      <w:r>
        <w:rPr>
          <w:spacing w:val="-2"/>
        </w:rPr>
        <w:t xml:space="preserve"> </w:t>
      </w:r>
      <w:r>
        <w:rPr>
          <w:spacing w:val="-1"/>
        </w:rPr>
        <w:t>to</w:t>
      </w:r>
      <w:r>
        <w:rPr>
          <w:spacing w:val="79"/>
        </w:rPr>
        <w:t xml:space="preserve"> </w:t>
      </w:r>
      <w:r>
        <w:rPr>
          <w:spacing w:val="-1"/>
        </w:rPr>
        <w:t>evaluate</w:t>
      </w:r>
      <w:r>
        <w:rPr>
          <w:spacing w:val="1"/>
        </w:rPr>
        <w:t xml:space="preserve"> </w:t>
      </w:r>
      <w:r>
        <w:rPr>
          <w:spacing w:val="-1"/>
        </w:rPr>
        <w:t>the</w:t>
      </w:r>
      <w:r>
        <w:rPr>
          <w:spacing w:val="1"/>
        </w:rPr>
        <w:t xml:space="preserve"> </w:t>
      </w:r>
      <w:r>
        <w:rPr>
          <w:spacing w:val="-1"/>
        </w:rPr>
        <w:t>likelihood</w:t>
      </w:r>
      <w:r>
        <w:rPr>
          <w:spacing w:val="-4"/>
        </w:rPr>
        <w:t xml:space="preserve"> </w:t>
      </w:r>
      <w:r>
        <w:rPr>
          <w:spacing w:val="-1"/>
        </w:rPr>
        <w:t>of</w:t>
      </w:r>
      <w:r>
        <w:rPr>
          <w:spacing w:val="3"/>
        </w:rPr>
        <w:t xml:space="preserve"> </w:t>
      </w:r>
      <w:r>
        <w:rPr>
          <w:spacing w:val="-1"/>
        </w:rPr>
        <w:t>those</w:t>
      </w:r>
      <w:r>
        <w:rPr>
          <w:spacing w:val="1"/>
        </w:rPr>
        <w:t xml:space="preserve"> </w:t>
      </w:r>
      <w:r>
        <w:rPr>
          <w:spacing w:val="-1"/>
        </w:rPr>
        <w:t>risks</w:t>
      </w:r>
      <w:r>
        <w:t xml:space="preserve"> </w:t>
      </w:r>
      <w:r>
        <w:rPr>
          <w:spacing w:val="-1"/>
        </w:rPr>
        <w:t>being realised</w:t>
      </w:r>
      <w:r>
        <w:rPr>
          <w:spacing w:val="1"/>
        </w:rPr>
        <w:t xml:space="preserve"> </w:t>
      </w:r>
      <w:r>
        <w:rPr>
          <w:spacing w:val="-1"/>
        </w:rPr>
        <w:t>and</w:t>
      </w:r>
      <w:r>
        <w:rPr>
          <w:spacing w:val="1"/>
        </w:rPr>
        <w:t xml:space="preserve"> </w:t>
      </w:r>
      <w:r>
        <w:rPr>
          <w:spacing w:val="-1"/>
        </w:rPr>
        <w:t>the</w:t>
      </w:r>
      <w:r>
        <w:rPr>
          <w:spacing w:val="1"/>
        </w:rPr>
        <w:t xml:space="preserve"> </w:t>
      </w:r>
      <w:r>
        <w:rPr>
          <w:spacing w:val="-1"/>
        </w:rPr>
        <w:t>impact</w:t>
      </w:r>
      <w:r>
        <w:t xml:space="preserve"> </w:t>
      </w:r>
      <w:r>
        <w:rPr>
          <w:spacing w:val="-1"/>
        </w:rPr>
        <w:t xml:space="preserve">should </w:t>
      </w:r>
      <w:r>
        <w:t>they</w:t>
      </w:r>
      <w:r>
        <w:rPr>
          <w:spacing w:val="-2"/>
        </w:rPr>
        <w:t xml:space="preserve"> </w:t>
      </w:r>
      <w:r>
        <w:t>be</w:t>
      </w:r>
      <w:r>
        <w:rPr>
          <w:spacing w:val="-1"/>
        </w:rPr>
        <w:t xml:space="preserve"> realised,</w:t>
      </w:r>
      <w:r>
        <w:rPr>
          <w:spacing w:val="-2"/>
        </w:rPr>
        <w:t xml:space="preserve"> </w:t>
      </w:r>
      <w:r>
        <w:t>and</w:t>
      </w:r>
      <w:r>
        <w:rPr>
          <w:spacing w:val="-1"/>
        </w:rPr>
        <w:t xml:space="preserve"> </w:t>
      </w:r>
      <w:r>
        <w:t>to</w:t>
      </w:r>
      <w:r>
        <w:rPr>
          <w:spacing w:val="61"/>
        </w:rPr>
        <w:t xml:space="preserve"> </w:t>
      </w:r>
      <w:r>
        <w:rPr>
          <w:spacing w:val="-1"/>
        </w:rPr>
        <w:t>manage</w:t>
      </w:r>
      <w:r>
        <w:rPr>
          <w:spacing w:val="1"/>
        </w:rPr>
        <w:t xml:space="preserve"> </w:t>
      </w:r>
      <w:r>
        <w:rPr>
          <w:spacing w:val="-1"/>
        </w:rPr>
        <w:t>them efficiently,</w:t>
      </w:r>
      <w:r>
        <w:t xml:space="preserve"> </w:t>
      </w:r>
      <w:r>
        <w:rPr>
          <w:spacing w:val="-1"/>
        </w:rPr>
        <w:t>effectively</w:t>
      </w:r>
      <w:r>
        <w:rPr>
          <w:spacing w:val="-2"/>
        </w:rPr>
        <w:t xml:space="preserve"> </w:t>
      </w:r>
      <w:r>
        <w:t>and</w:t>
      </w:r>
      <w:r>
        <w:rPr>
          <w:spacing w:val="1"/>
        </w:rPr>
        <w:t xml:space="preserve"> </w:t>
      </w:r>
      <w:r>
        <w:rPr>
          <w:spacing w:val="-1"/>
        </w:rPr>
        <w:t>economically.</w:t>
      </w:r>
    </w:p>
    <w:p w14:paraId="73BCE770" w14:textId="77777777" w:rsidR="00EE41DE" w:rsidRDefault="00EE41DE" w:rsidP="00EE41DE">
      <w:pPr>
        <w:pStyle w:val="BodyText"/>
        <w:kinsoku w:val="0"/>
        <w:overflowPunct w:val="0"/>
        <w:ind w:right="1016"/>
        <w:jc w:val="both"/>
        <w:rPr>
          <w:spacing w:val="-1"/>
        </w:rPr>
      </w:pPr>
      <w:r>
        <w:t>The</w:t>
      </w:r>
      <w:r>
        <w:rPr>
          <w:spacing w:val="1"/>
        </w:rPr>
        <w:t xml:space="preserve"> </w:t>
      </w:r>
      <w:r>
        <w:rPr>
          <w:spacing w:val="-1"/>
        </w:rPr>
        <w:t>system of</w:t>
      </w:r>
      <w:r>
        <w:rPr>
          <w:spacing w:val="3"/>
        </w:rPr>
        <w:t xml:space="preserve"> </w:t>
      </w:r>
      <w:r>
        <w:rPr>
          <w:spacing w:val="-1"/>
        </w:rPr>
        <w:t>internal</w:t>
      </w:r>
      <w:r>
        <w:rPr>
          <w:spacing w:val="-3"/>
        </w:rPr>
        <w:t xml:space="preserve"> </w:t>
      </w:r>
      <w:r>
        <w:rPr>
          <w:spacing w:val="-1"/>
        </w:rPr>
        <w:t>control</w:t>
      </w:r>
      <w:r>
        <w:t xml:space="preserve"> </w:t>
      </w:r>
      <w:r>
        <w:rPr>
          <w:spacing w:val="-1"/>
        </w:rPr>
        <w:t>allows</w:t>
      </w:r>
      <w:r>
        <w:t xml:space="preserve"> </w:t>
      </w:r>
      <w:r>
        <w:rPr>
          <w:spacing w:val="-1"/>
        </w:rPr>
        <w:t>risk</w:t>
      </w:r>
      <w:r>
        <w:t xml:space="preserve"> to</w:t>
      </w:r>
      <w:r>
        <w:rPr>
          <w:spacing w:val="1"/>
        </w:rPr>
        <w:t xml:space="preserve"> </w:t>
      </w:r>
      <w:r>
        <w:rPr>
          <w:spacing w:val="-1"/>
        </w:rPr>
        <w:t>be</w:t>
      </w:r>
      <w:r>
        <w:rPr>
          <w:spacing w:val="1"/>
        </w:rPr>
        <w:t xml:space="preserve"> </w:t>
      </w:r>
      <w:r>
        <w:rPr>
          <w:spacing w:val="-1"/>
        </w:rPr>
        <w:t>managed</w:t>
      </w:r>
      <w:r>
        <w:rPr>
          <w:spacing w:val="1"/>
        </w:rPr>
        <w:t xml:space="preserve"> </w:t>
      </w:r>
      <w:r>
        <w:t>to</w:t>
      </w:r>
      <w:r>
        <w:rPr>
          <w:spacing w:val="-1"/>
        </w:rPr>
        <w:t xml:space="preserve"> </w:t>
      </w:r>
      <w:r>
        <w:t>a</w:t>
      </w:r>
      <w:r>
        <w:rPr>
          <w:spacing w:val="1"/>
        </w:rPr>
        <w:t xml:space="preserve"> </w:t>
      </w:r>
      <w:r>
        <w:rPr>
          <w:spacing w:val="-1"/>
        </w:rPr>
        <w:t>reasonable level</w:t>
      </w:r>
      <w:r>
        <w:t xml:space="preserve"> </w:t>
      </w:r>
      <w:r>
        <w:rPr>
          <w:spacing w:val="-1"/>
        </w:rPr>
        <w:t>rather than</w:t>
      </w:r>
      <w:r>
        <w:rPr>
          <w:spacing w:val="59"/>
        </w:rPr>
        <w:t xml:space="preserve"> </w:t>
      </w:r>
      <w:r>
        <w:rPr>
          <w:spacing w:val="-1"/>
        </w:rPr>
        <w:t>eliminating all</w:t>
      </w:r>
      <w:r>
        <w:t xml:space="preserve"> </w:t>
      </w:r>
      <w:r>
        <w:rPr>
          <w:spacing w:val="-1"/>
        </w:rPr>
        <w:t>risk;</w:t>
      </w:r>
      <w:r>
        <w:t xml:space="preserve"> </w:t>
      </w:r>
      <w:r>
        <w:rPr>
          <w:spacing w:val="-1"/>
        </w:rPr>
        <w:t>it</w:t>
      </w:r>
      <w:r>
        <w:t xml:space="preserve"> can</w:t>
      </w:r>
      <w:r>
        <w:rPr>
          <w:spacing w:val="1"/>
        </w:rPr>
        <w:t xml:space="preserve"> </w:t>
      </w:r>
      <w:r>
        <w:rPr>
          <w:spacing w:val="-1"/>
        </w:rPr>
        <w:t>therefore</w:t>
      </w:r>
      <w:r>
        <w:rPr>
          <w:spacing w:val="1"/>
        </w:rPr>
        <w:t xml:space="preserve"> </w:t>
      </w:r>
      <w:r>
        <w:rPr>
          <w:spacing w:val="-1"/>
        </w:rPr>
        <w:t>only</w:t>
      </w:r>
      <w:r>
        <w:rPr>
          <w:spacing w:val="-2"/>
        </w:rPr>
        <w:t xml:space="preserve"> </w:t>
      </w:r>
      <w:r>
        <w:rPr>
          <w:spacing w:val="-1"/>
        </w:rPr>
        <w:t>provide</w:t>
      </w:r>
      <w:r>
        <w:rPr>
          <w:spacing w:val="1"/>
        </w:rPr>
        <w:t xml:space="preserve"> </w:t>
      </w:r>
      <w:r>
        <w:rPr>
          <w:spacing w:val="-1"/>
        </w:rPr>
        <w:t xml:space="preserve">reasonable </w:t>
      </w:r>
      <w:r>
        <w:t>and</w:t>
      </w:r>
      <w:r>
        <w:rPr>
          <w:spacing w:val="-1"/>
        </w:rPr>
        <w:t xml:space="preserve"> not</w:t>
      </w:r>
      <w:r>
        <w:rPr>
          <w:spacing w:val="-2"/>
        </w:rPr>
        <w:t xml:space="preserve"> </w:t>
      </w:r>
      <w:r>
        <w:rPr>
          <w:spacing w:val="-1"/>
        </w:rPr>
        <w:t>absolute</w:t>
      </w:r>
      <w:r>
        <w:rPr>
          <w:spacing w:val="1"/>
        </w:rPr>
        <w:t xml:space="preserve"> </w:t>
      </w:r>
      <w:r>
        <w:rPr>
          <w:spacing w:val="-1"/>
        </w:rPr>
        <w:t>assurance</w:t>
      </w:r>
      <w:r>
        <w:rPr>
          <w:spacing w:val="1"/>
        </w:rPr>
        <w:t xml:space="preserve"> </w:t>
      </w:r>
      <w:r>
        <w:rPr>
          <w:spacing w:val="-1"/>
        </w:rPr>
        <w:t>of</w:t>
      </w:r>
      <w:r>
        <w:rPr>
          <w:spacing w:val="63"/>
        </w:rPr>
        <w:t xml:space="preserve"> </w:t>
      </w:r>
      <w:r>
        <w:rPr>
          <w:spacing w:val="-1"/>
        </w:rPr>
        <w:t>effectiveness.</w:t>
      </w:r>
    </w:p>
    <w:p w14:paraId="0BBE8F58" w14:textId="7011928B" w:rsidR="00EE41DE" w:rsidRDefault="00EE41DE" w:rsidP="00EE41DE">
      <w:pPr>
        <w:pStyle w:val="BodyText"/>
        <w:kinsoku w:val="0"/>
        <w:overflowPunct w:val="0"/>
        <w:ind w:right="135"/>
        <w:rPr>
          <w:spacing w:val="-1"/>
        </w:rPr>
      </w:pPr>
      <w:r>
        <w:t>The</w:t>
      </w:r>
      <w:r>
        <w:rPr>
          <w:spacing w:val="1"/>
        </w:rPr>
        <w:t xml:space="preserve"> </w:t>
      </w:r>
      <w:r>
        <w:rPr>
          <w:spacing w:val="-1"/>
        </w:rPr>
        <w:t>system of</w:t>
      </w:r>
      <w:r>
        <w:rPr>
          <w:spacing w:val="3"/>
        </w:rPr>
        <w:t xml:space="preserve"> </w:t>
      </w:r>
      <w:r>
        <w:rPr>
          <w:spacing w:val="-1"/>
        </w:rPr>
        <w:t>control</w:t>
      </w:r>
      <w:r>
        <w:t xml:space="preserve"> </w:t>
      </w:r>
      <w:r>
        <w:rPr>
          <w:spacing w:val="-2"/>
        </w:rPr>
        <w:t>in</w:t>
      </w:r>
      <w:r>
        <w:rPr>
          <w:spacing w:val="1"/>
        </w:rPr>
        <w:t xml:space="preserve"> </w:t>
      </w:r>
      <w:r>
        <w:rPr>
          <w:spacing w:val="-1"/>
        </w:rPr>
        <w:t>place</w:t>
      </w:r>
      <w:r>
        <w:rPr>
          <w:spacing w:val="1"/>
        </w:rPr>
        <w:t xml:space="preserve"> </w:t>
      </w:r>
      <w:r>
        <w:rPr>
          <w:spacing w:val="-1"/>
        </w:rPr>
        <w:t>is</w:t>
      </w:r>
      <w:r>
        <w:t xml:space="preserve"> set</w:t>
      </w:r>
      <w:r>
        <w:rPr>
          <w:spacing w:val="-2"/>
        </w:rPr>
        <w:t xml:space="preserve"> </w:t>
      </w:r>
      <w:r>
        <w:rPr>
          <w:spacing w:val="-1"/>
        </w:rPr>
        <w:t>out</w:t>
      </w:r>
      <w:r>
        <w:t xml:space="preserve"> </w:t>
      </w:r>
      <w:r>
        <w:rPr>
          <w:spacing w:val="-1"/>
        </w:rPr>
        <w:t>within</w:t>
      </w:r>
      <w:r>
        <w:rPr>
          <w:spacing w:val="1"/>
        </w:rPr>
        <w:t xml:space="preserve"> </w:t>
      </w:r>
      <w:r>
        <w:rPr>
          <w:spacing w:val="-1"/>
        </w:rPr>
        <w:t>the</w:t>
      </w:r>
      <w:r>
        <w:rPr>
          <w:spacing w:val="1"/>
        </w:rPr>
        <w:t xml:space="preserve"> </w:t>
      </w:r>
      <w:r>
        <w:rPr>
          <w:spacing w:val="-1"/>
        </w:rPr>
        <w:t>Board,</w:t>
      </w:r>
      <w:r>
        <w:t xml:space="preserve"> </w:t>
      </w:r>
      <w:r>
        <w:rPr>
          <w:spacing w:val="-1"/>
        </w:rPr>
        <w:t>Committee</w:t>
      </w:r>
      <w:r>
        <w:rPr>
          <w:spacing w:val="1"/>
        </w:rPr>
        <w:t xml:space="preserve"> </w:t>
      </w:r>
      <w:r>
        <w:rPr>
          <w:spacing w:val="-1"/>
        </w:rPr>
        <w:t>and</w:t>
      </w:r>
      <w:r>
        <w:rPr>
          <w:spacing w:val="1"/>
        </w:rPr>
        <w:t xml:space="preserve"> </w:t>
      </w:r>
      <w:r>
        <w:rPr>
          <w:spacing w:val="-1"/>
        </w:rPr>
        <w:t>Risk</w:t>
      </w:r>
      <w:r>
        <w:t xml:space="preserve"> </w:t>
      </w:r>
      <w:r>
        <w:rPr>
          <w:spacing w:val="-1"/>
        </w:rPr>
        <w:t>Management</w:t>
      </w:r>
      <w:r>
        <w:rPr>
          <w:spacing w:val="51"/>
        </w:rPr>
        <w:t xml:space="preserve"> </w:t>
      </w:r>
      <w:bookmarkStart w:id="166" w:name="Financial_arrangements"/>
      <w:bookmarkEnd w:id="166"/>
      <w:r>
        <w:rPr>
          <w:spacing w:val="-1"/>
        </w:rPr>
        <w:t>sections</w:t>
      </w:r>
      <w:r>
        <w:rPr>
          <w:spacing w:val="-2"/>
        </w:rPr>
        <w:t xml:space="preserve"> </w:t>
      </w:r>
      <w:r>
        <w:rPr>
          <w:spacing w:val="-1"/>
        </w:rPr>
        <w:t>of</w:t>
      </w:r>
      <w:r>
        <w:rPr>
          <w:spacing w:val="3"/>
        </w:rPr>
        <w:t xml:space="preserve"> </w:t>
      </w:r>
      <w:r>
        <w:rPr>
          <w:spacing w:val="-1"/>
        </w:rPr>
        <w:t>this</w:t>
      </w:r>
      <w:r>
        <w:t xml:space="preserve"> </w:t>
      </w:r>
      <w:r>
        <w:rPr>
          <w:spacing w:val="-1"/>
        </w:rPr>
        <w:t>statement.</w:t>
      </w:r>
    </w:p>
    <w:p w14:paraId="50890A14" w14:textId="61FB535A" w:rsidR="0064211E" w:rsidRPr="005F43D7" w:rsidRDefault="005F43D7" w:rsidP="00EE41DE">
      <w:pPr>
        <w:pStyle w:val="BodyText"/>
        <w:kinsoku w:val="0"/>
        <w:overflowPunct w:val="0"/>
        <w:ind w:right="135"/>
        <w:rPr>
          <w:b/>
          <w:bCs/>
          <w:spacing w:val="-1"/>
        </w:rPr>
      </w:pPr>
      <w:r>
        <w:rPr>
          <w:b/>
          <w:bCs/>
          <w:spacing w:val="-1"/>
        </w:rPr>
        <w:t>Financial arrangements</w:t>
      </w:r>
    </w:p>
    <w:p w14:paraId="6D2686EA" w14:textId="77777777" w:rsidR="005F43D7" w:rsidRDefault="005F43D7" w:rsidP="005F43D7">
      <w:pPr>
        <w:pStyle w:val="BodyText"/>
        <w:kinsoku w:val="0"/>
        <w:overflowPunct w:val="0"/>
        <w:spacing w:before="122"/>
        <w:ind w:right="221"/>
        <w:rPr>
          <w:spacing w:val="-1"/>
        </w:rPr>
      </w:pPr>
      <w:r>
        <w:t>The</w:t>
      </w:r>
      <w:r>
        <w:rPr>
          <w:spacing w:val="1"/>
        </w:rPr>
        <w:t xml:space="preserve"> </w:t>
      </w:r>
      <w:r>
        <w:rPr>
          <w:spacing w:val="-1"/>
        </w:rPr>
        <w:t>CCG’s</w:t>
      </w:r>
      <w:r>
        <w:t xml:space="preserve"> key</w:t>
      </w:r>
      <w:r>
        <w:rPr>
          <w:spacing w:val="-2"/>
        </w:rPr>
        <w:t xml:space="preserve"> </w:t>
      </w:r>
      <w:r>
        <w:rPr>
          <w:spacing w:val="-1"/>
        </w:rPr>
        <w:t>financial</w:t>
      </w:r>
      <w:r>
        <w:t xml:space="preserve"> </w:t>
      </w:r>
      <w:r>
        <w:rPr>
          <w:spacing w:val="-1"/>
        </w:rPr>
        <w:t>systems</w:t>
      </w:r>
      <w:r>
        <w:t xml:space="preserve"> </w:t>
      </w:r>
      <w:r>
        <w:rPr>
          <w:spacing w:val="-1"/>
        </w:rPr>
        <w:t>are operated</w:t>
      </w:r>
      <w:r>
        <w:rPr>
          <w:spacing w:val="1"/>
        </w:rPr>
        <w:t xml:space="preserve"> </w:t>
      </w:r>
      <w:r>
        <w:t>by</w:t>
      </w:r>
      <w:r>
        <w:rPr>
          <w:spacing w:val="-2"/>
        </w:rPr>
        <w:t xml:space="preserve"> </w:t>
      </w:r>
      <w:r>
        <w:rPr>
          <w:spacing w:val="-1"/>
        </w:rPr>
        <w:t>third</w:t>
      </w:r>
      <w:r>
        <w:rPr>
          <w:spacing w:val="1"/>
        </w:rPr>
        <w:t xml:space="preserve"> </w:t>
      </w:r>
      <w:r>
        <w:rPr>
          <w:spacing w:val="-1"/>
        </w:rPr>
        <w:t>party</w:t>
      </w:r>
      <w:r>
        <w:rPr>
          <w:spacing w:val="-2"/>
        </w:rPr>
        <w:t xml:space="preserve"> </w:t>
      </w:r>
      <w:r>
        <w:rPr>
          <w:spacing w:val="-1"/>
        </w:rPr>
        <w:t>providers.</w:t>
      </w:r>
      <w:r>
        <w:t xml:space="preserve"> The</w:t>
      </w:r>
      <w:r>
        <w:rPr>
          <w:spacing w:val="1"/>
        </w:rPr>
        <w:t xml:space="preserve"> </w:t>
      </w:r>
      <w:r>
        <w:rPr>
          <w:spacing w:val="-1"/>
        </w:rPr>
        <w:t>CCG</w:t>
      </w:r>
      <w:r>
        <w:t xml:space="preserve"> </w:t>
      </w:r>
      <w:r>
        <w:rPr>
          <w:spacing w:val="-1"/>
        </w:rPr>
        <w:t>Finance team</w:t>
      </w:r>
      <w:r>
        <w:rPr>
          <w:spacing w:val="65"/>
        </w:rPr>
        <w:t xml:space="preserve"> </w:t>
      </w:r>
      <w:r>
        <w:rPr>
          <w:spacing w:val="-1"/>
        </w:rPr>
        <w:t>oversee</w:t>
      </w:r>
      <w:r>
        <w:rPr>
          <w:spacing w:val="1"/>
        </w:rPr>
        <w:t xml:space="preserve"> </w:t>
      </w:r>
      <w:r>
        <w:t>the</w:t>
      </w:r>
      <w:r>
        <w:rPr>
          <w:spacing w:val="-1"/>
        </w:rPr>
        <w:t xml:space="preserve"> operation of</w:t>
      </w:r>
      <w:r>
        <w:rPr>
          <w:spacing w:val="3"/>
        </w:rPr>
        <w:t xml:space="preserve"> </w:t>
      </w:r>
      <w:r>
        <w:rPr>
          <w:spacing w:val="-1"/>
        </w:rPr>
        <w:t>internal</w:t>
      </w:r>
      <w:r>
        <w:rPr>
          <w:spacing w:val="-3"/>
        </w:rPr>
        <w:t xml:space="preserve"> </w:t>
      </w:r>
      <w:r>
        <w:rPr>
          <w:spacing w:val="-1"/>
        </w:rPr>
        <w:t>financial</w:t>
      </w:r>
      <w:r>
        <w:t xml:space="preserve"> </w:t>
      </w:r>
      <w:r>
        <w:rPr>
          <w:spacing w:val="-1"/>
        </w:rPr>
        <w:t>control</w:t>
      </w:r>
      <w:r>
        <w:t xml:space="preserve"> </w:t>
      </w:r>
      <w:r>
        <w:rPr>
          <w:spacing w:val="-1"/>
        </w:rPr>
        <w:t>arrangements</w:t>
      </w:r>
      <w:r>
        <w:rPr>
          <w:spacing w:val="-2"/>
        </w:rPr>
        <w:t xml:space="preserve"> </w:t>
      </w:r>
      <w:r>
        <w:rPr>
          <w:spacing w:val="-1"/>
        </w:rPr>
        <w:t xml:space="preserve">and </w:t>
      </w:r>
      <w:r>
        <w:t>the</w:t>
      </w:r>
      <w:r>
        <w:rPr>
          <w:spacing w:val="-1"/>
        </w:rPr>
        <w:t xml:space="preserve"> dissemination</w:t>
      </w:r>
      <w:r>
        <w:rPr>
          <w:spacing w:val="1"/>
        </w:rPr>
        <w:t xml:space="preserve"> </w:t>
      </w:r>
      <w:r>
        <w:rPr>
          <w:spacing w:val="-1"/>
        </w:rPr>
        <w:t>of</w:t>
      </w:r>
      <w:r>
        <w:t xml:space="preserve"> </w:t>
      </w:r>
      <w:r>
        <w:rPr>
          <w:spacing w:val="-1"/>
        </w:rPr>
        <w:t>good</w:t>
      </w:r>
      <w:r>
        <w:rPr>
          <w:spacing w:val="71"/>
        </w:rPr>
        <w:t xml:space="preserve"> </w:t>
      </w:r>
      <w:r>
        <w:rPr>
          <w:spacing w:val="-1"/>
        </w:rPr>
        <w:t>financial</w:t>
      </w:r>
      <w:r>
        <w:rPr>
          <w:spacing w:val="-3"/>
        </w:rPr>
        <w:t xml:space="preserve"> </w:t>
      </w:r>
      <w:r>
        <w:rPr>
          <w:spacing w:val="-1"/>
        </w:rPr>
        <w:t>management</w:t>
      </w:r>
      <w:r>
        <w:rPr>
          <w:spacing w:val="-2"/>
        </w:rPr>
        <w:t xml:space="preserve"> </w:t>
      </w:r>
      <w:r>
        <w:t>and</w:t>
      </w:r>
      <w:r>
        <w:rPr>
          <w:spacing w:val="-1"/>
        </w:rPr>
        <w:t xml:space="preserve"> professional</w:t>
      </w:r>
      <w:r>
        <w:t xml:space="preserve"> </w:t>
      </w:r>
      <w:r>
        <w:rPr>
          <w:spacing w:val="-1"/>
        </w:rPr>
        <w:t>standards.</w:t>
      </w:r>
      <w:r>
        <w:rPr>
          <w:spacing w:val="-2"/>
        </w:rPr>
        <w:t xml:space="preserve"> </w:t>
      </w:r>
      <w:r>
        <w:t>The</w:t>
      </w:r>
      <w:r>
        <w:rPr>
          <w:spacing w:val="1"/>
        </w:rPr>
        <w:t xml:space="preserve"> </w:t>
      </w:r>
      <w:r>
        <w:rPr>
          <w:spacing w:val="-1"/>
        </w:rPr>
        <w:t>CCG’s</w:t>
      </w:r>
      <w:r>
        <w:rPr>
          <w:spacing w:val="-2"/>
        </w:rPr>
        <w:t xml:space="preserve"> </w:t>
      </w:r>
      <w:r>
        <w:rPr>
          <w:spacing w:val="-1"/>
        </w:rPr>
        <w:t>financial</w:t>
      </w:r>
      <w:r>
        <w:t xml:space="preserve"> </w:t>
      </w:r>
      <w:r>
        <w:rPr>
          <w:spacing w:val="-1"/>
        </w:rPr>
        <w:t>arrangements</w:t>
      </w:r>
      <w:r>
        <w:rPr>
          <w:spacing w:val="-2"/>
        </w:rPr>
        <w:t xml:space="preserve"> </w:t>
      </w:r>
      <w:r>
        <w:rPr>
          <w:spacing w:val="-1"/>
        </w:rPr>
        <w:t>are</w:t>
      </w:r>
      <w:r>
        <w:rPr>
          <w:spacing w:val="75"/>
        </w:rPr>
        <w:t xml:space="preserve"> </w:t>
      </w:r>
      <w:r>
        <w:rPr>
          <w:spacing w:val="-1"/>
        </w:rPr>
        <w:t>assessed</w:t>
      </w:r>
      <w:r>
        <w:rPr>
          <w:spacing w:val="1"/>
        </w:rPr>
        <w:t xml:space="preserve"> </w:t>
      </w:r>
      <w:r>
        <w:rPr>
          <w:spacing w:val="-1"/>
        </w:rPr>
        <w:t>annually</w:t>
      </w:r>
      <w:r>
        <w:rPr>
          <w:spacing w:val="-2"/>
        </w:rPr>
        <w:t xml:space="preserve"> </w:t>
      </w:r>
      <w:r>
        <w:t xml:space="preserve">by </w:t>
      </w:r>
      <w:r>
        <w:rPr>
          <w:spacing w:val="-1"/>
        </w:rPr>
        <w:t>external</w:t>
      </w:r>
      <w:r>
        <w:t xml:space="preserve"> </w:t>
      </w:r>
      <w:r>
        <w:rPr>
          <w:spacing w:val="-1"/>
        </w:rPr>
        <w:t>parties</w:t>
      </w:r>
      <w:r>
        <w:rPr>
          <w:spacing w:val="-2"/>
        </w:rPr>
        <w:t xml:space="preserve"> </w:t>
      </w:r>
      <w:r>
        <w:t xml:space="preserve">as </w:t>
      </w:r>
      <w:r>
        <w:rPr>
          <w:spacing w:val="-1"/>
        </w:rPr>
        <w:t>part</w:t>
      </w:r>
      <w:r>
        <w:rPr>
          <w:spacing w:val="-2"/>
        </w:rPr>
        <w:t xml:space="preserve"> </w:t>
      </w:r>
      <w:r>
        <w:rPr>
          <w:spacing w:val="-1"/>
        </w:rPr>
        <w:t>of</w:t>
      </w:r>
      <w:r>
        <w:rPr>
          <w:spacing w:val="3"/>
        </w:rPr>
        <w:t xml:space="preserve"> </w:t>
      </w:r>
      <w:r>
        <w:rPr>
          <w:spacing w:val="-1"/>
        </w:rPr>
        <w:t>the</w:t>
      </w:r>
      <w:r>
        <w:rPr>
          <w:spacing w:val="1"/>
        </w:rPr>
        <w:t xml:space="preserve"> </w:t>
      </w:r>
      <w:r>
        <w:rPr>
          <w:spacing w:val="-1"/>
        </w:rPr>
        <w:t>internal</w:t>
      </w:r>
      <w:r>
        <w:rPr>
          <w:spacing w:val="-3"/>
        </w:rPr>
        <w:t xml:space="preserve"> </w:t>
      </w:r>
      <w:r>
        <w:rPr>
          <w:spacing w:val="-1"/>
        </w:rPr>
        <w:t>and</w:t>
      </w:r>
      <w:r>
        <w:rPr>
          <w:spacing w:val="1"/>
        </w:rPr>
        <w:t xml:space="preserve"> </w:t>
      </w:r>
      <w:r>
        <w:rPr>
          <w:spacing w:val="-1"/>
        </w:rPr>
        <w:t>external audit</w:t>
      </w:r>
      <w:r>
        <w:rPr>
          <w:spacing w:val="-2"/>
        </w:rPr>
        <w:t xml:space="preserve"> </w:t>
      </w:r>
      <w:r>
        <w:rPr>
          <w:spacing w:val="-1"/>
        </w:rPr>
        <w:t>functions.</w:t>
      </w:r>
    </w:p>
    <w:p w14:paraId="37EE7E07" w14:textId="255B89CE" w:rsidR="005F43D7" w:rsidRDefault="005F43D7" w:rsidP="005F43D7">
      <w:pPr>
        <w:pStyle w:val="BodyText"/>
        <w:kinsoku w:val="0"/>
        <w:overflowPunct w:val="0"/>
        <w:spacing w:before="69"/>
        <w:ind w:right="261"/>
        <w:rPr>
          <w:spacing w:val="-1"/>
        </w:rPr>
      </w:pPr>
      <w:r>
        <w:t>The</w:t>
      </w:r>
      <w:r>
        <w:rPr>
          <w:spacing w:val="1"/>
        </w:rPr>
        <w:t xml:space="preserve"> </w:t>
      </w:r>
      <w:r>
        <w:rPr>
          <w:spacing w:val="-1"/>
        </w:rPr>
        <w:t xml:space="preserve">Finance </w:t>
      </w:r>
      <w:r>
        <w:t>and</w:t>
      </w:r>
      <w:r>
        <w:rPr>
          <w:spacing w:val="-1"/>
        </w:rPr>
        <w:t xml:space="preserve"> Performance</w:t>
      </w:r>
      <w:r>
        <w:rPr>
          <w:spacing w:val="1"/>
        </w:rPr>
        <w:t xml:space="preserve"> </w:t>
      </w:r>
      <w:r>
        <w:rPr>
          <w:spacing w:val="-1"/>
        </w:rPr>
        <w:t>Committee,</w:t>
      </w:r>
      <w:r>
        <w:rPr>
          <w:spacing w:val="-2"/>
        </w:rPr>
        <w:t xml:space="preserve"> </w:t>
      </w:r>
      <w:r>
        <w:rPr>
          <w:spacing w:val="-1"/>
        </w:rPr>
        <w:t>which</w:t>
      </w:r>
      <w:r>
        <w:rPr>
          <w:spacing w:val="1"/>
        </w:rPr>
        <w:t xml:space="preserve"> </w:t>
      </w:r>
      <w:r>
        <w:rPr>
          <w:spacing w:val="-1"/>
        </w:rPr>
        <w:t>met</w:t>
      </w:r>
      <w:r>
        <w:t xml:space="preserve"> </w:t>
      </w:r>
      <w:r>
        <w:rPr>
          <w:spacing w:val="-1"/>
        </w:rPr>
        <w:t>in</w:t>
      </w:r>
      <w:r>
        <w:rPr>
          <w:spacing w:val="1"/>
        </w:rPr>
        <w:t xml:space="preserve"> </w:t>
      </w:r>
      <w:r>
        <w:rPr>
          <w:spacing w:val="-1"/>
        </w:rPr>
        <w:t>common</w:t>
      </w:r>
      <w:r>
        <w:rPr>
          <w:spacing w:val="61"/>
        </w:rPr>
        <w:t xml:space="preserve"> </w:t>
      </w:r>
      <w:r>
        <w:rPr>
          <w:spacing w:val="-1"/>
        </w:rPr>
        <w:t>with</w:t>
      </w:r>
      <w:r>
        <w:rPr>
          <w:spacing w:val="1"/>
        </w:rPr>
        <w:t xml:space="preserve"> </w:t>
      </w:r>
      <w:r>
        <w:t>the</w:t>
      </w:r>
      <w:r>
        <w:rPr>
          <w:spacing w:val="1"/>
        </w:rPr>
        <w:t xml:space="preserve"> </w:t>
      </w:r>
      <w:r>
        <w:rPr>
          <w:spacing w:val="-1"/>
        </w:rPr>
        <w:t>other MSE</w:t>
      </w:r>
      <w:r>
        <w:rPr>
          <w:spacing w:val="-2"/>
        </w:rPr>
        <w:t xml:space="preserve"> </w:t>
      </w:r>
      <w:r>
        <w:rPr>
          <w:spacing w:val="-1"/>
        </w:rPr>
        <w:t>CCGs</w:t>
      </w:r>
      <w:r>
        <w:t xml:space="preserve"> </w:t>
      </w:r>
      <w:r>
        <w:rPr>
          <w:spacing w:val="-1"/>
        </w:rPr>
        <w:t>during 2021/22,</w:t>
      </w:r>
      <w:r>
        <w:rPr>
          <w:spacing w:val="-2"/>
        </w:rPr>
        <w:t xml:space="preserve"> </w:t>
      </w:r>
      <w:r>
        <w:rPr>
          <w:spacing w:val="-1"/>
        </w:rPr>
        <w:t>exercises</w:t>
      </w:r>
      <w:r>
        <w:t xml:space="preserve"> the</w:t>
      </w:r>
      <w:r>
        <w:rPr>
          <w:spacing w:val="1"/>
        </w:rPr>
        <w:t xml:space="preserve"> </w:t>
      </w:r>
      <w:r>
        <w:rPr>
          <w:spacing w:val="-1"/>
        </w:rPr>
        <w:t>Board’s</w:t>
      </w:r>
      <w:r>
        <w:rPr>
          <w:spacing w:val="-2"/>
        </w:rPr>
        <w:t xml:space="preserve"> </w:t>
      </w:r>
      <w:r>
        <w:rPr>
          <w:spacing w:val="-1"/>
        </w:rPr>
        <w:t>functions</w:t>
      </w:r>
      <w:r>
        <w:t xml:space="preserve"> </w:t>
      </w:r>
      <w:r>
        <w:rPr>
          <w:spacing w:val="-2"/>
        </w:rPr>
        <w:t>in</w:t>
      </w:r>
      <w:r>
        <w:rPr>
          <w:spacing w:val="1"/>
        </w:rPr>
        <w:t xml:space="preserve"> </w:t>
      </w:r>
      <w:r>
        <w:rPr>
          <w:spacing w:val="-1"/>
        </w:rPr>
        <w:t>respect</w:t>
      </w:r>
      <w:r>
        <w:t xml:space="preserve"> </w:t>
      </w:r>
      <w:r>
        <w:rPr>
          <w:spacing w:val="-1"/>
        </w:rPr>
        <w:t>of</w:t>
      </w:r>
      <w:r>
        <w:t xml:space="preserve"> </w:t>
      </w:r>
      <w:r>
        <w:rPr>
          <w:spacing w:val="-1"/>
        </w:rPr>
        <w:t>the</w:t>
      </w:r>
      <w:r>
        <w:rPr>
          <w:spacing w:val="71"/>
        </w:rPr>
        <w:t xml:space="preserve"> </w:t>
      </w:r>
      <w:bookmarkStart w:id="167" w:name="Risk_Assessment"/>
      <w:bookmarkEnd w:id="167"/>
      <w:r>
        <w:rPr>
          <w:spacing w:val="-1"/>
        </w:rPr>
        <w:t>oversight</w:t>
      </w:r>
      <w:r>
        <w:t xml:space="preserve"> of </w:t>
      </w:r>
      <w:r>
        <w:rPr>
          <w:spacing w:val="-1"/>
        </w:rPr>
        <w:t>financial</w:t>
      </w:r>
      <w:r>
        <w:t xml:space="preserve"> </w:t>
      </w:r>
      <w:r>
        <w:rPr>
          <w:spacing w:val="-1"/>
        </w:rPr>
        <w:t>control.</w:t>
      </w:r>
    </w:p>
    <w:p w14:paraId="4875A552" w14:textId="7721287C" w:rsidR="00E06CCF" w:rsidRPr="007830C3" w:rsidRDefault="00E06CCF" w:rsidP="00FF0E5D">
      <w:pPr>
        <w:pStyle w:val="Heading3"/>
      </w:pPr>
      <w:bookmarkStart w:id="168" w:name="_Toc107389473"/>
      <w:r w:rsidRPr="00EE41DE">
        <w:t>Annual audit of conflicts of interest management</w:t>
      </w:r>
      <w:bookmarkEnd w:id="164"/>
      <w:bookmarkEnd w:id="165"/>
      <w:bookmarkEnd w:id="168"/>
      <w:r w:rsidRPr="007830C3">
        <w:t xml:space="preserve"> </w:t>
      </w:r>
    </w:p>
    <w:p w14:paraId="60B66526" w14:textId="77777777" w:rsidR="00EE41DE" w:rsidRDefault="00EE41DE" w:rsidP="00EE41DE">
      <w:pPr>
        <w:pStyle w:val="BodyText"/>
        <w:kinsoku w:val="0"/>
        <w:overflowPunct w:val="0"/>
        <w:spacing w:before="122"/>
        <w:ind w:right="143"/>
        <w:rPr>
          <w:spacing w:val="-1"/>
        </w:rPr>
      </w:pPr>
      <w:bookmarkStart w:id="169" w:name="_Toc437807163"/>
      <w:bookmarkStart w:id="170" w:name="_Toc94188204"/>
      <w:bookmarkStart w:id="171" w:name="_Toc97218355"/>
      <w:r>
        <w:t>The</w:t>
      </w:r>
      <w:r>
        <w:rPr>
          <w:spacing w:val="1"/>
        </w:rPr>
        <w:t xml:space="preserve"> </w:t>
      </w:r>
      <w:r>
        <w:rPr>
          <w:spacing w:val="-1"/>
        </w:rPr>
        <w:t>revised</w:t>
      </w:r>
      <w:r>
        <w:rPr>
          <w:spacing w:val="1"/>
        </w:rPr>
        <w:t xml:space="preserve"> </w:t>
      </w:r>
      <w:r>
        <w:rPr>
          <w:spacing w:val="-1"/>
        </w:rPr>
        <w:t>statutory</w:t>
      </w:r>
      <w:r>
        <w:rPr>
          <w:spacing w:val="-2"/>
        </w:rPr>
        <w:t xml:space="preserve"> </w:t>
      </w:r>
      <w:r>
        <w:rPr>
          <w:spacing w:val="-1"/>
        </w:rPr>
        <w:t>guidance</w:t>
      </w:r>
      <w:r>
        <w:rPr>
          <w:spacing w:val="1"/>
        </w:rPr>
        <w:t xml:space="preserve"> </w:t>
      </w:r>
      <w:r>
        <w:rPr>
          <w:spacing w:val="-1"/>
        </w:rPr>
        <w:t>on managing conflicts</w:t>
      </w:r>
      <w:r>
        <w:t xml:space="preserve"> </w:t>
      </w:r>
      <w:r>
        <w:rPr>
          <w:spacing w:val="-1"/>
        </w:rPr>
        <w:t>of</w:t>
      </w:r>
      <w:r>
        <w:t xml:space="preserve"> </w:t>
      </w:r>
      <w:r>
        <w:rPr>
          <w:spacing w:val="-1"/>
        </w:rPr>
        <w:t>interest</w:t>
      </w:r>
      <w:r>
        <w:rPr>
          <w:spacing w:val="-2"/>
        </w:rPr>
        <w:t xml:space="preserve"> </w:t>
      </w:r>
      <w:r>
        <w:t>for</w:t>
      </w:r>
      <w:r>
        <w:rPr>
          <w:spacing w:val="-3"/>
        </w:rPr>
        <w:t xml:space="preserve"> </w:t>
      </w:r>
      <w:r>
        <w:rPr>
          <w:spacing w:val="-1"/>
        </w:rPr>
        <w:t>CCGs</w:t>
      </w:r>
      <w:r>
        <w:t xml:space="preserve"> </w:t>
      </w:r>
      <w:r>
        <w:rPr>
          <w:spacing w:val="-1"/>
        </w:rPr>
        <w:t>(published</w:t>
      </w:r>
      <w:r>
        <w:rPr>
          <w:spacing w:val="1"/>
        </w:rPr>
        <w:t xml:space="preserve"> </w:t>
      </w:r>
      <w:r>
        <w:rPr>
          <w:spacing w:val="-1"/>
        </w:rPr>
        <w:t>June 2017)</w:t>
      </w:r>
      <w:r>
        <w:rPr>
          <w:spacing w:val="75"/>
        </w:rPr>
        <w:t xml:space="preserve"> </w:t>
      </w:r>
      <w:r>
        <w:rPr>
          <w:spacing w:val="-1"/>
        </w:rPr>
        <w:t>requires</w:t>
      </w:r>
      <w:r>
        <w:t xml:space="preserve"> </w:t>
      </w:r>
      <w:r>
        <w:rPr>
          <w:spacing w:val="-1"/>
        </w:rPr>
        <w:t>CCGs</w:t>
      </w:r>
      <w:r>
        <w:t xml:space="preserve"> to</w:t>
      </w:r>
      <w:r>
        <w:rPr>
          <w:spacing w:val="1"/>
        </w:rPr>
        <w:t xml:space="preserve"> </w:t>
      </w:r>
      <w:r>
        <w:rPr>
          <w:spacing w:val="-1"/>
        </w:rPr>
        <w:t>undertake</w:t>
      </w:r>
      <w:r>
        <w:rPr>
          <w:spacing w:val="1"/>
        </w:rPr>
        <w:t xml:space="preserve"> </w:t>
      </w:r>
      <w:r>
        <w:rPr>
          <w:spacing w:val="-1"/>
        </w:rPr>
        <w:t>an</w:t>
      </w:r>
      <w:r>
        <w:rPr>
          <w:spacing w:val="1"/>
        </w:rPr>
        <w:t xml:space="preserve"> </w:t>
      </w:r>
      <w:r>
        <w:rPr>
          <w:spacing w:val="-1"/>
        </w:rPr>
        <w:t>annual</w:t>
      </w:r>
      <w:r>
        <w:t xml:space="preserve"> </w:t>
      </w:r>
      <w:r>
        <w:rPr>
          <w:spacing w:val="-1"/>
        </w:rPr>
        <w:t>internal</w:t>
      </w:r>
      <w:r>
        <w:t xml:space="preserve"> </w:t>
      </w:r>
      <w:r>
        <w:rPr>
          <w:spacing w:val="-1"/>
        </w:rPr>
        <w:t>audit</w:t>
      </w:r>
      <w:r>
        <w:rPr>
          <w:spacing w:val="-2"/>
        </w:rPr>
        <w:t xml:space="preserve"> </w:t>
      </w:r>
      <w:r>
        <w:rPr>
          <w:spacing w:val="-1"/>
        </w:rPr>
        <w:t>of</w:t>
      </w:r>
      <w:r>
        <w:rPr>
          <w:spacing w:val="3"/>
        </w:rPr>
        <w:t xml:space="preserve"> </w:t>
      </w:r>
      <w:r>
        <w:rPr>
          <w:spacing w:val="-1"/>
        </w:rPr>
        <w:t>conflicts</w:t>
      </w:r>
      <w:r>
        <w:t xml:space="preserve"> </w:t>
      </w:r>
      <w:r>
        <w:rPr>
          <w:spacing w:val="-1"/>
        </w:rPr>
        <w:t>of</w:t>
      </w:r>
      <w:r>
        <w:t xml:space="preserve"> </w:t>
      </w:r>
      <w:r>
        <w:rPr>
          <w:spacing w:val="-1"/>
        </w:rPr>
        <w:t>interest</w:t>
      </w:r>
      <w:r>
        <w:rPr>
          <w:spacing w:val="-2"/>
        </w:rPr>
        <w:t xml:space="preserve"> </w:t>
      </w:r>
      <w:r>
        <w:rPr>
          <w:spacing w:val="-1"/>
        </w:rPr>
        <w:t>management.</w:t>
      </w:r>
    </w:p>
    <w:p w14:paraId="50534E2D" w14:textId="46995B05" w:rsidR="00EE41DE" w:rsidRDefault="00EE41DE" w:rsidP="00EE41DE">
      <w:pPr>
        <w:pStyle w:val="BodyText"/>
        <w:kinsoku w:val="0"/>
        <w:overflowPunct w:val="0"/>
        <w:ind w:right="163"/>
        <w:rPr>
          <w:spacing w:val="-1"/>
        </w:rPr>
      </w:pPr>
      <w:r>
        <w:rPr>
          <w:spacing w:val="1"/>
        </w:rPr>
        <w:t>To</w:t>
      </w:r>
      <w:r>
        <w:rPr>
          <w:spacing w:val="-1"/>
        </w:rPr>
        <w:t xml:space="preserve"> support</w:t>
      </w:r>
      <w:r>
        <w:t xml:space="preserve"> </w:t>
      </w:r>
      <w:r>
        <w:rPr>
          <w:spacing w:val="-1"/>
        </w:rPr>
        <w:t>CCGs</w:t>
      </w:r>
      <w:r>
        <w:t xml:space="preserve"> </w:t>
      </w:r>
      <w:r>
        <w:rPr>
          <w:spacing w:val="-1"/>
        </w:rPr>
        <w:t>to</w:t>
      </w:r>
      <w:r>
        <w:rPr>
          <w:spacing w:val="1"/>
        </w:rPr>
        <w:t xml:space="preserve"> </w:t>
      </w:r>
      <w:r>
        <w:rPr>
          <w:spacing w:val="-1"/>
        </w:rPr>
        <w:t>undertake</w:t>
      </w:r>
      <w:r>
        <w:rPr>
          <w:spacing w:val="1"/>
        </w:rPr>
        <w:t xml:space="preserve"> </w:t>
      </w:r>
      <w:r>
        <w:rPr>
          <w:spacing w:val="-1"/>
        </w:rPr>
        <w:t>this</w:t>
      </w:r>
      <w:r>
        <w:t xml:space="preserve"> task,</w:t>
      </w:r>
      <w:r>
        <w:rPr>
          <w:spacing w:val="-2"/>
        </w:rPr>
        <w:t xml:space="preserve"> </w:t>
      </w:r>
      <w:r>
        <w:rPr>
          <w:spacing w:val="-1"/>
        </w:rPr>
        <w:t>NHS</w:t>
      </w:r>
      <w:r>
        <w:rPr>
          <w:spacing w:val="1"/>
        </w:rPr>
        <w:t xml:space="preserve"> </w:t>
      </w:r>
      <w:r>
        <w:rPr>
          <w:spacing w:val="-1"/>
        </w:rPr>
        <w:t xml:space="preserve">England </w:t>
      </w:r>
      <w:r>
        <w:t>has</w:t>
      </w:r>
      <w:r>
        <w:rPr>
          <w:spacing w:val="-2"/>
        </w:rPr>
        <w:t xml:space="preserve"> </w:t>
      </w:r>
      <w:r>
        <w:rPr>
          <w:spacing w:val="-1"/>
        </w:rPr>
        <w:t>published</w:t>
      </w:r>
      <w:r>
        <w:rPr>
          <w:spacing w:val="1"/>
        </w:rPr>
        <w:t xml:space="preserve"> </w:t>
      </w:r>
      <w:r>
        <w:t>a</w:t>
      </w:r>
      <w:r>
        <w:rPr>
          <w:spacing w:val="-1"/>
        </w:rPr>
        <w:t xml:space="preserve"> template audit</w:t>
      </w:r>
      <w:r>
        <w:rPr>
          <w:spacing w:val="-4"/>
        </w:rPr>
        <w:t xml:space="preserve"> </w:t>
      </w:r>
      <w:r>
        <w:rPr>
          <w:spacing w:val="-1"/>
        </w:rPr>
        <w:t>framework.</w:t>
      </w:r>
      <w:r>
        <w:rPr>
          <w:spacing w:val="65"/>
        </w:rPr>
        <w:t xml:space="preserve"> </w:t>
      </w:r>
      <w:r>
        <w:t>The</w:t>
      </w:r>
      <w:r>
        <w:rPr>
          <w:spacing w:val="1"/>
        </w:rPr>
        <w:t xml:space="preserve"> </w:t>
      </w:r>
      <w:r>
        <w:rPr>
          <w:spacing w:val="-1"/>
        </w:rPr>
        <w:t>annual</w:t>
      </w:r>
      <w:r>
        <w:t xml:space="preserve"> </w:t>
      </w:r>
      <w:r>
        <w:rPr>
          <w:spacing w:val="-1"/>
        </w:rPr>
        <w:t>internal</w:t>
      </w:r>
      <w:r>
        <w:t xml:space="preserve"> </w:t>
      </w:r>
      <w:r>
        <w:rPr>
          <w:spacing w:val="-1"/>
        </w:rPr>
        <w:t>audit</w:t>
      </w:r>
      <w:r>
        <w:t xml:space="preserve"> </w:t>
      </w:r>
      <w:r>
        <w:rPr>
          <w:spacing w:val="-1"/>
        </w:rPr>
        <w:t>of</w:t>
      </w:r>
      <w:r>
        <w:rPr>
          <w:spacing w:val="3"/>
        </w:rPr>
        <w:t xml:space="preserve"> </w:t>
      </w:r>
      <w:r>
        <w:rPr>
          <w:spacing w:val="-1"/>
        </w:rPr>
        <w:t>conflicts</w:t>
      </w:r>
      <w:r>
        <w:rPr>
          <w:spacing w:val="-2"/>
        </w:rPr>
        <w:t xml:space="preserve"> </w:t>
      </w:r>
      <w:r>
        <w:rPr>
          <w:spacing w:val="-1"/>
        </w:rPr>
        <w:t>of</w:t>
      </w:r>
      <w:r>
        <w:rPr>
          <w:spacing w:val="3"/>
        </w:rPr>
        <w:t xml:space="preserve"> </w:t>
      </w:r>
      <w:r>
        <w:rPr>
          <w:spacing w:val="-1"/>
        </w:rPr>
        <w:t>interest</w:t>
      </w:r>
      <w:r>
        <w:t xml:space="preserve"> </w:t>
      </w:r>
      <w:r>
        <w:rPr>
          <w:spacing w:val="-1"/>
        </w:rPr>
        <w:t>202</w:t>
      </w:r>
      <w:r w:rsidR="00E24278">
        <w:rPr>
          <w:spacing w:val="-1"/>
        </w:rPr>
        <w:t>1</w:t>
      </w:r>
      <w:r>
        <w:rPr>
          <w:spacing w:val="-1"/>
        </w:rPr>
        <w:t>/22,</w:t>
      </w:r>
      <w:r>
        <w:t xml:space="preserve"> </w:t>
      </w:r>
      <w:r>
        <w:rPr>
          <w:spacing w:val="-1"/>
        </w:rPr>
        <w:t>which</w:t>
      </w:r>
      <w:r>
        <w:rPr>
          <w:spacing w:val="1"/>
        </w:rPr>
        <w:t xml:space="preserve"> </w:t>
      </w:r>
      <w:r>
        <w:rPr>
          <w:spacing w:val="-1"/>
        </w:rPr>
        <w:t>was</w:t>
      </w:r>
      <w:r>
        <w:t xml:space="preserve"> </w:t>
      </w:r>
      <w:r>
        <w:rPr>
          <w:spacing w:val="-1"/>
        </w:rPr>
        <w:t>undertaken</w:t>
      </w:r>
      <w:r>
        <w:rPr>
          <w:spacing w:val="1"/>
        </w:rPr>
        <w:t xml:space="preserve"> </w:t>
      </w:r>
      <w:r>
        <w:t>as</w:t>
      </w:r>
      <w:r>
        <w:rPr>
          <w:spacing w:val="-2"/>
        </w:rPr>
        <w:t xml:space="preserve"> </w:t>
      </w:r>
      <w:r>
        <w:rPr>
          <w:spacing w:val="-1"/>
        </w:rPr>
        <w:t>part</w:t>
      </w:r>
      <w:r>
        <w:rPr>
          <w:spacing w:val="-2"/>
        </w:rPr>
        <w:t xml:space="preserve"> </w:t>
      </w:r>
      <w:r>
        <w:rPr>
          <w:spacing w:val="-1"/>
        </w:rPr>
        <w:t>of</w:t>
      </w:r>
      <w:r>
        <w:rPr>
          <w:spacing w:val="3"/>
        </w:rPr>
        <w:t xml:space="preserve"> </w:t>
      </w:r>
      <w:r>
        <w:rPr>
          <w:spacing w:val="-1"/>
        </w:rPr>
        <w:t>the</w:t>
      </w:r>
      <w:r>
        <w:rPr>
          <w:spacing w:val="53"/>
        </w:rPr>
        <w:t xml:space="preserve"> </w:t>
      </w:r>
      <w:r>
        <w:rPr>
          <w:spacing w:val="-1"/>
        </w:rPr>
        <w:t>wider audit</w:t>
      </w:r>
      <w:r>
        <w:t xml:space="preserve"> </w:t>
      </w:r>
      <w:r>
        <w:rPr>
          <w:spacing w:val="-1"/>
        </w:rPr>
        <w:t>of</w:t>
      </w:r>
      <w:r>
        <w:t xml:space="preserve"> the</w:t>
      </w:r>
      <w:r>
        <w:rPr>
          <w:spacing w:val="-1"/>
        </w:rPr>
        <w:t xml:space="preserve"> CCG’s</w:t>
      </w:r>
      <w:r>
        <w:t xml:space="preserve"> </w:t>
      </w:r>
      <w:r>
        <w:rPr>
          <w:spacing w:val="-1"/>
        </w:rPr>
        <w:t>risk</w:t>
      </w:r>
      <w:r>
        <w:t xml:space="preserve"> </w:t>
      </w:r>
      <w:r>
        <w:rPr>
          <w:spacing w:val="-1"/>
        </w:rPr>
        <w:t>management</w:t>
      </w:r>
      <w:r>
        <w:rPr>
          <w:spacing w:val="-2"/>
        </w:rPr>
        <w:t xml:space="preserve"> </w:t>
      </w:r>
      <w:r>
        <w:rPr>
          <w:spacing w:val="-1"/>
        </w:rPr>
        <w:t>and</w:t>
      </w:r>
      <w:r>
        <w:rPr>
          <w:spacing w:val="1"/>
        </w:rPr>
        <w:t xml:space="preserve"> </w:t>
      </w:r>
      <w:r>
        <w:rPr>
          <w:spacing w:val="-1"/>
        </w:rPr>
        <w:t>governance arrangements,</w:t>
      </w:r>
      <w:r>
        <w:t xml:space="preserve"> </w:t>
      </w:r>
      <w:r>
        <w:rPr>
          <w:spacing w:val="-1"/>
        </w:rPr>
        <w:t>identified</w:t>
      </w:r>
      <w:r>
        <w:rPr>
          <w:spacing w:val="1"/>
        </w:rPr>
        <w:t xml:space="preserve"> </w:t>
      </w:r>
      <w:r>
        <w:rPr>
          <w:spacing w:val="-1"/>
        </w:rPr>
        <w:t>‘reasonable’</w:t>
      </w:r>
      <w:r>
        <w:rPr>
          <w:spacing w:val="75"/>
        </w:rPr>
        <w:t xml:space="preserve"> </w:t>
      </w:r>
      <w:r>
        <w:rPr>
          <w:spacing w:val="-1"/>
        </w:rPr>
        <w:t>assurance.</w:t>
      </w:r>
    </w:p>
    <w:p w14:paraId="06B484FB" w14:textId="249D9FD5" w:rsidR="00E06CCF" w:rsidRPr="007830C3" w:rsidRDefault="00E06CCF" w:rsidP="00FF0E5D">
      <w:pPr>
        <w:pStyle w:val="Heading3"/>
      </w:pPr>
      <w:bookmarkStart w:id="172" w:name="_Toc107389474"/>
      <w:r w:rsidRPr="00EE41DE">
        <w:t>Data Quality</w:t>
      </w:r>
      <w:bookmarkStart w:id="173" w:name="_Toc437807156"/>
      <w:bookmarkEnd w:id="169"/>
      <w:bookmarkEnd w:id="170"/>
      <w:bookmarkEnd w:id="171"/>
      <w:bookmarkEnd w:id="172"/>
    </w:p>
    <w:p w14:paraId="2B5D05B5" w14:textId="77777777" w:rsidR="00EE41DE" w:rsidRPr="000478B3" w:rsidRDefault="00EE41DE" w:rsidP="00EE41DE">
      <w:pPr>
        <w:pStyle w:val="BodyText"/>
        <w:kinsoku w:val="0"/>
        <w:overflowPunct w:val="0"/>
        <w:ind w:right="163"/>
        <w:rPr>
          <w:spacing w:val="-1"/>
        </w:rPr>
      </w:pPr>
      <w:bookmarkStart w:id="174" w:name="_Toc94188205"/>
      <w:bookmarkStart w:id="175" w:name="_Toc97218356"/>
      <w:r w:rsidRPr="000478B3">
        <w:rPr>
          <w:spacing w:val="-1"/>
        </w:rPr>
        <w:t>Due to the pandemic, NHS contracts were nationally suspended in 2021/22 and nationally calculated mandatory payments were made to NHS providers to ensure cashflow remained in place. As such, there was no requirement for detailed data quality monitoring during 2021/22.</w:t>
      </w:r>
    </w:p>
    <w:p w14:paraId="5B7E5935" w14:textId="77777777" w:rsidR="00EE41DE" w:rsidRPr="000478B3" w:rsidRDefault="00EE41DE" w:rsidP="00EE41DE">
      <w:pPr>
        <w:pStyle w:val="BodyText"/>
        <w:kinsoku w:val="0"/>
        <w:overflowPunct w:val="0"/>
        <w:ind w:right="163"/>
        <w:rPr>
          <w:spacing w:val="-1"/>
        </w:rPr>
      </w:pPr>
      <w:r w:rsidRPr="000478B3">
        <w:rPr>
          <w:spacing w:val="-1"/>
        </w:rPr>
        <w:t>Independent Sector Providers were contracted under national frameworks and guidance and so similarly there was no requirement for local data quality monitoring during 2021/22.</w:t>
      </w:r>
    </w:p>
    <w:p w14:paraId="264E48FF" w14:textId="77777777" w:rsidR="00EE41DE" w:rsidRDefault="00EE41DE" w:rsidP="00EE41DE">
      <w:pPr>
        <w:pStyle w:val="BodyText"/>
        <w:kinsoku w:val="0"/>
        <w:overflowPunct w:val="0"/>
        <w:ind w:right="163"/>
        <w:rPr>
          <w:spacing w:val="-1"/>
        </w:rPr>
      </w:pPr>
      <w:r w:rsidRPr="000478B3">
        <w:rPr>
          <w:spacing w:val="-1"/>
        </w:rPr>
        <w:t>Non-NHS providers were contracted on a ‘light-touch’ basis to support the pandemic response as instructed under national contracting and payment guidance. As such, there was again no requirement for detailed data quality monitoring during 2021/22.</w:t>
      </w:r>
    </w:p>
    <w:p w14:paraId="79DBB4CC" w14:textId="0EFF0630" w:rsidR="00E06CCF" w:rsidRPr="00EE41DE" w:rsidRDefault="00E06CCF" w:rsidP="00EE41DE">
      <w:pPr>
        <w:pStyle w:val="Heading3"/>
      </w:pPr>
      <w:bookmarkStart w:id="176" w:name="_Toc107389475"/>
      <w:r w:rsidRPr="00EE41DE">
        <w:t>Information Governance</w:t>
      </w:r>
      <w:bookmarkEnd w:id="173"/>
      <w:bookmarkEnd w:id="174"/>
      <w:bookmarkEnd w:id="175"/>
      <w:bookmarkEnd w:id="176"/>
    </w:p>
    <w:p w14:paraId="48B4906D" w14:textId="77777777" w:rsidR="00527C1F" w:rsidRPr="009A6ABE" w:rsidRDefault="00527C1F" w:rsidP="00527C1F">
      <w:pPr>
        <w:rPr>
          <w:rFonts w:eastAsia="Calibri"/>
        </w:rPr>
      </w:pPr>
      <w:bookmarkStart w:id="177" w:name="_Toc437807164"/>
      <w:bookmarkStart w:id="178" w:name="_Toc437807157"/>
      <w:r w:rsidRPr="009A6ABE">
        <w:rPr>
          <w:rFonts w:eastAsia="Calibri"/>
        </w:rPr>
        <w:t xml:space="preserve">The NHS Information Governance (IG) Framework sets the processes and procedures by which the NHS handles information about patients and employees, in particular personal identifiable information. The NHS Information Governance Framework is supported by a </w:t>
      </w:r>
      <w:r>
        <w:rPr>
          <w:rFonts w:eastAsia="Calibri"/>
        </w:rPr>
        <w:t>d</w:t>
      </w:r>
      <w:r w:rsidRPr="009A6ABE">
        <w:rPr>
          <w:rFonts w:eastAsia="Calibri"/>
        </w:rPr>
        <w:t xml:space="preserve">ata </w:t>
      </w:r>
      <w:r>
        <w:rPr>
          <w:rFonts w:eastAsia="Calibri"/>
        </w:rPr>
        <w:t>s</w:t>
      </w:r>
      <w:r w:rsidRPr="009A6ABE">
        <w:rPr>
          <w:rFonts w:eastAsia="Calibri"/>
        </w:rPr>
        <w:t xml:space="preserve">ecurity and </w:t>
      </w:r>
      <w:r>
        <w:rPr>
          <w:rFonts w:eastAsia="Calibri"/>
        </w:rPr>
        <w:t>p</w:t>
      </w:r>
      <w:r w:rsidRPr="009A6ABE">
        <w:rPr>
          <w:rFonts w:eastAsia="Calibri"/>
        </w:rPr>
        <w:t xml:space="preserve">rotection </w:t>
      </w:r>
      <w:r>
        <w:rPr>
          <w:rFonts w:eastAsia="Calibri"/>
        </w:rPr>
        <w:t>t</w:t>
      </w:r>
      <w:r w:rsidRPr="009A6ABE">
        <w:rPr>
          <w:rFonts w:eastAsia="Calibri"/>
        </w:rPr>
        <w:t xml:space="preserve">oolkit and the annual submission process provides assurances to the CCG, other organisations and to individuals that personal information is dealt with legally, securely, efficiently and effectively. </w:t>
      </w:r>
    </w:p>
    <w:p w14:paraId="52158954" w14:textId="77777777" w:rsidR="00527C1F" w:rsidRPr="009A6ABE" w:rsidRDefault="00527C1F" w:rsidP="00527C1F">
      <w:pPr>
        <w:rPr>
          <w:rFonts w:eastAsia="Calibri"/>
        </w:rPr>
      </w:pPr>
      <w:r w:rsidRPr="009A6ABE">
        <w:rPr>
          <w:rFonts w:eastAsia="Calibri"/>
        </w:rPr>
        <w:t>We place high importance on ensuring there are robust information governance systems and processes in place to help protect patient and corporate information. We have established an information governance management framework and have developed information governance processes and procedures in line with the Data Security and Protection Toolkit. We have ensured all staff undertake annual information governance training and have implemented a staff information governance handbook to ensure members of staff are aware of their information governance roles and responsibilities, and how to access information or assistance.</w:t>
      </w:r>
    </w:p>
    <w:p w14:paraId="1F422C4A" w14:textId="77777777" w:rsidR="00527C1F" w:rsidRPr="009A6ABE" w:rsidRDefault="00527C1F" w:rsidP="00527C1F">
      <w:pPr>
        <w:rPr>
          <w:rFonts w:eastAsia="Calibri"/>
        </w:rPr>
      </w:pPr>
      <w:r w:rsidRPr="009A6ABE">
        <w:rPr>
          <w:rFonts w:eastAsia="Calibri"/>
        </w:rPr>
        <w:t xml:space="preserve">There are processes in place for incident reporting and investigation of serious incidents. </w:t>
      </w:r>
      <w:r w:rsidRPr="009A48C6">
        <w:rPr>
          <w:rFonts w:eastAsia="Calibri"/>
        </w:rPr>
        <w:t>No serious incidents requiring investigation involving personal data were reported to the Information Commissioner in 202</w:t>
      </w:r>
      <w:r>
        <w:rPr>
          <w:rFonts w:eastAsia="Calibri"/>
        </w:rPr>
        <w:t>1</w:t>
      </w:r>
      <w:r w:rsidRPr="009A48C6">
        <w:rPr>
          <w:rFonts w:eastAsia="Calibri"/>
        </w:rPr>
        <w:t>/2</w:t>
      </w:r>
      <w:r>
        <w:rPr>
          <w:rFonts w:eastAsia="Calibri"/>
        </w:rPr>
        <w:t>2</w:t>
      </w:r>
      <w:r w:rsidRPr="009A48C6">
        <w:rPr>
          <w:rFonts w:eastAsia="Calibri"/>
        </w:rPr>
        <w:t>.</w:t>
      </w:r>
    </w:p>
    <w:p w14:paraId="48A9E561" w14:textId="77777777" w:rsidR="00527C1F" w:rsidRDefault="00527C1F" w:rsidP="00527C1F">
      <w:pPr>
        <w:rPr>
          <w:rFonts w:eastAsia="Calibri"/>
        </w:rPr>
      </w:pPr>
      <w:r w:rsidRPr="009A6ABE">
        <w:rPr>
          <w:rFonts w:eastAsia="Calibri"/>
        </w:rPr>
        <w:t>The CCG has nominated information asset owners who have completed the new data flow mapping and information asset registers to ensure compliance with the General Data Protection Regulations</w:t>
      </w:r>
      <w:r>
        <w:rPr>
          <w:rFonts w:eastAsia="Calibri"/>
        </w:rPr>
        <w:t xml:space="preserve"> (GDPR)</w:t>
      </w:r>
      <w:r w:rsidRPr="009A6ABE">
        <w:rPr>
          <w:rFonts w:eastAsia="Calibri"/>
        </w:rPr>
        <w:t xml:space="preserve">. This was undertaken with support from the IG Team to ensure consistency of approach.  </w:t>
      </w:r>
    </w:p>
    <w:p w14:paraId="38D1938E" w14:textId="001EDE4D" w:rsidR="00527C1F" w:rsidRPr="00EE41DE" w:rsidRDefault="00527C1F" w:rsidP="00527C1F">
      <w:pPr>
        <w:rPr>
          <w:rFonts w:eastAsia="Calibri"/>
        </w:rPr>
      </w:pPr>
      <w:r>
        <w:rPr>
          <w:rFonts w:eastAsia="Calibri"/>
        </w:rPr>
        <w:t xml:space="preserve">The CCG achieved a “Standards Met” </w:t>
      </w:r>
      <w:r w:rsidRPr="00922CE9">
        <w:rPr>
          <w:iCs/>
        </w:rPr>
        <w:t xml:space="preserve">Data Security and Protection </w:t>
      </w:r>
      <w:r>
        <w:rPr>
          <w:iCs/>
        </w:rPr>
        <w:t>To</w:t>
      </w:r>
      <w:r>
        <w:rPr>
          <w:rFonts w:eastAsia="Calibri"/>
        </w:rPr>
        <w:t>olkit in 2020/21, and, a</w:t>
      </w:r>
      <w:r w:rsidRPr="00922CE9">
        <w:rPr>
          <w:iCs/>
        </w:rPr>
        <w:t>s at 31 March 202</w:t>
      </w:r>
      <w:r>
        <w:rPr>
          <w:iCs/>
        </w:rPr>
        <w:t>2,</w:t>
      </w:r>
      <w:r w:rsidRPr="00922CE9">
        <w:rPr>
          <w:iCs/>
        </w:rPr>
        <w:t xml:space="preserve"> the CCG</w:t>
      </w:r>
      <w:r>
        <w:rPr>
          <w:iCs/>
        </w:rPr>
        <w:t xml:space="preserve"> is on course to </w:t>
      </w:r>
      <w:r w:rsidRPr="00922CE9">
        <w:rPr>
          <w:iCs/>
        </w:rPr>
        <w:t xml:space="preserve">meet all mandatory assertions in </w:t>
      </w:r>
      <w:r w:rsidRPr="00EE41DE">
        <w:rPr>
          <w:iCs/>
        </w:rPr>
        <w:t>relation to the requirements of the Toolkit by the deadline of 30 June 2022.</w:t>
      </w:r>
    </w:p>
    <w:p w14:paraId="5D29DC24" w14:textId="77777777" w:rsidR="00E06CCF" w:rsidRPr="00D72B1A" w:rsidRDefault="00E06CCF" w:rsidP="00D72B1A">
      <w:pPr>
        <w:pStyle w:val="BodyText"/>
        <w:rPr>
          <w:b/>
          <w:bCs/>
        </w:rPr>
      </w:pPr>
      <w:r w:rsidRPr="00EE41DE">
        <w:rPr>
          <w:b/>
          <w:bCs/>
        </w:rPr>
        <w:t>Business Critical Models</w:t>
      </w:r>
      <w:bookmarkEnd w:id="177"/>
    </w:p>
    <w:p w14:paraId="204CCC5F" w14:textId="77777777" w:rsidR="00EE41DE" w:rsidRPr="0037120B" w:rsidRDefault="00EE41DE" w:rsidP="00EE41DE">
      <w:pPr>
        <w:pStyle w:val="xmsonormal"/>
        <w:shd w:val="clear" w:color="auto" w:fill="FFFFFF"/>
        <w:rPr>
          <w:color w:val="000000"/>
        </w:rPr>
      </w:pPr>
      <w:bookmarkStart w:id="179" w:name="_Toc94188206"/>
      <w:bookmarkStart w:id="180" w:name="_Toc97218357"/>
      <w:r w:rsidRPr="0037120B">
        <w:rPr>
          <w:rFonts w:ascii="Arial" w:hAnsi="Arial" w:cs="Arial"/>
          <w:color w:val="000000"/>
        </w:rPr>
        <w:t>The CCG supports the principles of the Macpherson Report and is committed to embedding best practice in relation to quality assuring our prioritised business critical models and other functions.</w:t>
      </w:r>
    </w:p>
    <w:p w14:paraId="3AB90867" w14:textId="77777777" w:rsidR="00EE41DE" w:rsidRPr="0037120B" w:rsidRDefault="00EE41DE" w:rsidP="00EE41DE">
      <w:pPr>
        <w:pStyle w:val="xmsonormal"/>
        <w:shd w:val="clear" w:color="auto" w:fill="FFFFFF"/>
        <w:rPr>
          <w:color w:val="000000"/>
        </w:rPr>
      </w:pPr>
      <w:r w:rsidRPr="0037120B">
        <w:rPr>
          <w:rFonts w:ascii="Arial" w:hAnsi="Arial" w:cs="Arial"/>
          <w:color w:val="000000"/>
        </w:rPr>
        <w:t>The Essex CCGs each have a Business Continuity Plan supported by an overarching Essex-wide Business Continuity Policy, all of which have been approved by the CCGs' Audit Committee.  The documents are updated when a material change occurs, and usually a comprehensive annual review takes place each year, although during the last two years events have curtailed this process.  </w:t>
      </w:r>
    </w:p>
    <w:p w14:paraId="5728AE37" w14:textId="6F3CBD88" w:rsidR="00EE41DE" w:rsidRPr="0037120B" w:rsidRDefault="00EE41DE" w:rsidP="00EE41DE">
      <w:pPr>
        <w:pStyle w:val="xmsonormal"/>
        <w:shd w:val="clear" w:color="auto" w:fill="FFFFFF"/>
        <w:rPr>
          <w:color w:val="000000"/>
        </w:rPr>
      </w:pPr>
      <w:r w:rsidRPr="0037120B">
        <w:rPr>
          <w:rFonts w:ascii="Arial" w:hAnsi="Arial" w:cs="Arial"/>
          <w:color w:val="000000"/>
        </w:rPr>
        <w:t>A memorandum of understanding has been signed by the Essex CCGs which sets out the intentions of the CCGs to provide mutual aid and assistance to each other during a business continuity incident which cannot be managed internally within each CCG’s own business continuity arrangements and which involves one or more of the following: critical loss of key staff, temporary loss of premises or loss of a significant amount of IT hardware.  The CCGs have worked jointly since March 2020 on the response to the Covid-19 pandemic.</w:t>
      </w:r>
    </w:p>
    <w:p w14:paraId="5CBD41ED" w14:textId="2CEAB168" w:rsidR="00EE41DE" w:rsidRPr="0037120B" w:rsidRDefault="00EE41DE" w:rsidP="00EE41DE">
      <w:pPr>
        <w:pStyle w:val="xmsonormal"/>
        <w:shd w:val="clear" w:color="auto" w:fill="FFFFFF"/>
        <w:rPr>
          <w:color w:val="000000"/>
        </w:rPr>
      </w:pPr>
      <w:r w:rsidRPr="0037120B">
        <w:rPr>
          <w:rFonts w:ascii="Arial" w:hAnsi="Arial" w:cs="Arial"/>
          <w:color w:val="000000"/>
        </w:rPr>
        <w:t>Since March 2020, the CCGs have reviewed, tested and updated their internal business continuity arrangements as a result of the C</w:t>
      </w:r>
      <w:r w:rsidR="003067AE">
        <w:rPr>
          <w:rFonts w:ascii="Arial" w:hAnsi="Arial" w:cs="Arial"/>
          <w:color w:val="000000"/>
        </w:rPr>
        <w:t>ovid</w:t>
      </w:r>
      <w:r w:rsidRPr="0037120B">
        <w:rPr>
          <w:rFonts w:ascii="Arial" w:hAnsi="Arial" w:cs="Arial"/>
          <w:color w:val="000000"/>
        </w:rPr>
        <w:t>-19 pandemic and continued to update these throughout 2021-22 in line with operational and Government requirements.</w:t>
      </w:r>
    </w:p>
    <w:p w14:paraId="5A6A8738" w14:textId="77777777" w:rsidR="00E06CCF" w:rsidRPr="00E06CCF" w:rsidRDefault="00E06CCF" w:rsidP="00FF0E5D">
      <w:pPr>
        <w:pStyle w:val="Heading3"/>
      </w:pPr>
      <w:bookmarkStart w:id="181" w:name="_Toc107389476"/>
      <w:r w:rsidRPr="00EE41DE">
        <w:t>Third party assurances</w:t>
      </w:r>
      <w:bookmarkEnd w:id="179"/>
      <w:bookmarkEnd w:id="180"/>
      <w:bookmarkEnd w:id="181"/>
    </w:p>
    <w:p w14:paraId="4571C7A8" w14:textId="77777777" w:rsidR="00EA086C" w:rsidRDefault="00EA086C" w:rsidP="000D3041">
      <w:pPr>
        <w:numPr>
          <w:ilvl w:val="3"/>
          <w:numId w:val="22"/>
        </w:numPr>
        <w:overflowPunct w:val="0"/>
        <w:autoSpaceDE w:val="0"/>
        <w:autoSpaceDN w:val="0"/>
        <w:spacing w:before="120" w:after="0"/>
        <w:ind w:left="840" w:right="183"/>
        <w:rPr>
          <w:rFonts w:cs="Arial"/>
          <w:spacing w:val="-1"/>
          <w:szCs w:val="24"/>
          <w:lang w:eastAsia="en-GB"/>
        </w:rPr>
      </w:pPr>
      <w:r>
        <w:rPr>
          <w:rFonts w:cs="Arial"/>
          <w:szCs w:val="24"/>
          <w:lang w:eastAsia="en-GB"/>
        </w:rPr>
        <w:t>The</w:t>
      </w:r>
      <w:r>
        <w:rPr>
          <w:rFonts w:cs="Arial"/>
          <w:spacing w:val="1"/>
          <w:szCs w:val="24"/>
          <w:lang w:eastAsia="en-GB"/>
        </w:rPr>
        <w:t xml:space="preserve"> </w:t>
      </w:r>
      <w:r>
        <w:rPr>
          <w:rFonts w:cs="Arial"/>
          <w:spacing w:val="-1"/>
          <w:szCs w:val="24"/>
          <w:lang w:eastAsia="en-GB"/>
        </w:rPr>
        <w:t>CCG</w:t>
      </w:r>
      <w:r>
        <w:rPr>
          <w:rFonts w:cs="Arial"/>
          <w:szCs w:val="24"/>
          <w:lang w:eastAsia="en-GB"/>
        </w:rPr>
        <w:t xml:space="preserve"> </w:t>
      </w:r>
      <w:r>
        <w:rPr>
          <w:rFonts w:cs="Arial"/>
          <w:spacing w:val="-1"/>
          <w:szCs w:val="24"/>
          <w:lang w:eastAsia="en-GB"/>
        </w:rPr>
        <w:t>relies</w:t>
      </w:r>
      <w:r>
        <w:rPr>
          <w:rFonts w:cs="Arial"/>
          <w:szCs w:val="24"/>
          <w:lang w:eastAsia="en-GB"/>
        </w:rPr>
        <w:t xml:space="preserve"> </w:t>
      </w:r>
      <w:r>
        <w:rPr>
          <w:rFonts w:cs="Arial"/>
          <w:spacing w:val="-1"/>
          <w:szCs w:val="24"/>
          <w:lang w:eastAsia="en-GB"/>
        </w:rPr>
        <w:t>on</w:t>
      </w:r>
      <w:r>
        <w:rPr>
          <w:rFonts w:cs="Arial"/>
          <w:spacing w:val="1"/>
          <w:szCs w:val="24"/>
          <w:lang w:eastAsia="en-GB"/>
        </w:rPr>
        <w:t xml:space="preserve"> </w:t>
      </w:r>
      <w:r>
        <w:rPr>
          <w:rFonts w:cs="Arial"/>
          <w:szCs w:val="24"/>
          <w:lang w:eastAsia="en-GB"/>
        </w:rPr>
        <w:t xml:space="preserve">a third party </w:t>
      </w:r>
      <w:r>
        <w:rPr>
          <w:rFonts w:cs="Arial"/>
          <w:spacing w:val="-1"/>
          <w:szCs w:val="24"/>
          <w:lang w:eastAsia="en-GB"/>
        </w:rPr>
        <w:t>provider</w:t>
      </w:r>
      <w:r>
        <w:rPr>
          <w:rFonts w:cs="Arial"/>
          <w:szCs w:val="24"/>
          <w:lang w:eastAsia="en-GB"/>
        </w:rPr>
        <w:t xml:space="preserve"> for payroll and pension services. This service is provided by Whittington Health NHS Trust which is based in North London. </w:t>
      </w:r>
      <w:r>
        <w:rPr>
          <w:rFonts w:cs="Arial"/>
          <w:spacing w:val="-1"/>
          <w:szCs w:val="24"/>
          <w:lang w:eastAsia="en-GB"/>
        </w:rPr>
        <w:t>The</w:t>
      </w:r>
      <w:r>
        <w:rPr>
          <w:rFonts w:cs="Arial"/>
          <w:spacing w:val="1"/>
          <w:szCs w:val="24"/>
          <w:lang w:eastAsia="en-GB"/>
        </w:rPr>
        <w:t xml:space="preserve"> </w:t>
      </w:r>
      <w:r>
        <w:rPr>
          <w:rFonts w:cs="Arial"/>
          <w:spacing w:val="-1"/>
          <w:szCs w:val="24"/>
          <w:lang w:eastAsia="en-GB"/>
        </w:rPr>
        <w:t>CCG</w:t>
      </w:r>
      <w:r>
        <w:rPr>
          <w:rFonts w:cs="Arial"/>
          <w:szCs w:val="24"/>
          <w:lang w:eastAsia="en-GB"/>
        </w:rPr>
        <w:t xml:space="preserve"> </w:t>
      </w:r>
      <w:r>
        <w:rPr>
          <w:rFonts w:cs="Arial"/>
          <w:spacing w:val="-1"/>
          <w:szCs w:val="24"/>
          <w:lang w:eastAsia="en-GB"/>
        </w:rPr>
        <w:t>continues</w:t>
      </w:r>
      <w:r>
        <w:rPr>
          <w:rFonts w:cs="Arial"/>
          <w:szCs w:val="24"/>
          <w:lang w:eastAsia="en-GB"/>
        </w:rPr>
        <w:t xml:space="preserve"> </w:t>
      </w:r>
      <w:r>
        <w:rPr>
          <w:rFonts w:cs="Arial"/>
          <w:spacing w:val="-2"/>
          <w:szCs w:val="24"/>
          <w:lang w:eastAsia="en-GB"/>
        </w:rPr>
        <w:t>in</w:t>
      </w:r>
      <w:r>
        <w:rPr>
          <w:rFonts w:cs="Arial"/>
          <w:spacing w:val="1"/>
          <w:szCs w:val="24"/>
          <w:lang w:eastAsia="en-GB"/>
        </w:rPr>
        <w:t xml:space="preserve"> </w:t>
      </w:r>
      <w:r>
        <w:rPr>
          <w:rFonts w:cs="Arial"/>
          <w:szCs w:val="24"/>
          <w:lang w:eastAsia="en-GB"/>
        </w:rPr>
        <w:t>a</w:t>
      </w:r>
      <w:r>
        <w:rPr>
          <w:rFonts w:cs="Arial"/>
          <w:spacing w:val="-1"/>
          <w:szCs w:val="24"/>
          <w:lang w:eastAsia="en-GB"/>
        </w:rPr>
        <w:t xml:space="preserve"> positive</w:t>
      </w:r>
      <w:r>
        <w:rPr>
          <w:rFonts w:cs="Arial"/>
          <w:spacing w:val="49"/>
          <w:szCs w:val="24"/>
          <w:lang w:eastAsia="en-GB"/>
        </w:rPr>
        <w:t xml:space="preserve"> </w:t>
      </w:r>
      <w:r>
        <w:rPr>
          <w:rFonts w:cs="Arial"/>
          <w:spacing w:val="-1"/>
          <w:szCs w:val="24"/>
          <w:lang w:eastAsia="en-GB"/>
        </w:rPr>
        <w:t>relationship</w:t>
      </w:r>
      <w:r>
        <w:rPr>
          <w:rFonts w:cs="Arial"/>
          <w:spacing w:val="1"/>
          <w:szCs w:val="24"/>
          <w:lang w:eastAsia="en-GB"/>
        </w:rPr>
        <w:t xml:space="preserve"> </w:t>
      </w:r>
      <w:r>
        <w:rPr>
          <w:rFonts w:cs="Arial"/>
          <w:spacing w:val="-1"/>
          <w:szCs w:val="24"/>
          <w:lang w:eastAsia="en-GB"/>
        </w:rPr>
        <w:t>with</w:t>
      </w:r>
      <w:r>
        <w:rPr>
          <w:rFonts w:cs="Arial"/>
          <w:spacing w:val="-4"/>
          <w:szCs w:val="24"/>
          <w:lang w:eastAsia="en-GB"/>
        </w:rPr>
        <w:t xml:space="preserve"> </w:t>
      </w:r>
      <w:r>
        <w:rPr>
          <w:rFonts w:cs="Arial"/>
          <w:szCs w:val="24"/>
          <w:lang w:eastAsia="en-GB"/>
        </w:rPr>
        <w:t>Whittington</w:t>
      </w:r>
      <w:r>
        <w:rPr>
          <w:rFonts w:cs="Arial"/>
          <w:spacing w:val="1"/>
          <w:szCs w:val="24"/>
          <w:lang w:eastAsia="en-GB"/>
        </w:rPr>
        <w:t xml:space="preserve"> </w:t>
      </w:r>
      <w:r>
        <w:rPr>
          <w:rFonts w:cs="Arial"/>
          <w:spacing w:val="-1"/>
          <w:szCs w:val="24"/>
          <w:lang w:eastAsia="en-GB"/>
        </w:rPr>
        <w:t>Health</w:t>
      </w:r>
      <w:r>
        <w:rPr>
          <w:rFonts w:cs="Arial"/>
          <w:szCs w:val="24"/>
          <w:lang w:eastAsia="en-GB"/>
        </w:rPr>
        <w:t xml:space="preserve"> and regular virtual MS Teams meetings are held between Whittington and the </w:t>
      </w:r>
      <w:r>
        <w:rPr>
          <w:rFonts w:cs="Arial"/>
          <w:spacing w:val="-1"/>
          <w:szCs w:val="24"/>
          <w:lang w:eastAsia="en-GB"/>
        </w:rPr>
        <w:t>HR</w:t>
      </w:r>
      <w:r>
        <w:rPr>
          <w:rFonts w:cs="Arial"/>
          <w:szCs w:val="24"/>
          <w:lang w:eastAsia="en-GB"/>
        </w:rPr>
        <w:t xml:space="preserve"> Managers at the CCG</w:t>
      </w:r>
      <w:r>
        <w:rPr>
          <w:rFonts w:cs="Arial"/>
          <w:spacing w:val="-1"/>
          <w:szCs w:val="24"/>
          <w:lang w:eastAsia="en-GB"/>
        </w:rPr>
        <w:t>.</w:t>
      </w:r>
      <w:r>
        <w:rPr>
          <w:rFonts w:cs="Arial"/>
          <w:szCs w:val="24"/>
          <w:lang w:eastAsia="en-GB"/>
        </w:rPr>
        <w:t xml:space="preserve">  The</w:t>
      </w:r>
      <w:r>
        <w:rPr>
          <w:rFonts w:cs="Arial"/>
          <w:spacing w:val="57"/>
          <w:szCs w:val="24"/>
          <w:lang w:eastAsia="en-GB"/>
        </w:rPr>
        <w:t xml:space="preserve"> </w:t>
      </w:r>
      <w:r>
        <w:rPr>
          <w:rFonts w:cs="Arial"/>
          <w:spacing w:val="-1"/>
          <w:szCs w:val="24"/>
          <w:lang w:eastAsia="en-GB"/>
        </w:rPr>
        <w:t>annual</w:t>
      </w:r>
      <w:r>
        <w:rPr>
          <w:rFonts w:cs="Arial"/>
          <w:szCs w:val="24"/>
          <w:lang w:eastAsia="en-GB"/>
        </w:rPr>
        <w:t xml:space="preserve"> </w:t>
      </w:r>
      <w:r>
        <w:rPr>
          <w:rFonts w:cs="Arial"/>
          <w:spacing w:val="-1"/>
          <w:szCs w:val="24"/>
          <w:lang w:eastAsia="en-GB"/>
        </w:rPr>
        <w:t>audit</w:t>
      </w:r>
      <w:r>
        <w:rPr>
          <w:rFonts w:cs="Arial"/>
          <w:spacing w:val="-2"/>
          <w:szCs w:val="24"/>
          <w:lang w:eastAsia="en-GB"/>
        </w:rPr>
        <w:t xml:space="preserve"> </w:t>
      </w:r>
      <w:r>
        <w:rPr>
          <w:rFonts w:cs="Arial"/>
          <w:spacing w:val="-1"/>
          <w:szCs w:val="24"/>
          <w:lang w:eastAsia="en-GB"/>
        </w:rPr>
        <w:t>of</w:t>
      </w:r>
      <w:r>
        <w:rPr>
          <w:rFonts w:cs="Arial"/>
          <w:spacing w:val="3"/>
          <w:szCs w:val="24"/>
          <w:lang w:eastAsia="en-GB"/>
        </w:rPr>
        <w:t xml:space="preserve"> </w:t>
      </w:r>
      <w:r>
        <w:rPr>
          <w:rFonts w:cs="Arial"/>
          <w:spacing w:val="-1"/>
          <w:szCs w:val="24"/>
          <w:lang w:eastAsia="en-GB"/>
        </w:rPr>
        <w:t>payroll</w:t>
      </w:r>
      <w:r>
        <w:rPr>
          <w:rFonts w:cs="Arial"/>
          <w:szCs w:val="24"/>
          <w:lang w:eastAsia="en-GB"/>
        </w:rPr>
        <w:t xml:space="preserve"> </w:t>
      </w:r>
      <w:r>
        <w:rPr>
          <w:rFonts w:cs="Arial"/>
          <w:spacing w:val="-1"/>
          <w:szCs w:val="24"/>
          <w:lang w:eastAsia="en-GB"/>
        </w:rPr>
        <w:t>identified</w:t>
      </w:r>
      <w:r>
        <w:rPr>
          <w:rFonts w:cs="Arial"/>
          <w:spacing w:val="1"/>
          <w:szCs w:val="24"/>
          <w:lang w:eastAsia="en-GB"/>
        </w:rPr>
        <w:t xml:space="preserve"> </w:t>
      </w:r>
      <w:r>
        <w:rPr>
          <w:rFonts w:cs="Arial"/>
          <w:spacing w:val="-1"/>
          <w:szCs w:val="24"/>
          <w:lang w:eastAsia="en-GB"/>
        </w:rPr>
        <w:t>‘substantial’</w:t>
      </w:r>
      <w:r>
        <w:rPr>
          <w:rFonts w:cs="Arial"/>
          <w:spacing w:val="-3"/>
          <w:szCs w:val="24"/>
          <w:lang w:eastAsia="en-GB"/>
        </w:rPr>
        <w:t xml:space="preserve"> </w:t>
      </w:r>
      <w:r>
        <w:rPr>
          <w:rFonts w:cs="Arial"/>
          <w:spacing w:val="-1"/>
          <w:szCs w:val="24"/>
          <w:lang w:eastAsia="en-GB"/>
        </w:rPr>
        <w:t>assurance.</w:t>
      </w:r>
    </w:p>
    <w:p w14:paraId="39053FAA" w14:textId="28035CA0" w:rsidR="00EA086C" w:rsidRDefault="00EA086C" w:rsidP="000D3041">
      <w:pPr>
        <w:numPr>
          <w:ilvl w:val="3"/>
          <w:numId w:val="22"/>
        </w:numPr>
        <w:overflowPunct w:val="0"/>
        <w:autoSpaceDE w:val="0"/>
        <w:autoSpaceDN w:val="0"/>
        <w:spacing w:before="120" w:after="0"/>
        <w:ind w:left="840" w:right="183"/>
        <w:rPr>
          <w:rFonts w:cs="Arial"/>
          <w:spacing w:val="-1"/>
          <w:szCs w:val="24"/>
          <w:lang w:eastAsia="en-GB"/>
        </w:rPr>
      </w:pPr>
      <w:r>
        <w:rPr>
          <w:rFonts w:cs="Arial"/>
          <w:spacing w:val="-1"/>
          <w:szCs w:val="24"/>
          <w:lang w:eastAsia="en-GB"/>
        </w:rPr>
        <w:t>In agreement with Arden &amp; GEM, Human</w:t>
      </w:r>
      <w:r>
        <w:rPr>
          <w:rFonts w:cs="Arial"/>
          <w:spacing w:val="1"/>
          <w:szCs w:val="24"/>
          <w:lang w:eastAsia="en-GB"/>
        </w:rPr>
        <w:t xml:space="preserve"> </w:t>
      </w:r>
      <w:r>
        <w:rPr>
          <w:rFonts w:cs="Arial"/>
          <w:spacing w:val="-1"/>
          <w:szCs w:val="24"/>
          <w:lang w:eastAsia="en-GB"/>
        </w:rPr>
        <w:t>Resources</w:t>
      </w:r>
      <w:r>
        <w:rPr>
          <w:rFonts w:cs="Arial"/>
          <w:szCs w:val="24"/>
          <w:lang w:eastAsia="en-GB"/>
        </w:rPr>
        <w:t xml:space="preserve"> </w:t>
      </w:r>
      <w:r>
        <w:rPr>
          <w:rFonts w:cs="Arial"/>
          <w:spacing w:val="-1"/>
          <w:szCs w:val="24"/>
          <w:lang w:eastAsia="en-GB"/>
        </w:rPr>
        <w:t>transactional,</w:t>
      </w:r>
      <w:r>
        <w:rPr>
          <w:rFonts w:cs="Arial"/>
          <w:szCs w:val="24"/>
          <w:lang w:eastAsia="en-GB"/>
        </w:rPr>
        <w:t xml:space="preserve"> </w:t>
      </w:r>
      <w:r>
        <w:rPr>
          <w:rFonts w:cs="Arial"/>
          <w:spacing w:val="-1"/>
          <w:szCs w:val="24"/>
          <w:lang w:eastAsia="en-GB"/>
        </w:rPr>
        <w:t>recruitment</w:t>
      </w:r>
      <w:r>
        <w:rPr>
          <w:rFonts w:cs="Arial"/>
          <w:spacing w:val="-2"/>
          <w:szCs w:val="24"/>
          <w:lang w:eastAsia="en-GB"/>
        </w:rPr>
        <w:t xml:space="preserve"> </w:t>
      </w:r>
      <w:r>
        <w:rPr>
          <w:rFonts w:cs="Arial"/>
          <w:szCs w:val="24"/>
          <w:lang w:eastAsia="en-GB"/>
        </w:rPr>
        <w:t>and</w:t>
      </w:r>
      <w:r>
        <w:rPr>
          <w:rFonts w:cs="Arial"/>
          <w:spacing w:val="-1"/>
          <w:szCs w:val="24"/>
          <w:lang w:eastAsia="en-GB"/>
        </w:rPr>
        <w:t xml:space="preserve"> workforce</w:t>
      </w:r>
      <w:r>
        <w:rPr>
          <w:rFonts w:cs="Arial"/>
          <w:spacing w:val="1"/>
          <w:szCs w:val="24"/>
          <w:lang w:eastAsia="en-GB"/>
        </w:rPr>
        <w:t xml:space="preserve"> </w:t>
      </w:r>
      <w:r>
        <w:rPr>
          <w:rFonts w:cs="Arial"/>
          <w:spacing w:val="-1"/>
          <w:szCs w:val="24"/>
          <w:lang w:eastAsia="en-GB"/>
        </w:rPr>
        <w:t>services has been operating in house since 17</w:t>
      </w:r>
      <w:r w:rsidR="00E24278">
        <w:rPr>
          <w:rFonts w:cs="Arial"/>
          <w:spacing w:val="-1"/>
          <w:szCs w:val="24"/>
          <w:vertAlign w:val="superscript"/>
          <w:lang w:eastAsia="en-GB"/>
        </w:rPr>
        <w:t xml:space="preserve"> </w:t>
      </w:r>
      <w:r>
        <w:rPr>
          <w:rFonts w:cs="Arial"/>
          <w:spacing w:val="-1"/>
          <w:szCs w:val="24"/>
          <w:lang w:eastAsia="en-GB"/>
        </w:rPr>
        <w:t xml:space="preserve">December 2021. Occupational Health support was provided by Mid and South Essex Foundation Trust (MSEFT) and is now provided by East Coast Medical </w:t>
      </w:r>
    </w:p>
    <w:p w14:paraId="76A4725A" w14:textId="77777777" w:rsidR="00E06CCF" w:rsidRPr="00D72B1A" w:rsidRDefault="00E06CCF" w:rsidP="00D72B1A">
      <w:pPr>
        <w:pStyle w:val="BodyText"/>
        <w:rPr>
          <w:b/>
          <w:bCs/>
        </w:rPr>
      </w:pPr>
      <w:r w:rsidRPr="00EE41DE">
        <w:rPr>
          <w:b/>
          <w:bCs/>
        </w:rPr>
        <w:t>Control Issues</w:t>
      </w:r>
    </w:p>
    <w:p w14:paraId="0334A985" w14:textId="77777777" w:rsidR="00430F01" w:rsidRDefault="00430F01" w:rsidP="00430F01">
      <w:pPr>
        <w:pStyle w:val="BodyText"/>
        <w:kinsoku w:val="0"/>
        <w:overflowPunct w:val="0"/>
        <w:ind w:right="176"/>
        <w:rPr>
          <w:spacing w:val="-1"/>
        </w:rPr>
      </w:pPr>
      <w:bookmarkStart w:id="182" w:name="_Toc94188207"/>
      <w:bookmarkStart w:id="183" w:name="_Toc97218358"/>
      <w:r w:rsidRPr="00F37FD7">
        <w:rPr>
          <w:spacing w:val="-1"/>
        </w:rPr>
        <w:t>The NHS declared Coronavirus (Omicron variant) as a ‘level 4 incident’ (the highest category of emergency) on 13 December 2021. Organising the local response to limit the spread of the virus and treat its effects, including providing support to the vaccination booster programme, therefore became a key focus for the CCG and partner organisations and the system-wide incident management structure that was set up during the first wave of the pandemic coordinated this work.  In accordance with the CCG’s Business Continuity Plan, several of its functions were either paused or scaled down during mid-December to February 2022 to enable resources to be directed to the management of this latest outbreak.</w:t>
      </w:r>
    </w:p>
    <w:p w14:paraId="4DE1EB24" w14:textId="77777777" w:rsidR="00430F01" w:rsidRDefault="00430F01" w:rsidP="00430F01">
      <w:pPr>
        <w:pStyle w:val="BodyText"/>
        <w:kinsoku w:val="0"/>
        <w:overflowPunct w:val="0"/>
        <w:spacing w:before="69"/>
        <w:ind w:right="213"/>
        <w:rPr>
          <w:spacing w:val="-1"/>
        </w:rPr>
      </w:pPr>
      <w:bookmarkStart w:id="184" w:name="_Hlk98772370"/>
      <w:r>
        <w:t>The</w:t>
      </w:r>
      <w:r>
        <w:rPr>
          <w:spacing w:val="1"/>
        </w:rPr>
        <w:t xml:space="preserve"> </w:t>
      </w:r>
      <w:r>
        <w:rPr>
          <w:spacing w:val="-1"/>
        </w:rPr>
        <w:t>CCG</w:t>
      </w:r>
      <w:r>
        <w:t xml:space="preserve"> </w:t>
      </w:r>
      <w:r>
        <w:rPr>
          <w:spacing w:val="-1"/>
        </w:rPr>
        <w:t>implemented good</w:t>
      </w:r>
      <w:r>
        <w:rPr>
          <w:spacing w:val="1"/>
        </w:rPr>
        <w:t xml:space="preserve"> </w:t>
      </w:r>
      <w:r>
        <w:rPr>
          <w:spacing w:val="-1"/>
        </w:rPr>
        <w:t>practice</w:t>
      </w:r>
      <w:r>
        <w:rPr>
          <w:spacing w:val="1"/>
        </w:rPr>
        <w:t xml:space="preserve"> </w:t>
      </w:r>
      <w:r>
        <w:rPr>
          <w:spacing w:val="-1"/>
        </w:rPr>
        <w:t>guidance</w:t>
      </w:r>
      <w:r>
        <w:rPr>
          <w:spacing w:val="1"/>
        </w:rPr>
        <w:t xml:space="preserve"> </w:t>
      </w:r>
      <w:r>
        <w:rPr>
          <w:spacing w:val="-1"/>
        </w:rPr>
        <w:t>issued</w:t>
      </w:r>
      <w:r>
        <w:rPr>
          <w:spacing w:val="1"/>
        </w:rPr>
        <w:t xml:space="preserve"> </w:t>
      </w:r>
      <w:r>
        <w:t>by</w:t>
      </w:r>
      <w:r>
        <w:rPr>
          <w:spacing w:val="-2"/>
        </w:rPr>
        <w:t xml:space="preserve"> </w:t>
      </w:r>
      <w:r>
        <w:rPr>
          <w:spacing w:val="-1"/>
        </w:rPr>
        <w:t>organisations</w:t>
      </w:r>
      <w:r>
        <w:t xml:space="preserve"> such</w:t>
      </w:r>
      <w:r>
        <w:rPr>
          <w:spacing w:val="-1"/>
        </w:rPr>
        <w:t xml:space="preserve"> </w:t>
      </w:r>
      <w:r>
        <w:t xml:space="preserve">as </w:t>
      </w:r>
      <w:r>
        <w:rPr>
          <w:spacing w:val="-1"/>
        </w:rPr>
        <w:t>the Internal</w:t>
      </w:r>
      <w:r>
        <w:rPr>
          <w:spacing w:val="-3"/>
        </w:rPr>
        <w:t xml:space="preserve"> </w:t>
      </w:r>
      <w:r>
        <w:rPr>
          <w:spacing w:val="-1"/>
        </w:rPr>
        <w:t>Audit</w:t>
      </w:r>
      <w:r>
        <w:rPr>
          <w:spacing w:val="61"/>
        </w:rPr>
        <w:t xml:space="preserve"> </w:t>
      </w:r>
      <w:r>
        <w:rPr>
          <w:spacing w:val="-1"/>
        </w:rPr>
        <w:t>Network</w:t>
      </w:r>
      <w:r>
        <w:t xml:space="preserve"> and</w:t>
      </w:r>
      <w:r>
        <w:rPr>
          <w:spacing w:val="1"/>
        </w:rPr>
        <w:t xml:space="preserve"> </w:t>
      </w:r>
      <w:r>
        <w:rPr>
          <w:spacing w:val="-1"/>
        </w:rPr>
        <w:t>the</w:t>
      </w:r>
      <w:r>
        <w:rPr>
          <w:spacing w:val="1"/>
        </w:rPr>
        <w:t xml:space="preserve"> </w:t>
      </w:r>
      <w:r>
        <w:rPr>
          <w:spacing w:val="-1"/>
        </w:rPr>
        <w:t>Healthcare</w:t>
      </w:r>
      <w:r>
        <w:rPr>
          <w:spacing w:val="1"/>
        </w:rPr>
        <w:t xml:space="preserve"> </w:t>
      </w:r>
      <w:r>
        <w:rPr>
          <w:spacing w:val="-1"/>
        </w:rPr>
        <w:t>Financial Management</w:t>
      </w:r>
      <w:r>
        <w:rPr>
          <w:spacing w:val="-2"/>
        </w:rPr>
        <w:t xml:space="preserve"> </w:t>
      </w:r>
      <w:r>
        <w:rPr>
          <w:spacing w:val="-1"/>
        </w:rPr>
        <w:t>Association</w:t>
      </w:r>
      <w:r>
        <w:rPr>
          <w:spacing w:val="1"/>
        </w:rPr>
        <w:t xml:space="preserve"> </w:t>
      </w:r>
      <w:r>
        <w:rPr>
          <w:spacing w:val="-1"/>
        </w:rPr>
        <w:t>to</w:t>
      </w:r>
      <w:r>
        <w:rPr>
          <w:spacing w:val="1"/>
        </w:rPr>
        <w:t xml:space="preserve"> </w:t>
      </w:r>
      <w:r>
        <w:rPr>
          <w:spacing w:val="-1"/>
        </w:rPr>
        <w:t>ensure</w:t>
      </w:r>
      <w:r>
        <w:rPr>
          <w:spacing w:val="1"/>
        </w:rPr>
        <w:t xml:space="preserve"> </w:t>
      </w:r>
      <w:r>
        <w:rPr>
          <w:spacing w:val="-1"/>
        </w:rPr>
        <w:t>that</w:t>
      </w:r>
      <w:r>
        <w:t xml:space="preserve"> </w:t>
      </w:r>
      <w:r>
        <w:rPr>
          <w:spacing w:val="-1"/>
        </w:rPr>
        <w:t>it</w:t>
      </w:r>
      <w:r>
        <w:rPr>
          <w:spacing w:val="-2"/>
        </w:rPr>
        <w:t xml:space="preserve"> </w:t>
      </w:r>
      <w:r>
        <w:rPr>
          <w:spacing w:val="-1"/>
        </w:rPr>
        <w:t xml:space="preserve">continued </w:t>
      </w:r>
      <w:r>
        <w:t>to</w:t>
      </w:r>
      <w:r>
        <w:rPr>
          <w:spacing w:val="63"/>
        </w:rPr>
        <w:t xml:space="preserve"> </w:t>
      </w:r>
      <w:r>
        <w:t>comply</w:t>
      </w:r>
      <w:r>
        <w:rPr>
          <w:spacing w:val="-2"/>
        </w:rPr>
        <w:t xml:space="preserve"> </w:t>
      </w:r>
      <w:r>
        <w:rPr>
          <w:spacing w:val="-1"/>
        </w:rPr>
        <w:t>with</w:t>
      </w:r>
      <w:r>
        <w:rPr>
          <w:spacing w:val="1"/>
        </w:rPr>
        <w:t xml:space="preserve"> </w:t>
      </w:r>
      <w:r>
        <w:rPr>
          <w:spacing w:val="-1"/>
        </w:rPr>
        <w:t>its</w:t>
      </w:r>
      <w:r>
        <w:t xml:space="preserve"> </w:t>
      </w:r>
      <w:r>
        <w:rPr>
          <w:spacing w:val="-1"/>
        </w:rPr>
        <w:t>statutory</w:t>
      </w:r>
      <w:r>
        <w:rPr>
          <w:spacing w:val="-2"/>
        </w:rPr>
        <w:t xml:space="preserve"> </w:t>
      </w:r>
      <w:r>
        <w:rPr>
          <w:spacing w:val="-1"/>
        </w:rPr>
        <w:t>duties</w:t>
      </w:r>
      <w:r>
        <w:t xml:space="preserve"> </w:t>
      </w:r>
      <w:r>
        <w:rPr>
          <w:spacing w:val="-1"/>
        </w:rPr>
        <w:t>and</w:t>
      </w:r>
      <w:r>
        <w:rPr>
          <w:spacing w:val="1"/>
        </w:rPr>
        <w:t xml:space="preserve"> </w:t>
      </w:r>
      <w:r>
        <w:rPr>
          <w:spacing w:val="-1"/>
        </w:rPr>
        <w:t>that</w:t>
      </w:r>
      <w:r>
        <w:t xml:space="preserve"> </w:t>
      </w:r>
      <w:r>
        <w:rPr>
          <w:spacing w:val="-1"/>
        </w:rPr>
        <w:t>its</w:t>
      </w:r>
      <w:r>
        <w:rPr>
          <w:spacing w:val="-2"/>
        </w:rPr>
        <w:t xml:space="preserve"> </w:t>
      </w:r>
      <w:r>
        <w:rPr>
          <w:spacing w:val="-1"/>
        </w:rPr>
        <w:t>governance</w:t>
      </w:r>
      <w:r>
        <w:rPr>
          <w:spacing w:val="1"/>
        </w:rPr>
        <w:t xml:space="preserve"> </w:t>
      </w:r>
      <w:r>
        <w:rPr>
          <w:spacing w:val="-1"/>
        </w:rPr>
        <w:t>arrangements</w:t>
      </w:r>
      <w:r>
        <w:t xml:space="preserve"> </w:t>
      </w:r>
      <w:r>
        <w:rPr>
          <w:spacing w:val="-1"/>
        </w:rPr>
        <w:t>remained</w:t>
      </w:r>
      <w:r>
        <w:rPr>
          <w:spacing w:val="-2"/>
        </w:rPr>
        <w:t xml:space="preserve"> </w:t>
      </w:r>
      <w:r>
        <w:rPr>
          <w:spacing w:val="-1"/>
        </w:rPr>
        <w:t>effective</w:t>
      </w:r>
      <w:r>
        <w:rPr>
          <w:spacing w:val="1"/>
        </w:rPr>
        <w:t xml:space="preserve"> </w:t>
      </w:r>
      <w:r>
        <w:rPr>
          <w:spacing w:val="-1"/>
        </w:rPr>
        <w:t xml:space="preserve">throughout </w:t>
      </w:r>
      <w:r>
        <w:t>the</w:t>
      </w:r>
      <w:r>
        <w:rPr>
          <w:spacing w:val="-1"/>
        </w:rPr>
        <w:t xml:space="preserve"> pandemic.</w:t>
      </w:r>
      <w:bookmarkEnd w:id="184"/>
    </w:p>
    <w:p w14:paraId="42D88EF0" w14:textId="2C016DE6" w:rsidR="00430F01" w:rsidRDefault="00430F01" w:rsidP="00430F01">
      <w:pPr>
        <w:pStyle w:val="BodyText"/>
        <w:kinsoku w:val="0"/>
        <w:overflowPunct w:val="0"/>
        <w:spacing w:before="69"/>
        <w:ind w:right="213"/>
        <w:rPr>
          <w:spacing w:val="-1"/>
        </w:rPr>
      </w:pPr>
      <w:r w:rsidRPr="001D18DF">
        <w:rPr>
          <w:spacing w:val="-1"/>
        </w:rPr>
        <w:t xml:space="preserve">Essex Partnership University NHS Trust </w:t>
      </w:r>
      <w:r>
        <w:rPr>
          <w:spacing w:val="-1"/>
        </w:rPr>
        <w:t>(</w:t>
      </w:r>
      <w:r w:rsidRPr="001D18DF">
        <w:rPr>
          <w:spacing w:val="-1"/>
        </w:rPr>
        <w:t>EPUT</w:t>
      </w:r>
      <w:r>
        <w:rPr>
          <w:spacing w:val="-1"/>
        </w:rPr>
        <w:t>)</w:t>
      </w:r>
      <w:r w:rsidRPr="001D18DF">
        <w:rPr>
          <w:spacing w:val="-1"/>
        </w:rPr>
        <w:t xml:space="preserve"> have developed a Quality Strategy ‘Safety First, Safety Always’ which aims to ensure that EPUT provide safe and high quality care. The Essex mental health system is one of the first areas in the country to roll out the new Patient Safety Incident Response Framework. The CCG continues to monitor safety via the CQRG mechanism. In September 2020 the CCGs began an independent review (known as the </w:t>
      </w:r>
      <w:r>
        <w:rPr>
          <w:spacing w:val="-1"/>
        </w:rPr>
        <w:t xml:space="preserve">Mental Health </w:t>
      </w:r>
      <w:r w:rsidRPr="001D18DF">
        <w:rPr>
          <w:spacing w:val="-1"/>
        </w:rPr>
        <w:t>Taskforce) of the systems and processes within CCGs covering</w:t>
      </w:r>
      <w:r>
        <w:rPr>
          <w:spacing w:val="-1"/>
        </w:rPr>
        <w:t xml:space="preserve"> the</w:t>
      </w:r>
      <w:r w:rsidRPr="001D18DF">
        <w:rPr>
          <w:spacing w:val="-1"/>
        </w:rPr>
        <w:t xml:space="preserve"> Essex footprint for the commissioning of mental health services as provided by</w:t>
      </w:r>
      <w:r>
        <w:rPr>
          <w:spacing w:val="-1"/>
        </w:rPr>
        <w:t xml:space="preserve"> EPUT</w:t>
      </w:r>
      <w:r w:rsidRPr="001D18DF">
        <w:rPr>
          <w:spacing w:val="-1"/>
        </w:rPr>
        <w:t>. The Taskforce has completed its review and the final report has been produced. The ongoing work to fully deliver the taskforce recommendations is being mapped against the Mental Health Partnership Board governance to ensure that delivery and progress is maintained going forward.</w:t>
      </w:r>
    </w:p>
    <w:p w14:paraId="0A56E197" w14:textId="3E7AF66A" w:rsidR="00430F01" w:rsidRDefault="00430F01" w:rsidP="00430F01">
      <w:pPr>
        <w:pStyle w:val="BodyText"/>
        <w:kinsoku w:val="0"/>
        <w:overflowPunct w:val="0"/>
        <w:ind w:right="213"/>
        <w:rPr>
          <w:spacing w:val="-1"/>
        </w:rPr>
      </w:pPr>
      <w:r w:rsidRPr="00B942BD">
        <w:t xml:space="preserve">As </w:t>
      </w:r>
      <w:r w:rsidRPr="00B942BD">
        <w:rPr>
          <w:spacing w:val="-1"/>
        </w:rPr>
        <w:t>detailed</w:t>
      </w:r>
      <w:r w:rsidRPr="00B942BD">
        <w:rPr>
          <w:spacing w:val="1"/>
        </w:rPr>
        <w:t xml:space="preserve"> </w:t>
      </w:r>
      <w:r w:rsidRPr="00B942BD">
        <w:rPr>
          <w:spacing w:val="-1"/>
        </w:rPr>
        <w:t>within</w:t>
      </w:r>
      <w:r w:rsidRPr="00B942BD">
        <w:rPr>
          <w:spacing w:val="1"/>
        </w:rPr>
        <w:t xml:space="preserve"> </w:t>
      </w:r>
      <w:r w:rsidRPr="001D18DF">
        <w:rPr>
          <w:spacing w:val="-1"/>
        </w:rPr>
        <w:t>the Head of</w:t>
      </w:r>
      <w:r w:rsidRPr="001D18DF">
        <w:rPr>
          <w:spacing w:val="3"/>
        </w:rPr>
        <w:t xml:space="preserve"> </w:t>
      </w:r>
      <w:r w:rsidRPr="001D18DF">
        <w:rPr>
          <w:spacing w:val="-1"/>
        </w:rPr>
        <w:t>Internal</w:t>
      </w:r>
      <w:r w:rsidRPr="001D18DF">
        <w:t xml:space="preserve"> </w:t>
      </w:r>
      <w:r w:rsidRPr="007F1C5B">
        <w:rPr>
          <w:spacing w:val="-1"/>
        </w:rPr>
        <w:t>Audit</w:t>
      </w:r>
      <w:r w:rsidRPr="007F1C5B">
        <w:rPr>
          <w:spacing w:val="-2"/>
        </w:rPr>
        <w:t xml:space="preserve"> </w:t>
      </w:r>
      <w:r w:rsidRPr="007F1C5B">
        <w:rPr>
          <w:spacing w:val="-1"/>
        </w:rPr>
        <w:t>Opinion section</w:t>
      </w:r>
      <w:r w:rsidRPr="007F1C5B">
        <w:rPr>
          <w:spacing w:val="1"/>
        </w:rPr>
        <w:t xml:space="preserve"> </w:t>
      </w:r>
      <w:r w:rsidRPr="007F1C5B">
        <w:rPr>
          <w:spacing w:val="-1"/>
        </w:rPr>
        <w:t>below,</w:t>
      </w:r>
      <w:r w:rsidRPr="007F1C5B">
        <w:t xml:space="preserve"> </w:t>
      </w:r>
      <w:r w:rsidR="009F5CC1">
        <w:t xml:space="preserve">the </w:t>
      </w:r>
      <w:r w:rsidRPr="00CE44B5">
        <w:rPr>
          <w:spacing w:val="-1"/>
        </w:rPr>
        <w:t>CCG</w:t>
      </w:r>
      <w:r w:rsidRPr="00CE44B5">
        <w:rPr>
          <w:spacing w:val="-2"/>
        </w:rPr>
        <w:t xml:space="preserve"> receive</w:t>
      </w:r>
      <w:r>
        <w:rPr>
          <w:spacing w:val="-2"/>
        </w:rPr>
        <w:t>d</w:t>
      </w:r>
      <w:r w:rsidRPr="00CE44B5">
        <w:rPr>
          <w:spacing w:val="1"/>
        </w:rPr>
        <w:t xml:space="preserve"> </w:t>
      </w:r>
      <w:r>
        <w:rPr>
          <w:spacing w:val="1"/>
        </w:rPr>
        <w:t xml:space="preserve">two </w:t>
      </w:r>
      <w:r w:rsidRPr="00CE44B5">
        <w:rPr>
          <w:spacing w:val="-1"/>
        </w:rPr>
        <w:t>Internal</w:t>
      </w:r>
      <w:r w:rsidRPr="00CE44B5">
        <w:t xml:space="preserve"> </w:t>
      </w:r>
      <w:r w:rsidRPr="00B942BD">
        <w:rPr>
          <w:spacing w:val="-1"/>
        </w:rPr>
        <w:t>Audit</w:t>
      </w:r>
      <w:r w:rsidRPr="00B942BD">
        <w:t xml:space="preserve"> </w:t>
      </w:r>
      <w:r w:rsidRPr="00B942BD">
        <w:rPr>
          <w:spacing w:val="-1"/>
        </w:rPr>
        <w:t>reports</w:t>
      </w:r>
      <w:r w:rsidRPr="00B942BD">
        <w:t xml:space="preserve"> </w:t>
      </w:r>
      <w:r w:rsidRPr="00B942BD">
        <w:rPr>
          <w:spacing w:val="-1"/>
        </w:rPr>
        <w:t>during 202</w:t>
      </w:r>
      <w:r>
        <w:rPr>
          <w:spacing w:val="-1"/>
        </w:rPr>
        <w:t>1</w:t>
      </w:r>
      <w:r w:rsidRPr="00B942BD">
        <w:rPr>
          <w:spacing w:val="-1"/>
        </w:rPr>
        <w:t>/2</w:t>
      </w:r>
      <w:r>
        <w:rPr>
          <w:spacing w:val="-1"/>
        </w:rPr>
        <w:t>2</w:t>
      </w:r>
      <w:r w:rsidRPr="00B942BD">
        <w:rPr>
          <w:spacing w:val="-1"/>
        </w:rPr>
        <w:t xml:space="preserve"> which</w:t>
      </w:r>
      <w:r w:rsidRPr="00B942BD">
        <w:rPr>
          <w:spacing w:val="1"/>
        </w:rPr>
        <w:t xml:space="preserve"> </w:t>
      </w:r>
      <w:r w:rsidRPr="00B942BD">
        <w:rPr>
          <w:spacing w:val="-1"/>
        </w:rPr>
        <w:t>identified</w:t>
      </w:r>
      <w:r w:rsidRPr="00B942BD">
        <w:rPr>
          <w:spacing w:val="1"/>
        </w:rPr>
        <w:t xml:space="preserve"> </w:t>
      </w:r>
      <w:r w:rsidRPr="00B942BD">
        <w:rPr>
          <w:spacing w:val="-1"/>
        </w:rPr>
        <w:t>‘</w:t>
      </w:r>
      <w:r w:rsidRPr="001D18DF">
        <w:rPr>
          <w:spacing w:val="-1"/>
        </w:rPr>
        <w:t>Requires</w:t>
      </w:r>
      <w:r w:rsidRPr="001D18DF">
        <w:t xml:space="preserve"> </w:t>
      </w:r>
      <w:r w:rsidRPr="001D18DF">
        <w:rPr>
          <w:spacing w:val="-1"/>
        </w:rPr>
        <w:t>Improvement’</w:t>
      </w:r>
      <w:r>
        <w:rPr>
          <w:spacing w:val="-1"/>
        </w:rPr>
        <w:t>.  There were no Internal Audit reports which identified</w:t>
      </w:r>
      <w:r w:rsidRPr="00160BB7">
        <w:rPr>
          <w:spacing w:val="-1"/>
        </w:rPr>
        <w:t xml:space="preserve"> ‘Insufficient’</w:t>
      </w:r>
      <w:r>
        <w:rPr>
          <w:spacing w:val="83"/>
        </w:rPr>
        <w:t xml:space="preserve"> </w:t>
      </w:r>
      <w:r w:rsidRPr="00160BB7">
        <w:rPr>
          <w:spacing w:val="-1"/>
        </w:rPr>
        <w:t>assurance</w:t>
      </w:r>
      <w:r>
        <w:rPr>
          <w:spacing w:val="-1"/>
        </w:rPr>
        <w:t xml:space="preserve">.  The Audit Committee will maintain oversight of implementation of all recommendations made. </w:t>
      </w:r>
      <w:r w:rsidRPr="00B942BD">
        <w:rPr>
          <w:spacing w:val="1"/>
        </w:rPr>
        <w:t xml:space="preserve"> </w:t>
      </w:r>
    </w:p>
    <w:p w14:paraId="4A4CF439" w14:textId="41CE5AEF" w:rsidR="00E06CCF" w:rsidRDefault="00E06CCF" w:rsidP="00FF0E5D">
      <w:pPr>
        <w:pStyle w:val="Heading3"/>
      </w:pPr>
      <w:bookmarkStart w:id="185" w:name="_Toc107389477"/>
      <w:r w:rsidRPr="0064211E">
        <w:t>Review of economy, efficiency &amp; effectiveness of the use of resources</w:t>
      </w:r>
      <w:bookmarkEnd w:id="178"/>
      <w:bookmarkEnd w:id="182"/>
      <w:bookmarkEnd w:id="183"/>
      <w:bookmarkEnd w:id="185"/>
    </w:p>
    <w:p w14:paraId="48875AF2" w14:textId="1E819728" w:rsidR="00652433" w:rsidRDefault="00CF16BF" w:rsidP="00652433">
      <w:pPr>
        <w:pStyle w:val="BodyText"/>
        <w:overflowPunct w:val="0"/>
        <w:ind w:right="126"/>
        <w:rPr>
          <w:spacing w:val="-1"/>
        </w:rPr>
      </w:pPr>
      <w:r>
        <w:rPr>
          <w:spacing w:val="-1"/>
        </w:rPr>
        <w:t>Many</w:t>
      </w:r>
      <w:r w:rsidR="00652433">
        <w:rPr>
          <w:spacing w:val="-1"/>
        </w:rPr>
        <w:t xml:space="preserve"> of the amendments made to the financial regime during 2021/22 remained in place during 2022/23 in response to the ongoing challenges of the Covid-19 pandemic. The CCG reported </w:t>
      </w:r>
      <w:r w:rsidR="00652433" w:rsidRPr="0095220B">
        <w:rPr>
          <w:spacing w:val="-1"/>
        </w:rPr>
        <w:t>a breakeven position at</w:t>
      </w:r>
      <w:r w:rsidR="00652433">
        <w:rPr>
          <w:spacing w:val="-1"/>
        </w:rPr>
        <w:t xml:space="preserve"> the end of 2021/22.  </w:t>
      </w:r>
    </w:p>
    <w:p w14:paraId="0BB8C5CB" w14:textId="5732A521" w:rsidR="00652433" w:rsidRDefault="00652433" w:rsidP="00652433">
      <w:pPr>
        <w:pStyle w:val="BodyText"/>
        <w:overflowPunct w:val="0"/>
        <w:ind w:right="126"/>
        <w:rPr>
          <w:spacing w:val="-1"/>
        </w:rPr>
      </w:pPr>
      <w:r>
        <w:rPr>
          <w:spacing w:val="-1"/>
        </w:rPr>
        <w:t xml:space="preserve">The Finance and Performance Committee in Common and the Board have each </w:t>
      </w:r>
      <w:r w:rsidR="00CF16BF">
        <w:rPr>
          <w:spacing w:val="-1"/>
        </w:rPr>
        <w:t>after</w:t>
      </w:r>
      <w:r>
        <w:rPr>
          <w:spacing w:val="-1"/>
        </w:rPr>
        <w:t xml:space="preserve"> regular financial reporting and had the opportunity for detailed review of the CCG’s position.</w:t>
      </w:r>
    </w:p>
    <w:p w14:paraId="4A88A1FC" w14:textId="77777777" w:rsidR="00652433" w:rsidRDefault="00652433" w:rsidP="00652433">
      <w:pPr>
        <w:pStyle w:val="BodyText"/>
        <w:overflowPunct w:val="0"/>
        <w:ind w:right="126"/>
        <w:rPr>
          <w:spacing w:val="-1"/>
        </w:rPr>
      </w:pPr>
      <w:r>
        <w:rPr>
          <w:spacing w:val="-1"/>
        </w:rPr>
        <w:t>The Finance and Performance Committee in Common has continued to monitor the CCG’s procurement and planning arrangements in order to ensure value for money from commissioned services.</w:t>
      </w:r>
    </w:p>
    <w:p w14:paraId="76BB24F3" w14:textId="77777777" w:rsidR="00652433" w:rsidRDefault="00652433" w:rsidP="00652433">
      <w:pPr>
        <w:pStyle w:val="BodyText"/>
        <w:overflowPunct w:val="0"/>
        <w:ind w:right="126"/>
        <w:rPr>
          <w:spacing w:val="-1"/>
        </w:rPr>
      </w:pPr>
      <w:r>
        <w:rPr>
          <w:spacing w:val="-1"/>
        </w:rPr>
        <w:t xml:space="preserve">The CCG’s 2021/22 running (management) costs </w:t>
      </w:r>
      <w:r w:rsidRPr="0095220B">
        <w:rPr>
          <w:spacing w:val="-1"/>
        </w:rPr>
        <w:t>were within the running cost allocation.</w:t>
      </w:r>
    </w:p>
    <w:p w14:paraId="04856768" w14:textId="14E64229" w:rsidR="00652433" w:rsidRDefault="00652433" w:rsidP="00652433">
      <w:pPr>
        <w:pStyle w:val="BodyText"/>
        <w:overflowPunct w:val="0"/>
        <w:ind w:right="126"/>
        <w:rPr>
          <w:spacing w:val="-1"/>
        </w:rPr>
      </w:pPr>
      <w:r>
        <w:rPr>
          <w:spacing w:val="-1"/>
        </w:rPr>
        <w:t xml:space="preserve">The Internal Auditor has reviewed the CCG’s financial systems and processes, including the arrangements for financial reporting and confirmed that the CCG has </w:t>
      </w:r>
      <w:r w:rsidR="0016765D">
        <w:rPr>
          <w:spacing w:val="-1"/>
        </w:rPr>
        <w:t xml:space="preserve">substantial </w:t>
      </w:r>
      <w:r>
        <w:rPr>
          <w:spacing w:val="-1"/>
        </w:rPr>
        <w:t xml:space="preserve">arrangements in place. The external auditor’s comments on our arrangements for securing economy, efficiency and effectiveness in use of resources in 2021/22 are included in their report immediately preceding the </w:t>
      </w:r>
      <w:r w:rsidRPr="0095220B">
        <w:rPr>
          <w:spacing w:val="-1"/>
        </w:rPr>
        <w:t xml:space="preserve">Annual Accounts </w:t>
      </w:r>
      <w:r w:rsidRPr="00CF16BF">
        <w:rPr>
          <w:spacing w:val="-1"/>
        </w:rPr>
        <w:t xml:space="preserve">(see page </w:t>
      </w:r>
      <w:r w:rsidR="00CF16BF">
        <w:rPr>
          <w:spacing w:val="-1"/>
        </w:rPr>
        <w:t>11</w:t>
      </w:r>
      <w:r w:rsidR="00C84D27">
        <w:rPr>
          <w:spacing w:val="-1"/>
        </w:rPr>
        <w:t>8</w:t>
      </w:r>
      <w:r w:rsidRPr="00CF16BF">
        <w:rPr>
          <w:spacing w:val="-1"/>
        </w:rPr>
        <w:t>).</w:t>
      </w:r>
    </w:p>
    <w:p w14:paraId="54B4CC46" w14:textId="54BB2B53" w:rsidR="00E06CCF" w:rsidRPr="00E06CCF" w:rsidRDefault="00E06CCF" w:rsidP="00FF0E5D">
      <w:pPr>
        <w:pStyle w:val="Heading3"/>
        <w:rPr>
          <w:lang w:eastAsia="en-GB"/>
        </w:rPr>
      </w:pPr>
      <w:bookmarkStart w:id="186" w:name="_Toc94188208"/>
      <w:bookmarkStart w:id="187" w:name="_Toc97218359"/>
      <w:bookmarkStart w:id="188" w:name="_Toc107389478"/>
      <w:r w:rsidRPr="0064211E">
        <w:rPr>
          <w:lang w:eastAsia="en-GB"/>
        </w:rPr>
        <w:t>Delegation of functions</w:t>
      </w:r>
      <w:bookmarkStart w:id="189" w:name="_Toc437807158"/>
      <w:bookmarkEnd w:id="186"/>
      <w:bookmarkEnd w:id="187"/>
      <w:bookmarkEnd w:id="188"/>
    </w:p>
    <w:p w14:paraId="4DDC82E8" w14:textId="77777777" w:rsidR="0064211E" w:rsidRDefault="0064211E" w:rsidP="0064211E">
      <w:pPr>
        <w:pStyle w:val="BodyText"/>
        <w:kinsoku w:val="0"/>
        <w:overflowPunct w:val="0"/>
        <w:ind w:right="174"/>
        <w:rPr>
          <w:spacing w:val="-1"/>
        </w:rPr>
      </w:pPr>
      <w:bookmarkStart w:id="190" w:name="_Toc94188209"/>
      <w:bookmarkStart w:id="191" w:name="_Toc97218360"/>
      <w:bookmarkEnd w:id="189"/>
      <w:r w:rsidRPr="001304C8">
        <w:rPr>
          <w:spacing w:val="-1"/>
        </w:rPr>
        <w:t xml:space="preserve">Acute services are commissioned by a central Mid and South Essex Acute Commissioning Team, which is hosted </w:t>
      </w:r>
      <w:r w:rsidRPr="00B50D8A">
        <w:rPr>
          <w:spacing w:val="-1"/>
        </w:rPr>
        <w:t>by Mid Essex</w:t>
      </w:r>
      <w:r w:rsidRPr="001304C8">
        <w:rPr>
          <w:spacing w:val="-1"/>
        </w:rPr>
        <w:t xml:space="preserve"> CCG.</w:t>
      </w:r>
    </w:p>
    <w:p w14:paraId="79A306C8" w14:textId="77777777" w:rsidR="0064211E" w:rsidRDefault="0064211E" w:rsidP="0064211E">
      <w:pPr>
        <w:pStyle w:val="BodyText"/>
        <w:kinsoku w:val="0"/>
        <w:overflowPunct w:val="0"/>
        <w:rPr>
          <w:spacing w:val="-1"/>
        </w:rPr>
      </w:pPr>
      <w:r w:rsidRPr="001304C8">
        <w:rPr>
          <w:spacing w:val="-1"/>
        </w:rPr>
        <w:t xml:space="preserve">Acute </w:t>
      </w:r>
      <w:r>
        <w:rPr>
          <w:spacing w:val="-1"/>
        </w:rPr>
        <w:t xml:space="preserve">adults and older adults </w:t>
      </w:r>
      <w:r w:rsidRPr="001304C8">
        <w:rPr>
          <w:spacing w:val="-1"/>
        </w:rPr>
        <w:t>mental health services are commissioned by a central mental health commissioning team hosted for Mid and South Essex by Thurrock CCG. The individual placements team, which commissions placements for individuals with Section 117 after-care rights as well as specialist placements for children and for adults requiring tertiary care, is hosted by North East Essex CCG, which provides this function on a pan-Essex basis.</w:t>
      </w:r>
    </w:p>
    <w:p w14:paraId="324C68FB" w14:textId="21677268" w:rsidR="0064211E" w:rsidRPr="002D2917" w:rsidRDefault="0064211E" w:rsidP="0064211E">
      <w:pPr>
        <w:pStyle w:val="BodyText"/>
        <w:kinsoku w:val="0"/>
        <w:overflowPunct w:val="0"/>
        <w:ind w:right="174"/>
        <w:rPr>
          <w:color w:val="FF0000"/>
          <w:sz w:val="14"/>
          <w:szCs w:val="14"/>
        </w:rPr>
      </w:pPr>
      <w:r w:rsidRPr="00B942BD">
        <w:rPr>
          <w:spacing w:val="-1"/>
        </w:rPr>
        <w:t xml:space="preserve">Early intervention (Tier 2- Local Authority) and Specialist Community Mental Health Services ( Tier 3- CCGs) for Children is known as Southend, Essex and Thurrock Children and Adolescent Mental Health Services (SET CAMHS). This has been procured on a pan-Essex basis with a Commissioning Collaborative Agreement in place for all 10 partner organisations. West Essex CCG is the Host commissioner for this service. Children’s in-patient services continue to be commissioned by NHS England and managed through the establishment of the Provider Collaborative for </w:t>
      </w:r>
      <w:r w:rsidR="00156767" w:rsidRPr="00B942BD">
        <w:rPr>
          <w:spacing w:val="-1"/>
        </w:rPr>
        <w:t>Children’s</w:t>
      </w:r>
      <w:r w:rsidRPr="00B942BD">
        <w:rPr>
          <w:spacing w:val="-1"/>
        </w:rPr>
        <w:t xml:space="preserve"> Mental Health.</w:t>
      </w:r>
    </w:p>
    <w:p w14:paraId="38643954" w14:textId="77777777" w:rsidR="0064211E" w:rsidRPr="00E44337" w:rsidRDefault="0064211E" w:rsidP="0064211E">
      <w:pPr>
        <w:pStyle w:val="BodyText"/>
        <w:kinsoku w:val="0"/>
        <w:overflowPunct w:val="0"/>
        <w:spacing w:before="69"/>
        <w:ind w:right="135"/>
        <w:rPr>
          <w:spacing w:val="-1"/>
        </w:rPr>
      </w:pPr>
      <w:r w:rsidRPr="00B633FC">
        <w:rPr>
          <w:spacing w:val="-1"/>
        </w:rPr>
        <w:t>Learning Disability</w:t>
      </w:r>
      <w:r w:rsidRPr="00B633FC">
        <w:rPr>
          <w:spacing w:val="-2"/>
        </w:rPr>
        <w:t xml:space="preserve"> </w:t>
      </w:r>
      <w:r w:rsidRPr="00B633FC">
        <w:rPr>
          <w:spacing w:val="-1"/>
        </w:rPr>
        <w:t>(LD) services</w:t>
      </w:r>
      <w:r w:rsidRPr="00B633FC">
        <w:t xml:space="preserve"> </w:t>
      </w:r>
      <w:r w:rsidRPr="00B633FC">
        <w:rPr>
          <w:spacing w:val="-1"/>
        </w:rPr>
        <w:t>are</w:t>
      </w:r>
      <w:r w:rsidRPr="00E44337">
        <w:rPr>
          <w:spacing w:val="1"/>
        </w:rPr>
        <w:t xml:space="preserve"> </w:t>
      </w:r>
      <w:r w:rsidRPr="00E44337">
        <w:rPr>
          <w:spacing w:val="-1"/>
        </w:rPr>
        <w:t xml:space="preserve">commissioned </w:t>
      </w:r>
      <w:r w:rsidRPr="00E44337">
        <w:t>by</w:t>
      </w:r>
      <w:r w:rsidRPr="00E44337">
        <w:rPr>
          <w:spacing w:val="-2"/>
        </w:rPr>
        <w:t xml:space="preserve"> </w:t>
      </w:r>
      <w:r w:rsidRPr="00E44337">
        <w:t>Essex</w:t>
      </w:r>
      <w:r w:rsidRPr="00E44337">
        <w:rPr>
          <w:spacing w:val="-2"/>
        </w:rPr>
        <w:t xml:space="preserve"> </w:t>
      </w:r>
      <w:r w:rsidRPr="00E44337">
        <w:rPr>
          <w:spacing w:val="-1"/>
        </w:rPr>
        <w:t>County</w:t>
      </w:r>
      <w:r w:rsidRPr="00E44337">
        <w:rPr>
          <w:spacing w:val="-2"/>
        </w:rPr>
        <w:t xml:space="preserve"> </w:t>
      </w:r>
      <w:r w:rsidRPr="00E44337">
        <w:rPr>
          <w:spacing w:val="-1"/>
        </w:rPr>
        <w:t>Council,</w:t>
      </w:r>
      <w:r w:rsidRPr="00E44337">
        <w:t xml:space="preserve"> </w:t>
      </w:r>
      <w:r w:rsidRPr="00E44337">
        <w:rPr>
          <w:spacing w:val="-1"/>
        </w:rPr>
        <w:t>with</w:t>
      </w:r>
      <w:r w:rsidRPr="00E44337">
        <w:rPr>
          <w:spacing w:val="1"/>
        </w:rPr>
        <w:t xml:space="preserve"> </w:t>
      </w:r>
      <w:r w:rsidRPr="00E44337">
        <w:rPr>
          <w:spacing w:val="-1"/>
        </w:rPr>
        <w:t>Castle Point</w:t>
      </w:r>
      <w:r w:rsidRPr="00B633FC">
        <w:rPr>
          <w:spacing w:val="83"/>
        </w:rPr>
        <w:t xml:space="preserve"> </w:t>
      </w:r>
      <w:r w:rsidRPr="00E44337">
        <w:t>and</w:t>
      </w:r>
      <w:r w:rsidRPr="00E44337">
        <w:rPr>
          <w:spacing w:val="1"/>
        </w:rPr>
        <w:t xml:space="preserve"> </w:t>
      </w:r>
      <w:r w:rsidRPr="00E44337">
        <w:rPr>
          <w:spacing w:val="-1"/>
        </w:rPr>
        <w:t>Rochford</w:t>
      </w:r>
      <w:r w:rsidRPr="00E44337">
        <w:rPr>
          <w:spacing w:val="1"/>
        </w:rPr>
        <w:t xml:space="preserve"> </w:t>
      </w:r>
      <w:r w:rsidRPr="00E44337">
        <w:rPr>
          <w:spacing w:val="-1"/>
        </w:rPr>
        <w:t>and</w:t>
      </w:r>
      <w:r w:rsidRPr="00E44337">
        <w:rPr>
          <w:spacing w:val="1"/>
        </w:rPr>
        <w:t xml:space="preserve"> </w:t>
      </w:r>
      <w:r w:rsidRPr="00E44337">
        <w:rPr>
          <w:spacing w:val="-1"/>
        </w:rPr>
        <w:t>Southend</w:t>
      </w:r>
      <w:r w:rsidRPr="00E44337">
        <w:rPr>
          <w:spacing w:val="1"/>
        </w:rPr>
        <w:t xml:space="preserve"> </w:t>
      </w:r>
      <w:r w:rsidRPr="00E44337">
        <w:rPr>
          <w:spacing w:val="-1"/>
        </w:rPr>
        <w:t>CCGs</w:t>
      </w:r>
      <w:r w:rsidRPr="00E44337">
        <w:t xml:space="preserve"> </w:t>
      </w:r>
      <w:r w:rsidRPr="00E44337">
        <w:rPr>
          <w:spacing w:val="-1"/>
        </w:rPr>
        <w:t>leading on</w:t>
      </w:r>
      <w:r w:rsidRPr="00E44337">
        <w:rPr>
          <w:spacing w:val="1"/>
        </w:rPr>
        <w:t xml:space="preserve"> </w:t>
      </w:r>
      <w:r w:rsidRPr="00E44337">
        <w:rPr>
          <w:spacing w:val="-1"/>
        </w:rPr>
        <w:t>this</w:t>
      </w:r>
      <w:r w:rsidRPr="00E44337">
        <w:rPr>
          <w:spacing w:val="-2"/>
        </w:rPr>
        <w:t xml:space="preserve"> </w:t>
      </w:r>
      <w:r w:rsidRPr="00E44337">
        <w:t>for</w:t>
      </w:r>
      <w:r w:rsidRPr="00E44337">
        <w:rPr>
          <w:spacing w:val="-1"/>
        </w:rPr>
        <w:t xml:space="preserve"> health </w:t>
      </w:r>
      <w:r w:rsidRPr="00E44337">
        <w:t>for</w:t>
      </w:r>
      <w:r w:rsidRPr="00E44337">
        <w:rPr>
          <w:spacing w:val="-1"/>
        </w:rPr>
        <w:t xml:space="preserve"> Mid </w:t>
      </w:r>
      <w:r w:rsidRPr="00E44337">
        <w:t>and</w:t>
      </w:r>
      <w:r w:rsidRPr="00E44337">
        <w:rPr>
          <w:spacing w:val="-1"/>
        </w:rPr>
        <w:t xml:space="preserve"> South Essex.</w:t>
      </w:r>
    </w:p>
    <w:p w14:paraId="05A406E6" w14:textId="77777777" w:rsidR="0064211E" w:rsidRPr="00E44337" w:rsidRDefault="0064211E" w:rsidP="0064211E">
      <w:pPr>
        <w:pStyle w:val="BodyText"/>
        <w:kinsoku w:val="0"/>
        <w:overflowPunct w:val="0"/>
        <w:ind w:right="135"/>
        <w:rPr>
          <w:spacing w:val="-1"/>
        </w:rPr>
      </w:pPr>
      <w:bookmarkStart w:id="192" w:name="_Hlk99635389"/>
      <w:r w:rsidRPr="00E44337">
        <w:t>In</w:t>
      </w:r>
      <w:r w:rsidRPr="00E44337">
        <w:rPr>
          <w:spacing w:val="1"/>
        </w:rPr>
        <w:t xml:space="preserve"> </w:t>
      </w:r>
      <w:r w:rsidRPr="00E44337">
        <w:rPr>
          <w:spacing w:val="-1"/>
        </w:rPr>
        <w:t>common</w:t>
      </w:r>
      <w:r w:rsidRPr="00E44337">
        <w:rPr>
          <w:spacing w:val="37"/>
        </w:rPr>
        <w:t xml:space="preserve"> </w:t>
      </w:r>
      <w:r w:rsidRPr="00E44337">
        <w:rPr>
          <w:spacing w:val="-1"/>
        </w:rPr>
        <w:t>with</w:t>
      </w:r>
      <w:r w:rsidRPr="00E44337">
        <w:rPr>
          <w:spacing w:val="1"/>
        </w:rPr>
        <w:t xml:space="preserve"> </w:t>
      </w:r>
      <w:r w:rsidRPr="00E44337">
        <w:t>other</w:t>
      </w:r>
      <w:r w:rsidRPr="00E44337">
        <w:rPr>
          <w:spacing w:val="-1"/>
        </w:rPr>
        <w:t xml:space="preserve"> CCGs,</w:t>
      </w:r>
      <w:r w:rsidRPr="00E44337">
        <w:t xml:space="preserve"> </w:t>
      </w:r>
      <w:r w:rsidRPr="00E44337">
        <w:rPr>
          <w:spacing w:val="-1"/>
        </w:rPr>
        <w:t xml:space="preserve">the </w:t>
      </w:r>
      <w:r w:rsidRPr="00E44337">
        <w:t xml:space="preserve">Executive </w:t>
      </w:r>
      <w:r w:rsidRPr="00E44337">
        <w:rPr>
          <w:spacing w:val="-1"/>
        </w:rPr>
        <w:t>Director of</w:t>
      </w:r>
      <w:r w:rsidRPr="00E44337">
        <w:rPr>
          <w:spacing w:val="3"/>
        </w:rPr>
        <w:t xml:space="preserve"> </w:t>
      </w:r>
      <w:r w:rsidRPr="00E44337">
        <w:rPr>
          <w:spacing w:val="-1"/>
        </w:rPr>
        <w:t>Nursing and Quality was</w:t>
      </w:r>
      <w:r w:rsidRPr="00E44337">
        <w:t xml:space="preserve"> a</w:t>
      </w:r>
      <w:r w:rsidRPr="00E44337">
        <w:rPr>
          <w:spacing w:val="1"/>
        </w:rPr>
        <w:t xml:space="preserve"> </w:t>
      </w:r>
      <w:r w:rsidRPr="00E44337">
        <w:rPr>
          <w:spacing w:val="-1"/>
        </w:rPr>
        <w:t>member of</w:t>
      </w:r>
      <w:r w:rsidRPr="00E44337">
        <w:t xml:space="preserve"> </w:t>
      </w:r>
      <w:r w:rsidRPr="00E44337">
        <w:rPr>
          <w:spacing w:val="-1"/>
        </w:rPr>
        <w:t>the</w:t>
      </w:r>
      <w:r w:rsidRPr="00E44337">
        <w:rPr>
          <w:spacing w:val="1"/>
        </w:rPr>
        <w:t xml:space="preserve"> </w:t>
      </w:r>
      <w:r w:rsidRPr="00E44337">
        <w:rPr>
          <w:spacing w:val="-1"/>
        </w:rPr>
        <w:t>Quality</w:t>
      </w:r>
      <w:r w:rsidRPr="00E44337">
        <w:rPr>
          <w:spacing w:val="47"/>
        </w:rPr>
        <w:t xml:space="preserve"> </w:t>
      </w:r>
      <w:r w:rsidRPr="00E44337">
        <w:rPr>
          <w:spacing w:val="-1"/>
        </w:rPr>
        <w:t>Surveillance</w:t>
      </w:r>
      <w:r w:rsidRPr="00E44337">
        <w:rPr>
          <w:spacing w:val="1"/>
        </w:rPr>
        <w:t xml:space="preserve"> </w:t>
      </w:r>
      <w:r w:rsidRPr="00E44337">
        <w:rPr>
          <w:spacing w:val="-1"/>
        </w:rPr>
        <w:t>Group which</w:t>
      </w:r>
      <w:r w:rsidRPr="00E44337">
        <w:rPr>
          <w:spacing w:val="1"/>
        </w:rPr>
        <w:t xml:space="preserve"> </w:t>
      </w:r>
      <w:r w:rsidRPr="00E44337">
        <w:rPr>
          <w:spacing w:val="-1"/>
        </w:rPr>
        <w:t>allows</w:t>
      </w:r>
      <w:r w:rsidRPr="00E44337">
        <w:t xml:space="preserve"> </w:t>
      </w:r>
      <w:r w:rsidRPr="00E44337">
        <w:rPr>
          <w:spacing w:val="-1"/>
        </w:rPr>
        <w:t>quality</w:t>
      </w:r>
      <w:r w:rsidRPr="00E44337">
        <w:rPr>
          <w:spacing w:val="-2"/>
        </w:rPr>
        <w:t xml:space="preserve"> </w:t>
      </w:r>
      <w:r w:rsidRPr="00E44337">
        <w:rPr>
          <w:spacing w:val="-1"/>
        </w:rPr>
        <w:t>intelligence</w:t>
      </w:r>
      <w:r w:rsidRPr="00E44337">
        <w:rPr>
          <w:spacing w:val="1"/>
        </w:rPr>
        <w:t xml:space="preserve"> </w:t>
      </w:r>
      <w:r w:rsidRPr="00E44337">
        <w:t>to</w:t>
      </w:r>
      <w:r w:rsidRPr="00E44337">
        <w:rPr>
          <w:spacing w:val="-1"/>
        </w:rPr>
        <w:t xml:space="preserve"> </w:t>
      </w:r>
      <w:r w:rsidRPr="00E44337">
        <w:t>be</w:t>
      </w:r>
      <w:r w:rsidRPr="00E44337">
        <w:rPr>
          <w:spacing w:val="-1"/>
        </w:rPr>
        <w:t xml:space="preserve"> shared</w:t>
      </w:r>
      <w:r w:rsidRPr="00E44337">
        <w:rPr>
          <w:spacing w:val="1"/>
        </w:rPr>
        <w:t xml:space="preserve"> </w:t>
      </w:r>
      <w:r w:rsidRPr="00E44337">
        <w:rPr>
          <w:spacing w:val="-1"/>
        </w:rPr>
        <w:t>across</w:t>
      </w:r>
      <w:r w:rsidRPr="00E44337">
        <w:t xml:space="preserve"> Essex</w:t>
      </w:r>
      <w:r w:rsidRPr="00E44337">
        <w:rPr>
          <w:spacing w:val="-2"/>
        </w:rPr>
        <w:t xml:space="preserve"> </w:t>
      </w:r>
      <w:r w:rsidRPr="00E44337">
        <w:rPr>
          <w:spacing w:val="-1"/>
        </w:rPr>
        <w:t>with</w:t>
      </w:r>
      <w:r w:rsidRPr="00E44337">
        <w:rPr>
          <w:spacing w:val="1"/>
        </w:rPr>
        <w:t xml:space="preserve"> </w:t>
      </w:r>
      <w:r w:rsidRPr="00E44337">
        <w:t>other</w:t>
      </w:r>
      <w:r w:rsidRPr="00E44337">
        <w:rPr>
          <w:spacing w:val="55"/>
        </w:rPr>
        <w:t xml:space="preserve"> </w:t>
      </w:r>
      <w:r w:rsidRPr="00E44337">
        <w:rPr>
          <w:spacing w:val="-1"/>
        </w:rPr>
        <w:t>commissioners</w:t>
      </w:r>
      <w:r w:rsidRPr="00E44337">
        <w:rPr>
          <w:spacing w:val="-2"/>
        </w:rPr>
        <w:t xml:space="preserve"> </w:t>
      </w:r>
      <w:r w:rsidRPr="00E44337">
        <w:rPr>
          <w:spacing w:val="-1"/>
        </w:rPr>
        <w:t>and</w:t>
      </w:r>
      <w:r w:rsidRPr="00E44337">
        <w:rPr>
          <w:spacing w:val="1"/>
        </w:rPr>
        <w:t xml:space="preserve"> </w:t>
      </w:r>
      <w:r w:rsidRPr="00E44337">
        <w:rPr>
          <w:spacing w:val="-1"/>
        </w:rPr>
        <w:t>with</w:t>
      </w:r>
      <w:r w:rsidRPr="00E44337">
        <w:rPr>
          <w:spacing w:val="1"/>
        </w:rPr>
        <w:t xml:space="preserve"> </w:t>
      </w:r>
      <w:r w:rsidRPr="00E44337">
        <w:rPr>
          <w:spacing w:val="-1"/>
        </w:rPr>
        <w:t>the</w:t>
      </w:r>
      <w:r w:rsidRPr="00E44337">
        <w:rPr>
          <w:spacing w:val="1"/>
        </w:rPr>
        <w:t xml:space="preserve"> </w:t>
      </w:r>
      <w:r w:rsidRPr="00E44337">
        <w:rPr>
          <w:spacing w:val="-1"/>
        </w:rPr>
        <w:t>CQC.</w:t>
      </w:r>
    </w:p>
    <w:bookmarkEnd w:id="192"/>
    <w:p w14:paraId="7B8A1C6C" w14:textId="65B7B374" w:rsidR="0064211E" w:rsidRDefault="0064211E" w:rsidP="00C84D27">
      <w:pPr>
        <w:pStyle w:val="BodyText"/>
        <w:kinsoku w:val="0"/>
        <w:overflowPunct w:val="0"/>
        <w:ind w:right="135"/>
        <w:rPr>
          <w:spacing w:val="-1"/>
        </w:rPr>
      </w:pPr>
      <w:r w:rsidRPr="00B633FC">
        <w:rPr>
          <w:spacing w:val="-1"/>
        </w:rPr>
        <w:t>No</w:t>
      </w:r>
      <w:r w:rsidRPr="00B633FC">
        <w:rPr>
          <w:spacing w:val="1"/>
        </w:rPr>
        <w:t xml:space="preserve"> </w:t>
      </w:r>
      <w:r w:rsidRPr="00B633FC">
        <w:rPr>
          <w:spacing w:val="-1"/>
        </w:rPr>
        <w:t>adverse</w:t>
      </w:r>
      <w:r w:rsidRPr="00B633FC">
        <w:rPr>
          <w:spacing w:val="1"/>
        </w:rPr>
        <w:t xml:space="preserve"> </w:t>
      </w:r>
      <w:r w:rsidRPr="00B633FC">
        <w:rPr>
          <w:spacing w:val="-1"/>
        </w:rPr>
        <w:t>information</w:t>
      </w:r>
      <w:r w:rsidRPr="00E44337">
        <w:rPr>
          <w:spacing w:val="1"/>
        </w:rPr>
        <w:t xml:space="preserve"> </w:t>
      </w:r>
      <w:r w:rsidRPr="00E44337">
        <w:t>has</w:t>
      </w:r>
      <w:r w:rsidRPr="00E44337">
        <w:rPr>
          <w:spacing w:val="-2"/>
        </w:rPr>
        <w:t xml:space="preserve"> </w:t>
      </w:r>
      <w:r w:rsidRPr="00E44337">
        <w:rPr>
          <w:spacing w:val="-1"/>
        </w:rPr>
        <w:t>been</w:t>
      </w:r>
      <w:r w:rsidRPr="00E44337">
        <w:rPr>
          <w:spacing w:val="1"/>
        </w:rPr>
        <w:t xml:space="preserve"> </w:t>
      </w:r>
      <w:r w:rsidRPr="00E44337">
        <w:rPr>
          <w:spacing w:val="-1"/>
        </w:rPr>
        <w:t xml:space="preserve">received </w:t>
      </w:r>
      <w:r w:rsidRPr="00E44337">
        <w:t>from</w:t>
      </w:r>
      <w:r w:rsidRPr="00E44337">
        <w:rPr>
          <w:spacing w:val="-1"/>
        </w:rPr>
        <w:t xml:space="preserve"> third</w:t>
      </w:r>
      <w:r w:rsidRPr="00E44337">
        <w:rPr>
          <w:spacing w:val="1"/>
        </w:rPr>
        <w:t xml:space="preserve"> </w:t>
      </w:r>
      <w:r w:rsidRPr="00E44337">
        <w:rPr>
          <w:spacing w:val="-1"/>
        </w:rPr>
        <w:t>party</w:t>
      </w:r>
      <w:r w:rsidRPr="00E44337">
        <w:rPr>
          <w:spacing w:val="-2"/>
        </w:rPr>
        <w:t xml:space="preserve"> </w:t>
      </w:r>
      <w:r w:rsidRPr="00E44337">
        <w:rPr>
          <w:spacing w:val="-1"/>
        </w:rPr>
        <w:t>assurance</w:t>
      </w:r>
      <w:r w:rsidRPr="00E44337">
        <w:rPr>
          <w:spacing w:val="1"/>
        </w:rPr>
        <w:t xml:space="preserve"> </w:t>
      </w:r>
      <w:r w:rsidRPr="00E44337">
        <w:rPr>
          <w:spacing w:val="-1"/>
        </w:rPr>
        <w:t>reports</w:t>
      </w:r>
      <w:r w:rsidRPr="00E44337">
        <w:rPr>
          <w:spacing w:val="-2"/>
        </w:rPr>
        <w:t xml:space="preserve"> </w:t>
      </w:r>
      <w:r w:rsidRPr="00E44337">
        <w:rPr>
          <w:spacing w:val="-1"/>
        </w:rPr>
        <w:t xml:space="preserve">relating </w:t>
      </w:r>
      <w:r w:rsidRPr="00E44337">
        <w:t>to</w:t>
      </w:r>
      <w:r w:rsidRPr="00E44337">
        <w:rPr>
          <w:spacing w:val="-4"/>
        </w:rPr>
        <w:t xml:space="preserve"> </w:t>
      </w:r>
      <w:r w:rsidRPr="00E44337">
        <w:t>West</w:t>
      </w:r>
      <w:r w:rsidRPr="00E44337">
        <w:rPr>
          <w:spacing w:val="65"/>
        </w:rPr>
        <w:t xml:space="preserve"> </w:t>
      </w:r>
      <w:r w:rsidRPr="00E44337">
        <w:rPr>
          <w:spacing w:val="-1"/>
        </w:rPr>
        <w:t>Essex</w:t>
      </w:r>
      <w:r w:rsidRPr="006F7FE0">
        <w:rPr>
          <w:spacing w:val="-1"/>
        </w:rPr>
        <w:t>’</w:t>
      </w:r>
      <w:r w:rsidRPr="00B633FC">
        <w:rPr>
          <w:spacing w:val="-1"/>
        </w:rPr>
        <w:t>s</w:t>
      </w:r>
      <w:r w:rsidRPr="00B633FC">
        <w:t xml:space="preserve"> host </w:t>
      </w:r>
      <w:r w:rsidRPr="00B633FC">
        <w:rPr>
          <w:spacing w:val="-1"/>
        </w:rPr>
        <w:t>commissioner role</w:t>
      </w:r>
      <w:r w:rsidRPr="00B633FC">
        <w:rPr>
          <w:spacing w:val="-4"/>
        </w:rPr>
        <w:t xml:space="preserve"> </w:t>
      </w:r>
      <w:r w:rsidRPr="00B633FC">
        <w:t>for</w:t>
      </w:r>
      <w:r w:rsidRPr="00E44337">
        <w:rPr>
          <w:spacing w:val="-1"/>
        </w:rPr>
        <w:t xml:space="preserve"> EWMHS</w:t>
      </w:r>
      <w:r w:rsidRPr="00E44337">
        <w:rPr>
          <w:spacing w:val="-2"/>
        </w:rPr>
        <w:t xml:space="preserve"> </w:t>
      </w:r>
      <w:r w:rsidRPr="00E44337">
        <w:t>or</w:t>
      </w:r>
      <w:r w:rsidRPr="00E44337">
        <w:rPr>
          <w:spacing w:val="-1"/>
        </w:rPr>
        <w:t xml:space="preserve"> North</w:t>
      </w:r>
      <w:r w:rsidRPr="00E44337">
        <w:rPr>
          <w:spacing w:val="1"/>
        </w:rPr>
        <w:t xml:space="preserve"> </w:t>
      </w:r>
      <w:r w:rsidRPr="00E44337">
        <w:rPr>
          <w:spacing w:val="-1"/>
        </w:rPr>
        <w:t>East</w:t>
      </w:r>
      <w:r w:rsidRPr="00E44337">
        <w:t xml:space="preserve"> </w:t>
      </w:r>
      <w:r w:rsidRPr="00E44337">
        <w:rPr>
          <w:spacing w:val="-1"/>
        </w:rPr>
        <w:t>Essex</w:t>
      </w:r>
      <w:r w:rsidRPr="00E44337">
        <w:rPr>
          <w:spacing w:val="-2"/>
        </w:rPr>
        <w:t xml:space="preserve"> </w:t>
      </w:r>
      <w:r w:rsidRPr="00E44337">
        <w:rPr>
          <w:spacing w:val="-1"/>
        </w:rPr>
        <w:t>CCG</w:t>
      </w:r>
      <w:r w:rsidRPr="006F7FE0">
        <w:rPr>
          <w:spacing w:val="-1"/>
        </w:rPr>
        <w:t>’</w:t>
      </w:r>
      <w:r w:rsidRPr="00B633FC">
        <w:rPr>
          <w:spacing w:val="-1"/>
        </w:rPr>
        <w:t>s</w:t>
      </w:r>
      <w:r w:rsidRPr="00B633FC">
        <w:t xml:space="preserve"> host </w:t>
      </w:r>
      <w:r w:rsidRPr="00B633FC">
        <w:rPr>
          <w:spacing w:val="-1"/>
        </w:rPr>
        <w:t>commissioner role</w:t>
      </w:r>
      <w:r w:rsidR="00C84D27">
        <w:rPr>
          <w:spacing w:val="67"/>
        </w:rPr>
        <w:t xml:space="preserve"> </w:t>
      </w:r>
      <w:r w:rsidRPr="00E44337">
        <w:t>for</w:t>
      </w:r>
      <w:r w:rsidRPr="00E44337">
        <w:rPr>
          <w:spacing w:val="-1"/>
        </w:rPr>
        <w:t xml:space="preserve"> section</w:t>
      </w:r>
      <w:r w:rsidRPr="00E44337">
        <w:rPr>
          <w:spacing w:val="1"/>
        </w:rPr>
        <w:t xml:space="preserve"> </w:t>
      </w:r>
      <w:r w:rsidRPr="00E44337">
        <w:rPr>
          <w:spacing w:val="-1"/>
        </w:rPr>
        <w:t>117</w:t>
      </w:r>
      <w:r w:rsidRPr="00E44337">
        <w:rPr>
          <w:spacing w:val="1"/>
        </w:rPr>
        <w:t xml:space="preserve"> </w:t>
      </w:r>
      <w:r w:rsidRPr="00E44337">
        <w:rPr>
          <w:spacing w:val="-1"/>
        </w:rPr>
        <w:t>services.</w:t>
      </w:r>
    </w:p>
    <w:p w14:paraId="06510BD6" w14:textId="1303C8E1" w:rsidR="00E06CCF" w:rsidRPr="00E06CCF" w:rsidRDefault="00E06CCF" w:rsidP="00FF0E5D">
      <w:pPr>
        <w:pStyle w:val="Heading3"/>
        <w:rPr>
          <w:lang w:eastAsia="en-GB"/>
        </w:rPr>
      </w:pPr>
      <w:bookmarkStart w:id="193" w:name="_Toc107389479"/>
      <w:r w:rsidRPr="0064211E">
        <w:rPr>
          <w:lang w:eastAsia="en-GB"/>
        </w:rPr>
        <w:t>Counter fraud arrangements</w:t>
      </w:r>
      <w:bookmarkEnd w:id="190"/>
      <w:bookmarkEnd w:id="191"/>
      <w:bookmarkEnd w:id="193"/>
    </w:p>
    <w:p w14:paraId="584D01D4" w14:textId="77777777" w:rsidR="0064211E" w:rsidRPr="00160BB7" w:rsidRDefault="0064211E" w:rsidP="0064211E">
      <w:pPr>
        <w:pStyle w:val="BodyText"/>
        <w:kinsoku w:val="0"/>
        <w:overflowPunct w:val="0"/>
        <w:rPr>
          <w:spacing w:val="-1"/>
        </w:rPr>
      </w:pPr>
      <w:bookmarkStart w:id="194" w:name="_Toc437807162"/>
      <w:bookmarkStart w:id="195" w:name="_Toc94188210"/>
      <w:bookmarkStart w:id="196" w:name="_Toc97218361"/>
      <w:r w:rsidRPr="00160BB7">
        <w:rPr>
          <w:spacing w:val="-1"/>
        </w:rPr>
        <w:t>An accredited Local Counter Fraud Specialist (LCFS), who is an employee of the CCG’s internal auditors, is contracted to undertake counter fraud work proportionate to identified risks. The CCG Audit Committee receives an update from the LCFS regarding any counter-fraud initiatives or investigations at each meeting and reports progress and outcomes against each of the Counter Fraud Functional Standards.</w:t>
      </w:r>
    </w:p>
    <w:p w14:paraId="0831E4EA" w14:textId="22F9AFC3" w:rsidR="0064211E" w:rsidRPr="00160BB7" w:rsidRDefault="0064211E" w:rsidP="0064211E">
      <w:pPr>
        <w:pStyle w:val="BodyText"/>
        <w:kinsoku w:val="0"/>
        <w:overflowPunct w:val="0"/>
        <w:rPr>
          <w:spacing w:val="-1"/>
        </w:rPr>
      </w:pPr>
      <w:r w:rsidRPr="00160BB7">
        <w:rPr>
          <w:spacing w:val="-1"/>
        </w:rPr>
        <w:t>There is executive support and direction from the Executive Chief Finance Officer for a proportionate proactive work plan to address identified risks. The Executive Chief Finance Officer is the identified member of the executive team named within the Anti-Fraud, Bribery and Corruption Policy who is proactively and demonstrably responsible for tackling fraud, bribery and corruption.</w:t>
      </w:r>
    </w:p>
    <w:p w14:paraId="72A183C2" w14:textId="77777777" w:rsidR="0064211E" w:rsidRPr="00160BB7" w:rsidRDefault="0064211E" w:rsidP="0064211E">
      <w:pPr>
        <w:pStyle w:val="BodyText"/>
        <w:kinsoku w:val="0"/>
        <w:overflowPunct w:val="0"/>
        <w:rPr>
          <w:spacing w:val="-1"/>
        </w:rPr>
      </w:pPr>
      <w:r w:rsidRPr="00160BB7">
        <w:rPr>
          <w:spacing w:val="-1"/>
        </w:rPr>
        <w:t>The CCG is committed to robustly investigating all reports of fraud, bribery and corruption and will seek to recover lost NHS funds where proportionate and necessary.</w:t>
      </w:r>
    </w:p>
    <w:p w14:paraId="4BD8F021" w14:textId="77777777" w:rsidR="00230356" w:rsidRPr="00160BB7" w:rsidRDefault="00230356" w:rsidP="00230356">
      <w:pPr>
        <w:pStyle w:val="BodyText"/>
        <w:kinsoku w:val="0"/>
        <w:overflowPunct w:val="0"/>
        <w:rPr>
          <w:spacing w:val="-1"/>
        </w:rPr>
      </w:pPr>
      <w:r w:rsidRPr="00230356">
        <w:rPr>
          <w:spacing w:val="-1"/>
        </w:rPr>
        <w:t>At the end of each financial year, the CCG submits a self-assessment to the NHSCFA against the Counter Fraud Functional Standards for Commissioners. The Executive Chief Finance Officer and Chair of the Audit Committee authorise the assessment which is part of the NHS Protect Standards for Commissioners prior to submission. The CCG has achieved a Green rating for the 2021/22 Counter Fraud Functional Standard Return.</w:t>
      </w:r>
    </w:p>
    <w:p w14:paraId="67AFA0F2" w14:textId="5F17682F" w:rsidR="00E06CCF" w:rsidRDefault="00E06CCF" w:rsidP="00BC3673">
      <w:pPr>
        <w:pStyle w:val="Heading3"/>
        <w:spacing w:before="360"/>
      </w:pPr>
      <w:bookmarkStart w:id="197" w:name="_Toc107389480"/>
      <w:r w:rsidRPr="0064211E">
        <w:t>Head of Internal Audit Opinion</w:t>
      </w:r>
      <w:bookmarkEnd w:id="194"/>
      <w:bookmarkEnd w:id="195"/>
      <w:bookmarkEnd w:id="196"/>
      <w:bookmarkEnd w:id="197"/>
    </w:p>
    <w:p w14:paraId="781BF948" w14:textId="77777777" w:rsidR="0064211E" w:rsidRDefault="0064211E" w:rsidP="00BC3673">
      <w:pPr>
        <w:widowControl w:val="0"/>
        <w:kinsoku w:val="0"/>
        <w:overflowPunct w:val="0"/>
        <w:autoSpaceDE w:val="0"/>
        <w:autoSpaceDN w:val="0"/>
        <w:adjustRightInd w:val="0"/>
        <w:spacing w:before="122"/>
        <w:ind w:right="168"/>
        <w:rPr>
          <w:rFonts w:eastAsia="Times New Roman" w:cs="Arial"/>
          <w:szCs w:val="24"/>
          <w:lang w:eastAsia="en-GB"/>
        </w:rPr>
      </w:pPr>
      <w:r w:rsidRPr="0064211E">
        <w:rPr>
          <w:rFonts w:eastAsia="Times New Roman" w:cs="Arial"/>
          <w:szCs w:val="24"/>
          <w:lang w:eastAsia="en-GB"/>
        </w:rPr>
        <w:t xml:space="preserve">Following completion of the planned audit work for the financial year for the clinical commissioning group, the Head of Internal Audit issued an independent and objective opinion on the adequacy and effectiveness of the clinical commissioning group’s system of risk management, governance and internal control. </w:t>
      </w:r>
    </w:p>
    <w:p w14:paraId="5E141F4C" w14:textId="79136523" w:rsidR="0064211E" w:rsidRPr="0064211E" w:rsidRDefault="0064211E" w:rsidP="0064211E">
      <w:pPr>
        <w:widowControl w:val="0"/>
        <w:kinsoku w:val="0"/>
        <w:overflowPunct w:val="0"/>
        <w:autoSpaceDE w:val="0"/>
        <w:autoSpaceDN w:val="0"/>
        <w:adjustRightInd w:val="0"/>
        <w:spacing w:before="122" w:after="0"/>
        <w:ind w:right="168"/>
        <w:rPr>
          <w:rFonts w:eastAsia="Times New Roman" w:cs="Arial"/>
          <w:szCs w:val="24"/>
          <w:lang w:eastAsia="en-GB"/>
        </w:rPr>
      </w:pPr>
      <w:r w:rsidRPr="0064211E">
        <w:rPr>
          <w:rFonts w:eastAsia="Times New Roman" w:cs="Arial"/>
          <w:spacing w:val="-1"/>
          <w:szCs w:val="24"/>
          <w:lang w:eastAsia="en-GB"/>
        </w:rPr>
        <w:t>During 2021/22 Internal</w:t>
      </w:r>
      <w:r w:rsidRPr="0064211E">
        <w:rPr>
          <w:rFonts w:eastAsia="Times New Roman" w:cs="Arial"/>
          <w:szCs w:val="24"/>
          <w:lang w:eastAsia="en-GB"/>
        </w:rPr>
        <w:t xml:space="preserve"> </w:t>
      </w:r>
      <w:r w:rsidRPr="0064211E">
        <w:rPr>
          <w:rFonts w:eastAsia="Times New Roman" w:cs="Arial"/>
          <w:spacing w:val="-1"/>
          <w:szCs w:val="24"/>
          <w:lang w:eastAsia="en-GB"/>
        </w:rPr>
        <w:t>Audit</w:t>
      </w:r>
      <w:r w:rsidRPr="0064211E">
        <w:rPr>
          <w:rFonts w:eastAsia="Times New Roman" w:cs="Arial"/>
          <w:szCs w:val="24"/>
          <w:lang w:eastAsia="en-GB"/>
        </w:rPr>
        <w:t xml:space="preserve"> </w:t>
      </w:r>
      <w:r w:rsidRPr="0064211E">
        <w:rPr>
          <w:rFonts w:eastAsia="Times New Roman" w:cs="Arial"/>
          <w:spacing w:val="-1"/>
          <w:szCs w:val="24"/>
          <w:lang w:eastAsia="en-GB"/>
        </w:rPr>
        <w:t xml:space="preserve">issued </w:t>
      </w:r>
      <w:r w:rsidRPr="0064211E">
        <w:rPr>
          <w:rFonts w:eastAsia="Times New Roman" w:cs="Arial"/>
          <w:szCs w:val="24"/>
          <w:lang w:eastAsia="en-GB"/>
        </w:rPr>
        <w:t>the</w:t>
      </w:r>
      <w:r w:rsidRPr="0064211E">
        <w:rPr>
          <w:rFonts w:eastAsia="Times New Roman" w:cs="Arial"/>
          <w:spacing w:val="-4"/>
          <w:szCs w:val="24"/>
          <w:lang w:eastAsia="en-GB"/>
        </w:rPr>
        <w:t xml:space="preserve"> </w:t>
      </w:r>
      <w:r w:rsidRPr="0064211E">
        <w:rPr>
          <w:rFonts w:eastAsia="Times New Roman" w:cs="Arial"/>
          <w:spacing w:val="-1"/>
          <w:szCs w:val="24"/>
          <w:lang w:eastAsia="en-GB"/>
        </w:rPr>
        <w:t>following audit</w:t>
      </w:r>
      <w:r w:rsidRPr="0064211E">
        <w:rPr>
          <w:rFonts w:eastAsia="Times New Roman" w:cs="Arial"/>
          <w:szCs w:val="24"/>
          <w:lang w:eastAsia="en-GB"/>
        </w:rPr>
        <w:t xml:space="preserve"> </w:t>
      </w:r>
      <w:r w:rsidRPr="0064211E">
        <w:rPr>
          <w:rFonts w:eastAsia="Times New Roman" w:cs="Arial"/>
          <w:spacing w:val="-1"/>
          <w:szCs w:val="24"/>
          <w:lang w:eastAsia="en-GB"/>
        </w:rPr>
        <w:t>reports:</w:t>
      </w:r>
    </w:p>
    <w:p w14:paraId="45018758" w14:textId="77777777" w:rsidR="0064211E" w:rsidRPr="0064211E" w:rsidRDefault="0064211E" w:rsidP="0064211E">
      <w:pPr>
        <w:widowControl w:val="0"/>
        <w:kinsoku w:val="0"/>
        <w:overflowPunct w:val="0"/>
        <w:autoSpaceDE w:val="0"/>
        <w:autoSpaceDN w:val="0"/>
        <w:adjustRightInd w:val="0"/>
        <w:spacing w:before="11" w:after="0"/>
        <w:rPr>
          <w:rFonts w:eastAsia="Times New Roman" w:cs="Arial"/>
          <w:szCs w:val="24"/>
          <w:lang w:eastAsia="en-GB"/>
        </w:rPr>
      </w:pPr>
    </w:p>
    <w:tbl>
      <w:tblPr>
        <w:tblStyle w:val="TableGrid13"/>
        <w:tblW w:w="4673" w:type="pct"/>
        <w:tblLayout w:type="fixed"/>
        <w:tblLook w:val="04A0" w:firstRow="1" w:lastRow="0" w:firstColumn="1" w:lastColumn="0" w:noHBand="0" w:noVBand="1"/>
      </w:tblPr>
      <w:tblGrid>
        <w:gridCol w:w="5382"/>
        <w:gridCol w:w="3330"/>
      </w:tblGrid>
      <w:tr w:rsidR="00AC4966" w:rsidRPr="0064211E" w14:paraId="4DC46880" w14:textId="77777777" w:rsidTr="00C021FC">
        <w:trPr>
          <w:trHeight w:val="615"/>
          <w:tblHeader/>
        </w:trPr>
        <w:tc>
          <w:tcPr>
            <w:tcW w:w="3089" w:type="pct"/>
            <w:shd w:val="clear" w:color="auto" w:fill="005EBE"/>
            <w:vAlign w:val="center"/>
            <w:hideMark/>
          </w:tcPr>
          <w:p w14:paraId="1151B25A" w14:textId="77777777" w:rsidR="00AC4966" w:rsidRPr="0064211E" w:rsidRDefault="00AC4966" w:rsidP="003A3592">
            <w:pPr>
              <w:spacing w:before="0" w:after="0"/>
              <w:jc w:val="center"/>
              <w:rPr>
                <w:rFonts w:cs="Arial"/>
                <w:b/>
                <w:color w:val="FFFFFF"/>
                <w:szCs w:val="24"/>
                <w:lang w:eastAsia="en-GB"/>
              </w:rPr>
            </w:pPr>
            <w:r w:rsidRPr="0064211E">
              <w:rPr>
                <w:rFonts w:cs="Arial"/>
                <w:b/>
                <w:color w:val="FFFFFF"/>
                <w:szCs w:val="24"/>
                <w:lang w:eastAsia="en-GB"/>
              </w:rPr>
              <w:t>Assignment</w:t>
            </w:r>
          </w:p>
        </w:tc>
        <w:tc>
          <w:tcPr>
            <w:tcW w:w="1911" w:type="pct"/>
            <w:shd w:val="clear" w:color="auto" w:fill="005EBE"/>
            <w:vAlign w:val="center"/>
          </w:tcPr>
          <w:p w14:paraId="55F25C1B" w14:textId="55329A2E" w:rsidR="00AC4966" w:rsidRPr="0064211E" w:rsidRDefault="00AC4966" w:rsidP="003A3592">
            <w:pPr>
              <w:spacing w:before="0" w:after="0"/>
              <w:jc w:val="center"/>
              <w:rPr>
                <w:rFonts w:cs="Arial"/>
                <w:b/>
                <w:color w:val="FFFFFF"/>
                <w:szCs w:val="24"/>
                <w:lang w:eastAsia="en-GB"/>
              </w:rPr>
            </w:pPr>
            <w:r w:rsidRPr="0064211E">
              <w:rPr>
                <w:rFonts w:cs="Arial"/>
                <w:b/>
                <w:color w:val="FFFFFF"/>
                <w:szCs w:val="24"/>
                <w:lang w:eastAsia="en-GB"/>
              </w:rPr>
              <w:t>Assurance Opinion</w:t>
            </w:r>
          </w:p>
        </w:tc>
      </w:tr>
      <w:tr w:rsidR="0064211E" w:rsidRPr="0064211E" w14:paraId="5BBDCD00" w14:textId="77777777" w:rsidTr="0064211E">
        <w:tc>
          <w:tcPr>
            <w:tcW w:w="3088" w:type="pct"/>
            <w:vAlign w:val="center"/>
          </w:tcPr>
          <w:p w14:paraId="17D56FC5" w14:textId="77777777" w:rsidR="0064211E" w:rsidRPr="0064211E" w:rsidRDefault="0064211E" w:rsidP="0064211E">
            <w:pPr>
              <w:spacing w:before="60" w:after="60"/>
              <w:rPr>
                <w:rFonts w:cs="Arial"/>
                <w:color w:val="000000"/>
                <w:szCs w:val="24"/>
                <w:lang w:eastAsia="en-GB"/>
              </w:rPr>
            </w:pPr>
            <w:r w:rsidRPr="0064211E">
              <w:rPr>
                <w:rFonts w:cs="Arial"/>
                <w:szCs w:val="24"/>
                <w:lang w:eastAsia="en-GB"/>
              </w:rPr>
              <w:t>Cyber Security</w:t>
            </w:r>
          </w:p>
        </w:tc>
        <w:tc>
          <w:tcPr>
            <w:tcW w:w="1912" w:type="pct"/>
            <w:vAlign w:val="center"/>
          </w:tcPr>
          <w:p w14:paraId="722DA271" w14:textId="77777777" w:rsidR="0064211E" w:rsidRPr="0064211E" w:rsidRDefault="0064211E" w:rsidP="0064211E">
            <w:pPr>
              <w:spacing w:before="60" w:after="60"/>
              <w:rPr>
                <w:rFonts w:cs="Arial"/>
                <w:color w:val="000000"/>
                <w:szCs w:val="24"/>
                <w:lang w:eastAsia="en-GB"/>
              </w:rPr>
            </w:pPr>
            <w:r w:rsidRPr="0064211E">
              <w:rPr>
                <w:rFonts w:cs="Arial"/>
                <w:color w:val="000000"/>
                <w:szCs w:val="24"/>
                <w:lang w:eastAsia="en-GB"/>
              </w:rPr>
              <w:t>Requires Improvement</w:t>
            </w:r>
          </w:p>
        </w:tc>
      </w:tr>
      <w:tr w:rsidR="0064211E" w:rsidRPr="0064211E" w14:paraId="65DE05E6" w14:textId="77777777" w:rsidTr="0064211E">
        <w:tc>
          <w:tcPr>
            <w:tcW w:w="3088" w:type="pct"/>
            <w:vAlign w:val="center"/>
          </w:tcPr>
          <w:p w14:paraId="1B6E4DE5" w14:textId="77777777" w:rsidR="0064211E" w:rsidRPr="0064211E" w:rsidRDefault="0064211E" w:rsidP="0064211E">
            <w:pPr>
              <w:spacing w:before="60" w:after="60"/>
              <w:rPr>
                <w:rFonts w:cs="Arial"/>
                <w:szCs w:val="24"/>
                <w:lang w:eastAsia="en-GB"/>
              </w:rPr>
            </w:pPr>
            <w:r w:rsidRPr="0064211E">
              <w:rPr>
                <w:rFonts w:cs="Arial"/>
                <w:color w:val="000000"/>
                <w:szCs w:val="24"/>
                <w:lang w:eastAsia="en-GB"/>
              </w:rPr>
              <w:t>Data Security and Protection Toolkit pt1</w:t>
            </w:r>
          </w:p>
        </w:tc>
        <w:tc>
          <w:tcPr>
            <w:tcW w:w="1912" w:type="pct"/>
            <w:vAlign w:val="center"/>
          </w:tcPr>
          <w:p w14:paraId="71AF1C4F" w14:textId="77777777" w:rsidR="0064211E" w:rsidRPr="0064211E" w:rsidRDefault="0064211E" w:rsidP="0064211E">
            <w:pPr>
              <w:spacing w:before="60" w:after="60"/>
              <w:rPr>
                <w:rFonts w:cs="Arial"/>
                <w:color w:val="000000"/>
                <w:szCs w:val="24"/>
                <w:lang w:eastAsia="en-GB"/>
              </w:rPr>
            </w:pPr>
            <w:r w:rsidRPr="0064211E">
              <w:rPr>
                <w:rFonts w:cs="Arial"/>
                <w:color w:val="000000"/>
                <w:szCs w:val="24"/>
                <w:lang w:eastAsia="en-GB"/>
              </w:rPr>
              <w:t>Reasonable</w:t>
            </w:r>
          </w:p>
        </w:tc>
      </w:tr>
      <w:tr w:rsidR="0064211E" w:rsidRPr="0064211E" w14:paraId="705FB41C" w14:textId="77777777" w:rsidTr="0064211E">
        <w:tc>
          <w:tcPr>
            <w:tcW w:w="3088" w:type="pct"/>
            <w:vAlign w:val="center"/>
          </w:tcPr>
          <w:p w14:paraId="1195247F" w14:textId="513C9AB0" w:rsidR="0064211E" w:rsidRPr="0064211E" w:rsidRDefault="0064211E" w:rsidP="0064211E">
            <w:pPr>
              <w:spacing w:before="60" w:after="60"/>
              <w:rPr>
                <w:rFonts w:cs="Arial"/>
                <w:color w:val="000000"/>
                <w:szCs w:val="24"/>
                <w:lang w:eastAsia="en-GB"/>
              </w:rPr>
            </w:pPr>
            <w:r w:rsidRPr="0064211E">
              <w:rPr>
                <w:rFonts w:cs="Arial"/>
                <w:szCs w:val="24"/>
                <w:lang w:eastAsia="en-GB"/>
              </w:rPr>
              <w:t>Personal Health Budgets</w:t>
            </w:r>
            <w:r w:rsidR="000C304A">
              <w:rPr>
                <w:rFonts w:cs="Arial"/>
                <w:szCs w:val="24"/>
                <w:lang w:eastAsia="en-GB"/>
              </w:rPr>
              <w:t xml:space="preserve"> (PHB)</w:t>
            </w:r>
          </w:p>
        </w:tc>
        <w:tc>
          <w:tcPr>
            <w:tcW w:w="1912" w:type="pct"/>
            <w:vAlign w:val="center"/>
          </w:tcPr>
          <w:p w14:paraId="21A5CABF" w14:textId="77777777" w:rsidR="0064211E" w:rsidRPr="0064211E" w:rsidRDefault="0064211E" w:rsidP="0064211E">
            <w:pPr>
              <w:spacing w:before="60" w:after="60"/>
              <w:rPr>
                <w:rFonts w:cs="Arial"/>
                <w:color w:val="000000"/>
                <w:szCs w:val="24"/>
                <w:lang w:eastAsia="en-GB"/>
              </w:rPr>
            </w:pPr>
            <w:r w:rsidRPr="0064211E">
              <w:rPr>
                <w:rFonts w:cs="Arial"/>
                <w:color w:val="000000"/>
                <w:szCs w:val="24"/>
                <w:lang w:eastAsia="en-GB"/>
              </w:rPr>
              <w:t>Requires Improvement</w:t>
            </w:r>
          </w:p>
        </w:tc>
      </w:tr>
      <w:tr w:rsidR="0064211E" w:rsidRPr="0064211E" w14:paraId="1A8449E4" w14:textId="77777777" w:rsidTr="0064211E">
        <w:tc>
          <w:tcPr>
            <w:tcW w:w="3088" w:type="pct"/>
            <w:vAlign w:val="center"/>
          </w:tcPr>
          <w:p w14:paraId="228D9541" w14:textId="77777777" w:rsidR="0064211E" w:rsidRPr="0064211E" w:rsidRDefault="0064211E" w:rsidP="0064211E">
            <w:pPr>
              <w:spacing w:before="60" w:after="60"/>
              <w:rPr>
                <w:rFonts w:cs="Arial"/>
                <w:szCs w:val="24"/>
                <w:lang w:eastAsia="en-GB"/>
              </w:rPr>
            </w:pPr>
            <w:r w:rsidRPr="0064211E">
              <w:rPr>
                <w:rFonts w:cs="Arial"/>
                <w:szCs w:val="24"/>
                <w:lang w:eastAsia="en-GB"/>
              </w:rPr>
              <w:t>Key Financial Systems</w:t>
            </w:r>
          </w:p>
        </w:tc>
        <w:tc>
          <w:tcPr>
            <w:tcW w:w="1912" w:type="pct"/>
            <w:vAlign w:val="center"/>
          </w:tcPr>
          <w:p w14:paraId="2CA3947D" w14:textId="77777777" w:rsidR="0064211E" w:rsidRPr="0064211E" w:rsidRDefault="0064211E" w:rsidP="0064211E">
            <w:pPr>
              <w:spacing w:before="60" w:after="60"/>
              <w:rPr>
                <w:rFonts w:cs="Arial"/>
                <w:color w:val="000000"/>
                <w:szCs w:val="24"/>
                <w:lang w:eastAsia="en-GB"/>
              </w:rPr>
            </w:pPr>
            <w:r w:rsidRPr="0064211E">
              <w:rPr>
                <w:rFonts w:cs="Arial"/>
                <w:color w:val="000000"/>
                <w:szCs w:val="24"/>
                <w:lang w:eastAsia="en-GB"/>
              </w:rPr>
              <w:t>Substantial</w:t>
            </w:r>
          </w:p>
        </w:tc>
      </w:tr>
      <w:tr w:rsidR="0064211E" w:rsidRPr="0064211E" w14:paraId="2C20C049" w14:textId="77777777" w:rsidTr="0064211E">
        <w:tc>
          <w:tcPr>
            <w:tcW w:w="3088" w:type="pct"/>
            <w:vAlign w:val="center"/>
          </w:tcPr>
          <w:p w14:paraId="6013786F" w14:textId="77777777" w:rsidR="0064211E" w:rsidRPr="0064211E" w:rsidRDefault="0064211E" w:rsidP="0064211E">
            <w:pPr>
              <w:spacing w:before="60" w:after="60"/>
              <w:rPr>
                <w:rFonts w:cs="Arial"/>
                <w:szCs w:val="24"/>
                <w:lang w:eastAsia="en-GB"/>
              </w:rPr>
            </w:pPr>
            <w:r w:rsidRPr="0064211E">
              <w:rPr>
                <w:rFonts w:cs="Arial"/>
                <w:szCs w:val="24"/>
                <w:lang w:eastAsia="en-GB"/>
              </w:rPr>
              <w:t>Primary Care Governance</w:t>
            </w:r>
          </w:p>
        </w:tc>
        <w:tc>
          <w:tcPr>
            <w:tcW w:w="1912" w:type="pct"/>
            <w:vAlign w:val="center"/>
          </w:tcPr>
          <w:p w14:paraId="66001489" w14:textId="77777777" w:rsidR="0064211E" w:rsidRPr="0064211E" w:rsidRDefault="0064211E" w:rsidP="0064211E">
            <w:pPr>
              <w:spacing w:before="60" w:after="60"/>
              <w:rPr>
                <w:rFonts w:cs="Arial"/>
                <w:color w:val="000000"/>
                <w:szCs w:val="24"/>
                <w:lang w:eastAsia="en-GB"/>
              </w:rPr>
            </w:pPr>
            <w:r w:rsidRPr="0064211E">
              <w:rPr>
                <w:rFonts w:cs="Arial"/>
                <w:color w:val="000000"/>
                <w:szCs w:val="24"/>
                <w:lang w:eastAsia="en-GB"/>
              </w:rPr>
              <w:t>Reasonable</w:t>
            </w:r>
          </w:p>
        </w:tc>
      </w:tr>
      <w:tr w:rsidR="0064211E" w:rsidRPr="0064211E" w14:paraId="19E5DFE9" w14:textId="77777777" w:rsidTr="0064211E">
        <w:tc>
          <w:tcPr>
            <w:tcW w:w="3088" w:type="pct"/>
            <w:vAlign w:val="center"/>
          </w:tcPr>
          <w:p w14:paraId="7F7D754D" w14:textId="77777777" w:rsidR="0064211E" w:rsidRPr="0064211E" w:rsidRDefault="0064211E" w:rsidP="0064211E">
            <w:pPr>
              <w:spacing w:before="60" w:after="60"/>
              <w:rPr>
                <w:rFonts w:cs="Arial"/>
                <w:szCs w:val="24"/>
                <w:lang w:eastAsia="en-GB"/>
              </w:rPr>
            </w:pPr>
            <w:r w:rsidRPr="0064211E">
              <w:rPr>
                <w:rFonts w:cs="Arial"/>
                <w:szCs w:val="24"/>
                <w:lang w:eastAsia="en-GB"/>
              </w:rPr>
              <w:t xml:space="preserve">Payroll </w:t>
            </w:r>
          </w:p>
        </w:tc>
        <w:tc>
          <w:tcPr>
            <w:tcW w:w="1912" w:type="pct"/>
            <w:vAlign w:val="center"/>
          </w:tcPr>
          <w:p w14:paraId="0B0A0170" w14:textId="77777777" w:rsidR="0064211E" w:rsidRPr="0064211E" w:rsidRDefault="0064211E" w:rsidP="0064211E">
            <w:pPr>
              <w:spacing w:before="60" w:after="60"/>
              <w:rPr>
                <w:rFonts w:cs="Arial"/>
                <w:color w:val="000000"/>
                <w:szCs w:val="24"/>
                <w:lang w:eastAsia="en-GB"/>
              </w:rPr>
            </w:pPr>
            <w:r w:rsidRPr="0064211E">
              <w:rPr>
                <w:rFonts w:cs="Arial"/>
                <w:color w:val="000000"/>
                <w:szCs w:val="24"/>
                <w:lang w:eastAsia="en-GB"/>
              </w:rPr>
              <w:t>Substantial</w:t>
            </w:r>
          </w:p>
        </w:tc>
      </w:tr>
      <w:tr w:rsidR="0064211E" w:rsidRPr="0064211E" w14:paraId="07C57BAC" w14:textId="77777777" w:rsidTr="0064211E">
        <w:tc>
          <w:tcPr>
            <w:tcW w:w="3088" w:type="pct"/>
            <w:vAlign w:val="center"/>
          </w:tcPr>
          <w:p w14:paraId="22CBA64B" w14:textId="77777777" w:rsidR="0064211E" w:rsidRPr="0064211E" w:rsidRDefault="0064211E" w:rsidP="0064211E">
            <w:pPr>
              <w:spacing w:before="60" w:after="60"/>
              <w:rPr>
                <w:rFonts w:eastAsia="MS PGothic" w:cs="Arial"/>
                <w:szCs w:val="24"/>
                <w:lang w:eastAsia="en-GB"/>
              </w:rPr>
            </w:pPr>
            <w:r w:rsidRPr="0064211E">
              <w:rPr>
                <w:rFonts w:cs="Arial"/>
                <w:szCs w:val="24"/>
                <w:lang w:eastAsia="en-GB"/>
              </w:rPr>
              <w:t xml:space="preserve">Adult Safeguarding </w:t>
            </w:r>
          </w:p>
        </w:tc>
        <w:tc>
          <w:tcPr>
            <w:tcW w:w="1912" w:type="pct"/>
            <w:vAlign w:val="center"/>
          </w:tcPr>
          <w:p w14:paraId="79B74B02" w14:textId="77777777" w:rsidR="0064211E" w:rsidRPr="0064211E" w:rsidRDefault="0064211E" w:rsidP="0064211E">
            <w:pPr>
              <w:spacing w:before="60" w:after="60"/>
              <w:rPr>
                <w:rFonts w:cs="Arial"/>
                <w:color w:val="000000"/>
                <w:szCs w:val="24"/>
                <w:lang w:eastAsia="en-GB"/>
              </w:rPr>
            </w:pPr>
            <w:r w:rsidRPr="0064211E">
              <w:rPr>
                <w:rFonts w:cs="Arial"/>
                <w:color w:val="000000"/>
                <w:szCs w:val="24"/>
                <w:lang w:eastAsia="en-GB"/>
              </w:rPr>
              <w:t>Reasonable</w:t>
            </w:r>
          </w:p>
        </w:tc>
      </w:tr>
      <w:tr w:rsidR="0064211E" w:rsidRPr="0064211E" w14:paraId="6061BF07" w14:textId="77777777" w:rsidTr="0064211E">
        <w:tc>
          <w:tcPr>
            <w:tcW w:w="3088" w:type="pct"/>
            <w:vAlign w:val="center"/>
          </w:tcPr>
          <w:p w14:paraId="3E263759" w14:textId="77777777" w:rsidR="0064211E" w:rsidRPr="0064211E" w:rsidRDefault="0064211E" w:rsidP="0064211E">
            <w:pPr>
              <w:spacing w:before="60" w:after="60"/>
              <w:rPr>
                <w:rFonts w:cs="Arial"/>
                <w:szCs w:val="24"/>
                <w:lang w:eastAsia="en-GB"/>
              </w:rPr>
            </w:pPr>
            <w:r w:rsidRPr="0064211E">
              <w:rPr>
                <w:rFonts w:cs="Arial"/>
                <w:color w:val="000000"/>
                <w:szCs w:val="24"/>
                <w:lang w:eastAsia="en-GB"/>
              </w:rPr>
              <w:t>BAF Risk Management and Conflicts of Interest</w:t>
            </w:r>
          </w:p>
        </w:tc>
        <w:tc>
          <w:tcPr>
            <w:tcW w:w="1912" w:type="pct"/>
            <w:vAlign w:val="center"/>
          </w:tcPr>
          <w:p w14:paraId="5B261E35" w14:textId="77777777" w:rsidR="0064211E" w:rsidRPr="0064211E" w:rsidRDefault="0064211E" w:rsidP="0064211E">
            <w:pPr>
              <w:spacing w:before="60" w:after="60"/>
              <w:rPr>
                <w:rFonts w:cs="Arial"/>
                <w:color w:val="000000"/>
                <w:szCs w:val="24"/>
                <w:lang w:eastAsia="en-GB"/>
              </w:rPr>
            </w:pPr>
            <w:r w:rsidRPr="0064211E">
              <w:rPr>
                <w:rFonts w:cs="Arial"/>
                <w:color w:val="000000"/>
                <w:szCs w:val="24"/>
                <w:lang w:eastAsia="en-GB"/>
              </w:rPr>
              <w:t xml:space="preserve">Reasonable </w:t>
            </w:r>
          </w:p>
        </w:tc>
      </w:tr>
      <w:tr w:rsidR="0064211E" w:rsidRPr="0064211E" w14:paraId="06AAB6CA" w14:textId="77777777" w:rsidTr="0064211E">
        <w:tc>
          <w:tcPr>
            <w:tcW w:w="3088" w:type="pct"/>
            <w:vAlign w:val="center"/>
          </w:tcPr>
          <w:p w14:paraId="20EA5F57" w14:textId="5AC6E5BF" w:rsidR="0064211E" w:rsidRPr="0064211E" w:rsidRDefault="007579E4" w:rsidP="0064211E">
            <w:pPr>
              <w:spacing w:before="60" w:after="60"/>
              <w:rPr>
                <w:rFonts w:cs="Arial"/>
                <w:szCs w:val="24"/>
                <w:lang w:eastAsia="en-GB"/>
              </w:rPr>
            </w:pPr>
            <w:r>
              <w:rPr>
                <w:rFonts w:cs="Arial"/>
                <w:szCs w:val="24"/>
                <w:lang w:eastAsia="en-GB"/>
              </w:rPr>
              <w:t>ICS Transition Part 1</w:t>
            </w:r>
            <w:r w:rsidR="0064211E" w:rsidRPr="0064211E">
              <w:rPr>
                <w:rFonts w:cs="Arial"/>
                <w:szCs w:val="24"/>
                <w:lang w:eastAsia="en-GB"/>
              </w:rPr>
              <w:t xml:space="preserve"> </w:t>
            </w:r>
          </w:p>
        </w:tc>
        <w:tc>
          <w:tcPr>
            <w:tcW w:w="1912" w:type="pct"/>
            <w:vAlign w:val="center"/>
          </w:tcPr>
          <w:p w14:paraId="5A584061" w14:textId="557FD437" w:rsidR="0064211E" w:rsidRPr="0064211E" w:rsidRDefault="007579E4" w:rsidP="0064211E">
            <w:pPr>
              <w:spacing w:before="60" w:after="60"/>
              <w:rPr>
                <w:rFonts w:cs="Arial"/>
                <w:color w:val="000000"/>
                <w:szCs w:val="24"/>
                <w:lang w:eastAsia="en-GB"/>
              </w:rPr>
            </w:pPr>
            <w:r>
              <w:rPr>
                <w:rFonts w:cs="Arial"/>
                <w:color w:val="000000"/>
                <w:szCs w:val="24"/>
                <w:lang w:eastAsia="en-GB"/>
              </w:rPr>
              <w:t>Reasonable</w:t>
            </w:r>
          </w:p>
        </w:tc>
      </w:tr>
    </w:tbl>
    <w:p w14:paraId="5E3305EC" w14:textId="77777777" w:rsidR="0064211E" w:rsidRPr="0064211E" w:rsidRDefault="0064211E" w:rsidP="0064211E">
      <w:pPr>
        <w:widowControl w:val="0"/>
        <w:kinsoku w:val="0"/>
        <w:overflowPunct w:val="0"/>
        <w:autoSpaceDE w:val="0"/>
        <w:autoSpaceDN w:val="0"/>
        <w:adjustRightInd w:val="0"/>
        <w:spacing w:before="0" w:after="0"/>
        <w:rPr>
          <w:rFonts w:eastAsia="Times New Roman" w:cs="Arial"/>
          <w:sz w:val="17"/>
          <w:szCs w:val="17"/>
          <w:lang w:eastAsia="en-GB"/>
        </w:rPr>
      </w:pPr>
    </w:p>
    <w:p w14:paraId="03CC7053" w14:textId="7EAE8F7B" w:rsidR="0064211E" w:rsidRDefault="0064211E" w:rsidP="0064211E">
      <w:pPr>
        <w:widowControl w:val="0"/>
        <w:kinsoku w:val="0"/>
        <w:overflowPunct w:val="0"/>
        <w:autoSpaceDE w:val="0"/>
        <w:autoSpaceDN w:val="0"/>
        <w:adjustRightInd w:val="0"/>
        <w:spacing w:before="0" w:after="0"/>
        <w:ind w:right="295"/>
        <w:rPr>
          <w:rFonts w:eastAsia="Times New Roman" w:cs="Arial"/>
          <w:color w:val="1B1B1B"/>
          <w:szCs w:val="24"/>
          <w:lang w:eastAsia="en-GB"/>
        </w:rPr>
      </w:pPr>
      <w:bookmarkStart w:id="198" w:name="_Hlk99439213"/>
      <w:r w:rsidRPr="0064211E">
        <w:rPr>
          <w:rFonts w:eastAsia="Times New Roman" w:cs="Arial"/>
          <w:color w:val="1B1B1B"/>
          <w:szCs w:val="24"/>
          <w:lang w:eastAsia="en-GB"/>
        </w:rPr>
        <w:t xml:space="preserve">The result of the audits on cyber security and Personal Health Budgets (PHBs) was ‘requires improvement’. </w:t>
      </w:r>
    </w:p>
    <w:p w14:paraId="09C354ED" w14:textId="77777777" w:rsidR="00BC3673" w:rsidRDefault="00BC3673" w:rsidP="0064211E">
      <w:pPr>
        <w:widowControl w:val="0"/>
        <w:kinsoku w:val="0"/>
        <w:overflowPunct w:val="0"/>
        <w:autoSpaceDE w:val="0"/>
        <w:autoSpaceDN w:val="0"/>
        <w:adjustRightInd w:val="0"/>
        <w:spacing w:before="0" w:after="0"/>
        <w:ind w:right="295"/>
        <w:rPr>
          <w:rFonts w:eastAsia="Times New Roman" w:cs="Arial"/>
          <w:color w:val="1B1B1B"/>
          <w:szCs w:val="24"/>
          <w:lang w:eastAsia="en-GB"/>
        </w:rPr>
      </w:pPr>
    </w:p>
    <w:p w14:paraId="25BE5AEB" w14:textId="259DC9A9" w:rsidR="0064211E" w:rsidRDefault="0064211E" w:rsidP="0064211E">
      <w:pPr>
        <w:widowControl w:val="0"/>
        <w:kinsoku w:val="0"/>
        <w:overflowPunct w:val="0"/>
        <w:autoSpaceDE w:val="0"/>
        <w:autoSpaceDN w:val="0"/>
        <w:adjustRightInd w:val="0"/>
        <w:spacing w:before="0" w:after="0"/>
        <w:ind w:right="295"/>
        <w:rPr>
          <w:rFonts w:eastAsia="Times New Roman" w:cs="Arial"/>
          <w:color w:val="1B1B1B"/>
          <w:szCs w:val="24"/>
          <w:lang w:eastAsia="en-GB"/>
        </w:rPr>
      </w:pPr>
      <w:r w:rsidRPr="0064211E">
        <w:rPr>
          <w:rFonts w:eastAsia="Times New Roman" w:cs="Arial"/>
          <w:color w:val="1B1B1B"/>
          <w:szCs w:val="24"/>
          <w:lang w:eastAsia="en-GB"/>
        </w:rPr>
        <w:t xml:space="preserve">In relation to cyber security, there were 10 ‘high’ priority recommendations made. The Primary Care IT and Digital Board and Audit Committee monitored progress on implementation of recommendations made by internal audit.  The MSE CCGs’ Associate Director of IT and Digital attended the Audit Committee on 11 March 2022 to present his comprehensive report on action being taken to address all outstanding recommendations.  As of 31 March 2022, there were 7 high priority agreed management actions to be completed.  </w:t>
      </w:r>
    </w:p>
    <w:p w14:paraId="314E2FC3" w14:textId="77777777" w:rsidR="00BC3673" w:rsidRPr="0064211E" w:rsidRDefault="00BC3673" w:rsidP="0064211E">
      <w:pPr>
        <w:widowControl w:val="0"/>
        <w:kinsoku w:val="0"/>
        <w:overflowPunct w:val="0"/>
        <w:autoSpaceDE w:val="0"/>
        <w:autoSpaceDN w:val="0"/>
        <w:adjustRightInd w:val="0"/>
        <w:spacing w:before="0" w:after="0"/>
        <w:ind w:right="295"/>
        <w:rPr>
          <w:rFonts w:eastAsia="Times New Roman" w:cs="Arial"/>
          <w:color w:val="1B1B1B"/>
          <w:szCs w:val="24"/>
          <w:lang w:eastAsia="en-GB"/>
        </w:rPr>
      </w:pPr>
    </w:p>
    <w:bookmarkEnd w:id="198"/>
    <w:p w14:paraId="12B29DD3" w14:textId="77777777" w:rsidR="0064211E" w:rsidRPr="0064211E" w:rsidRDefault="0064211E" w:rsidP="0064211E">
      <w:pPr>
        <w:widowControl w:val="0"/>
        <w:kinsoku w:val="0"/>
        <w:overflowPunct w:val="0"/>
        <w:autoSpaceDE w:val="0"/>
        <w:autoSpaceDN w:val="0"/>
        <w:adjustRightInd w:val="0"/>
        <w:spacing w:before="0" w:after="0"/>
        <w:ind w:left="102" w:right="295"/>
        <w:rPr>
          <w:rFonts w:eastAsia="Times New Roman" w:cs="Arial"/>
          <w:color w:val="1B1B1B"/>
          <w:szCs w:val="24"/>
          <w:lang w:eastAsia="en-GB"/>
        </w:rPr>
      </w:pPr>
    </w:p>
    <w:p w14:paraId="7136DEB1" w14:textId="77777777" w:rsidR="00BC3673" w:rsidRDefault="00BC3673" w:rsidP="0064211E">
      <w:pPr>
        <w:widowControl w:val="0"/>
        <w:kinsoku w:val="0"/>
        <w:overflowPunct w:val="0"/>
        <w:autoSpaceDE w:val="0"/>
        <w:autoSpaceDN w:val="0"/>
        <w:adjustRightInd w:val="0"/>
        <w:spacing w:before="0" w:after="0"/>
        <w:ind w:right="295"/>
        <w:rPr>
          <w:rFonts w:eastAsia="Times New Roman" w:cs="Arial"/>
          <w:color w:val="1B1B1B"/>
          <w:szCs w:val="24"/>
          <w:lang w:eastAsia="en-GB"/>
        </w:rPr>
      </w:pPr>
    </w:p>
    <w:p w14:paraId="695D60D2" w14:textId="6E16869B" w:rsidR="0064211E" w:rsidRPr="0064211E" w:rsidRDefault="0064211E" w:rsidP="0064211E">
      <w:pPr>
        <w:widowControl w:val="0"/>
        <w:kinsoku w:val="0"/>
        <w:overflowPunct w:val="0"/>
        <w:autoSpaceDE w:val="0"/>
        <w:autoSpaceDN w:val="0"/>
        <w:adjustRightInd w:val="0"/>
        <w:spacing w:before="0" w:after="0"/>
        <w:ind w:right="295"/>
        <w:rPr>
          <w:rFonts w:eastAsia="Times New Roman" w:cs="Arial"/>
          <w:color w:val="1B1B1B"/>
          <w:szCs w:val="24"/>
          <w:lang w:eastAsia="en-GB"/>
        </w:rPr>
      </w:pPr>
      <w:r w:rsidRPr="0064211E">
        <w:rPr>
          <w:rFonts w:eastAsia="Times New Roman" w:cs="Arial"/>
          <w:color w:val="1B1B1B"/>
          <w:szCs w:val="24"/>
          <w:lang w:eastAsia="en-GB"/>
        </w:rPr>
        <w:t xml:space="preserve">In relation to PHBs, there were 3 ‘high’ priority recommendations made in relation to Basildon and Brentwood CCG.   The MSE Programme Lead for Personalised Care (which incorporates PHBs) attended the Audit Committee meeting in common on 15 October 2021 and the Patient Safety and Quality Committee meeting in common on 8 March 2022 to provide an update on implementation of internal audit recommendations.   As of 31 March, 1 high priority management action remained to be completed.    </w:t>
      </w:r>
    </w:p>
    <w:p w14:paraId="3E5848D5" w14:textId="77777777" w:rsidR="0064211E" w:rsidRPr="0064211E" w:rsidRDefault="0064211E" w:rsidP="0064211E">
      <w:pPr>
        <w:widowControl w:val="0"/>
        <w:kinsoku w:val="0"/>
        <w:overflowPunct w:val="0"/>
        <w:autoSpaceDE w:val="0"/>
        <w:autoSpaceDN w:val="0"/>
        <w:adjustRightInd w:val="0"/>
        <w:spacing w:before="0" w:after="0"/>
        <w:ind w:left="102" w:right="295"/>
        <w:rPr>
          <w:rFonts w:eastAsia="Times New Roman" w:cs="Arial"/>
          <w:color w:val="1B1B1B"/>
          <w:szCs w:val="24"/>
          <w:lang w:eastAsia="en-GB"/>
        </w:rPr>
      </w:pPr>
    </w:p>
    <w:p w14:paraId="5BEEE679" w14:textId="610A2C34" w:rsidR="0064211E" w:rsidRDefault="0064211E" w:rsidP="0064211E">
      <w:pPr>
        <w:widowControl w:val="0"/>
        <w:kinsoku w:val="0"/>
        <w:overflowPunct w:val="0"/>
        <w:autoSpaceDE w:val="0"/>
        <w:autoSpaceDN w:val="0"/>
        <w:adjustRightInd w:val="0"/>
        <w:spacing w:before="0" w:after="0"/>
        <w:ind w:right="295"/>
        <w:rPr>
          <w:rFonts w:eastAsia="Times New Roman" w:cs="Arial"/>
          <w:color w:val="1B1B1B"/>
          <w:spacing w:val="-1"/>
          <w:szCs w:val="24"/>
          <w:lang w:eastAsia="en-GB"/>
        </w:rPr>
      </w:pPr>
      <w:r w:rsidRPr="0064211E">
        <w:rPr>
          <w:rFonts w:eastAsia="Times New Roman" w:cs="Arial"/>
          <w:color w:val="1B1B1B"/>
          <w:szCs w:val="24"/>
          <w:lang w:eastAsia="en-GB"/>
        </w:rPr>
        <w:t>Action plans have</w:t>
      </w:r>
      <w:r w:rsidRPr="0064211E">
        <w:rPr>
          <w:rFonts w:eastAsia="Times New Roman" w:cs="Arial"/>
          <w:color w:val="1B1B1B"/>
          <w:spacing w:val="-2"/>
          <w:szCs w:val="24"/>
          <w:lang w:eastAsia="en-GB"/>
        </w:rPr>
        <w:t xml:space="preserve"> </w:t>
      </w:r>
      <w:r w:rsidRPr="0064211E">
        <w:rPr>
          <w:rFonts w:eastAsia="Times New Roman" w:cs="Arial"/>
          <w:color w:val="1B1B1B"/>
          <w:spacing w:val="-1"/>
          <w:szCs w:val="24"/>
          <w:lang w:eastAsia="en-GB"/>
        </w:rPr>
        <w:t>been</w:t>
      </w:r>
      <w:r w:rsidRPr="0064211E">
        <w:rPr>
          <w:rFonts w:eastAsia="Times New Roman" w:cs="Arial"/>
          <w:color w:val="1B1B1B"/>
          <w:spacing w:val="1"/>
          <w:szCs w:val="24"/>
          <w:lang w:eastAsia="en-GB"/>
        </w:rPr>
        <w:t xml:space="preserve"> </w:t>
      </w:r>
      <w:r w:rsidRPr="0064211E">
        <w:rPr>
          <w:rFonts w:eastAsia="Times New Roman" w:cs="Arial"/>
          <w:color w:val="1B1B1B"/>
          <w:spacing w:val="-1"/>
          <w:szCs w:val="24"/>
          <w:lang w:eastAsia="en-GB"/>
        </w:rPr>
        <w:t>established</w:t>
      </w:r>
      <w:r w:rsidRPr="0064211E">
        <w:rPr>
          <w:rFonts w:eastAsia="Times New Roman" w:cs="Arial"/>
          <w:color w:val="1B1B1B"/>
          <w:spacing w:val="1"/>
          <w:szCs w:val="24"/>
          <w:lang w:eastAsia="en-GB"/>
        </w:rPr>
        <w:t xml:space="preserve"> </w:t>
      </w:r>
      <w:r w:rsidRPr="0064211E">
        <w:rPr>
          <w:rFonts w:eastAsia="Times New Roman" w:cs="Arial"/>
          <w:color w:val="1B1B1B"/>
          <w:szCs w:val="24"/>
          <w:lang w:eastAsia="en-GB"/>
        </w:rPr>
        <w:t>to</w:t>
      </w:r>
      <w:r w:rsidRPr="0064211E">
        <w:rPr>
          <w:rFonts w:eastAsia="Times New Roman" w:cs="Arial"/>
          <w:color w:val="1B1B1B"/>
          <w:spacing w:val="-1"/>
          <w:szCs w:val="24"/>
          <w:lang w:eastAsia="en-GB"/>
        </w:rPr>
        <w:t xml:space="preserve"> address all recommendations made in the other internal audit reports.</w:t>
      </w:r>
      <w:r w:rsidRPr="0064211E">
        <w:rPr>
          <w:rFonts w:eastAsia="Times New Roman" w:cs="Arial"/>
          <w:color w:val="1B1B1B"/>
          <w:spacing w:val="-2"/>
          <w:szCs w:val="24"/>
          <w:lang w:eastAsia="en-GB"/>
        </w:rPr>
        <w:t xml:space="preserve"> R</w:t>
      </w:r>
      <w:r w:rsidRPr="0064211E">
        <w:rPr>
          <w:rFonts w:eastAsia="Times New Roman" w:cs="Arial"/>
          <w:color w:val="1B1B1B"/>
          <w:spacing w:val="-1"/>
          <w:szCs w:val="24"/>
          <w:lang w:eastAsia="en-GB"/>
        </w:rPr>
        <w:t xml:space="preserve">egular updates </w:t>
      </w:r>
      <w:r w:rsidRPr="0064211E">
        <w:rPr>
          <w:rFonts w:eastAsia="Times New Roman" w:cs="Arial"/>
          <w:color w:val="1B1B1B"/>
          <w:szCs w:val="24"/>
          <w:lang w:eastAsia="en-GB"/>
        </w:rPr>
        <w:t>on</w:t>
      </w:r>
      <w:r w:rsidRPr="0064211E">
        <w:rPr>
          <w:rFonts w:eastAsia="Times New Roman" w:cs="Arial"/>
          <w:color w:val="1B1B1B"/>
          <w:spacing w:val="-1"/>
          <w:szCs w:val="24"/>
          <w:lang w:eastAsia="en-GB"/>
        </w:rPr>
        <w:t xml:space="preserve"> progress</w:t>
      </w:r>
      <w:bookmarkStart w:id="199" w:name="2.2.7_Review_of_the_effectiveness_of_gov"/>
      <w:bookmarkStart w:id="200" w:name="bookmark42"/>
      <w:bookmarkEnd w:id="199"/>
      <w:bookmarkEnd w:id="200"/>
      <w:r w:rsidRPr="0064211E">
        <w:rPr>
          <w:rFonts w:eastAsia="Times New Roman" w:cs="Arial"/>
          <w:color w:val="1B1B1B"/>
          <w:spacing w:val="-1"/>
          <w:szCs w:val="24"/>
          <w:lang w:eastAsia="en-GB"/>
        </w:rPr>
        <w:t xml:space="preserve"> are submitted to Audit Committee. </w:t>
      </w:r>
    </w:p>
    <w:p w14:paraId="5E4EA320" w14:textId="77777777" w:rsidR="00BC3673" w:rsidRDefault="00BC3673" w:rsidP="0064211E">
      <w:pPr>
        <w:widowControl w:val="0"/>
        <w:kinsoku w:val="0"/>
        <w:overflowPunct w:val="0"/>
        <w:autoSpaceDE w:val="0"/>
        <w:autoSpaceDN w:val="0"/>
        <w:adjustRightInd w:val="0"/>
        <w:spacing w:before="0" w:after="0"/>
        <w:ind w:right="295"/>
        <w:rPr>
          <w:rFonts w:eastAsia="Times New Roman" w:cs="Arial"/>
          <w:color w:val="1B1B1B"/>
          <w:spacing w:val="-1"/>
          <w:szCs w:val="24"/>
          <w:lang w:eastAsia="en-GB"/>
        </w:rPr>
      </w:pPr>
    </w:p>
    <w:p w14:paraId="09BBBFCD" w14:textId="68928E8D" w:rsidR="00E06CCF" w:rsidRPr="00E06CCF" w:rsidRDefault="00E06CCF" w:rsidP="00FF0E5D">
      <w:pPr>
        <w:pStyle w:val="Heading3"/>
      </w:pPr>
      <w:bookmarkStart w:id="201" w:name="_Toc437807159"/>
      <w:bookmarkStart w:id="202" w:name="_Toc94188211"/>
      <w:bookmarkStart w:id="203" w:name="_Toc97218362"/>
      <w:bookmarkStart w:id="204" w:name="_Toc107389481"/>
      <w:r w:rsidRPr="0064211E">
        <w:t>Review of the effectiveness of governance, risk management and internal control</w:t>
      </w:r>
      <w:bookmarkStart w:id="205" w:name="_Toc437807167"/>
      <w:bookmarkEnd w:id="201"/>
      <w:bookmarkEnd w:id="202"/>
      <w:bookmarkEnd w:id="203"/>
      <w:bookmarkEnd w:id="204"/>
    </w:p>
    <w:p w14:paraId="2F7E3858" w14:textId="77777777" w:rsidR="00E06CCF" w:rsidRPr="00F970A6" w:rsidRDefault="00E06CCF" w:rsidP="00E9307F">
      <w:pPr>
        <w:pStyle w:val="BodyText"/>
      </w:pPr>
      <w:r w:rsidRPr="00F970A6">
        <w:t xml:space="preserve">My review of the effectiveness of the system of internal control is informed by the work of the internal auditors, executive managers and clinical leads within the clinical commissioning group who have responsibility for the development and maintenance of the internal control framework. I have drawn on performance information available to me. My review is also informed by comments made by the external auditors in their annual audit letter and other reports. </w:t>
      </w:r>
    </w:p>
    <w:p w14:paraId="18445706" w14:textId="77777777" w:rsidR="00E06CCF" w:rsidRPr="00F970A6" w:rsidRDefault="00E06CCF" w:rsidP="00E9307F">
      <w:pPr>
        <w:pStyle w:val="BodyText"/>
      </w:pPr>
      <w:r w:rsidRPr="00F970A6">
        <w:t xml:space="preserve">Our assurance framework provides me with evidence that the effectiveness of controls that manage risks to the clinical commissioning group achieving its principles objectives have been reviewed. </w:t>
      </w:r>
    </w:p>
    <w:p w14:paraId="032A5874" w14:textId="77777777" w:rsidR="0064211E" w:rsidRDefault="0064211E" w:rsidP="0064211E">
      <w:pPr>
        <w:pStyle w:val="BodyText"/>
        <w:kinsoku w:val="0"/>
        <w:overflowPunct w:val="0"/>
        <w:spacing w:before="69"/>
      </w:pPr>
      <w:bookmarkStart w:id="206" w:name="_Toc94188212"/>
      <w:bookmarkStart w:id="207" w:name="_Toc97218363"/>
      <w:r>
        <w:t xml:space="preserve">I </w:t>
      </w:r>
      <w:r>
        <w:rPr>
          <w:spacing w:val="-1"/>
        </w:rPr>
        <w:t>have</w:t>
      </w:r>
      <w:r>
        <w:rPr>
          <w:spacing w:val="1"/>
        </w:rPr>
        <w:t xml:space="preserve"> </w:t>
      </w:r>
      <w:r>
        <w:rPr>
          <w:spacing w:val="-1"/>
        </w:rPr>
        <w:t>been advised</w:t>
      </w:r>
      <w:r>
        <w:rPr>
          <w:spacing w:val="1"/>
        </w:rPr>
        <w:t xml:space="preserve"> </w:t>
      </w:r>
      <w:r>
        <w:rPr>
          <w:spacing w:val="-1"/>
        </w:rPr>
        <w:t>on</w:t>
      </w:r>
      <w:r>
        <w:rPr>
          <w:spacing w:val="1"/>
        </w:rPr>
        <w:t xml:space="preserve"> </w:t>
      </w:r>
      <w:r>
        <w:rPr>
          <w:spacing w:val="-1"/>
        </w:rPr>
        <w:t>the</w:t>
      </w:r>
      <w:r>
        <w:rPr>
          <w:spacing w:val="1"/>
        </w:rPr>
        <w:t xml:space="preserve"> </w:t>
      </w:r>
      <w:r>
        <w:rPr>
          <w:spacing w:val="-1"/>
        </w:rPr>
        <w:t>implications</w:t>
      </w:r>
      <w:r>
        <w:rPr>
          <w:spacing w:val="-2"/>
        </w:rPr>
        <w:t xml:space="preserve"> </w:t>
      </w:r>
      <w:r>
        <w:rPr>
          <w:spacing w:val="-1"/>
        </w:rPr>
        <w:t>of</w:t>
      </w:r>
      <w:r>
        <w:t xml:space="preserve"> </w:t>
      </w:r>
      <w:r>
        <w:rPr>
          <w:spacing w:val="-1"/>
        </w:rPr>
        <w:t>the</w:t>
      </w:r>
      <w:r>
        <w:rPr>
          <w:spacing w:val="1"/>
        </w:rPr>
        <w:t xml:space="preserve"> </w:t>
      </w:r>
      <w:r>
        <w:rPr>
          <w:spacing w:val="-1"/>
        </w:rPr>
        <w:t>result</w:t>
      </w:r>
      <w:r>
        <w:rPr>
          <w:spacing w:val="-2"/>
        </w:rPr>
        <w:t xml:space="preserve"> </w:t>
      </w:r>
      <w:r>
        <w:rPr>
          <w:spacing w:val="-1"/>
        </w:rPr>
        <w:t>of</w:t>
      </w:r>
      <w:r>
        <w:rPr>
          <w:spacing w:val="3"/>
        </w:rPr>
        <w:t xml:space="preserve"> </w:t>
      </w:r>
      <w:r>
        <w:rPr>
          <w:spacing w:val="-1"/>
        </w:rPr>
        <w:t>this</w:t>
      </w:r>
      <w:r>
        <w:t xml:space="preserve"> </w:t>
      </w:r>
      <w:r>
        <w:rPr>
          <w:spacing w:val="-1"/>
        </w:rPr>
        <w:t>review</w:t>
      </w:r>
      <w:r>
        <w:rPr>
          <w:spacing w:val="-3"/>
        </w:rPr>
        <w:t xml:space="preserve"> </w:t>
      </w:r>
      <w:r>
        <w:t>by:</w:t>
      </w:r>
    </w:p>
    <w:p w14:paraId="55474279" w14:textId="77777777" w:rsidR="0064211E" w:rsidRDefault="0064211E" w:rsidP="000D3041">
      <w:pPr>
        <w:pStyle w:val="BodyText"/>
        <w:widowControl w:val="0"/>
        <w:numPr>
          <w:ilvl w:val="0"/>
          <w:numId w:val="21"/>
        </w:numPr>
        <w:tabs>
          <w:tab w:val="left" w:pos="820"/>
        </w:tabs>
        <w:kinsoku w:val="0"/>
        <w:overflowPunct w:val="0"/>
        <w:autoSpaceDE w:val="0"/>
        <w:autoSpaceDN w:val="0"/>
        <w:adjustRightInd w:val="0"/>
        <w:spacing w:before="0" w:after="0"/>
        <w:rPr>
          <w:spacing w:val="-1"/>
        </w:rPr>
      </w:pPr>
      <w:r>
        <w:t>The</w:t>
      </w:r>
      <w:r>
        <w:rPr>
          <w:spacing w:val="1"/>
        </w:rPr>
        <w:t xml:space="preserve"> </w:t>
      </w:r>
      <w:r>
        <w:rPr>
          <w:spacing w:val="-1"/>
        </w:rPr>
        <w:t>Board</w:t>
      </w:r>
    </w:p>
    <w:p w14:paraId="29CE0EAA" w14:textId="77777777" w:rsidR="0064211E" w:rsidRDefault="0064211E" w:rsidP="000D3041">
      <w:pPr>
        <w:pStyle w:val="BodyText"/>
        <w:widowControl w:val="0"/>
        <w:numPr>
          <w:ilvl w:val="0"/>
          <w:numId w:val="21"/>
        </w:numPr>
        <w:tabs>
          <w:tab w:val="left" w:pos="820"/>
        </w:tabs>
        <w:kinsoku w:val="0"/>
        <w:overflowPunct w:val="0"/>
        <w:autoSpaceDE w:val="0"/>
        <w:autoSpaceDN w:val="0"/>
        <w:adjustRightInd w:val="0"/>
        <w:spacing w:before="118" w:after="0"/>
        <w:rPr>
          <w:spacing w:val="-1"/>
        </w:rPr>
      </w:pPr>
      <w:r>
        <w:rPr>
          <w:spacing w:val="-1"/>
        </w:rPr>
        <w:t>Audit</w:t>
      </w:r>
      <w:r>
        <w:t xml:space="preserve"> </w:t>
      </w:r>
      <w:r>
        <w:rPr>
          <w:spacing w:val="-1"/>
        </w:rPr>
        <w:t>Committee</w:t>
      </w:r>
    </w:p>
    <w:p w14:paraId="61155DD5" w14:textId="77777777" w:rsidR="0064211E" w:rsidRDefault="0064211E" w:rsidP="000D3041">
      <w:pPr>
        <w:pStyle w:val="BodyText"/>
        <w:widowControl w:val="0"/>
        <w:numPr>
          <w:ilvl w:val="0"/>
          <w:numId w:val="21"/>
        </w:numPr>
        <w:tabs>
          <w:tab w:val="left" w:pos="820"/>
        </w:tabs>
        <w:kinsoku w:val="0"/>
        <w:overflowPunct w:val="0"/>
        <w:autoSpaceDE w:val="0"/>
        <w:autoSpaceDN w:val="0"/>
        <w:adjustRightInd w:val="0"/>
        <w:spacing w:before="118" w:after="0"/>
        <w:rPr>
          <w:spacing w:val="-1"/>
        </w:rPr>
      </w:pPr>
      <w:r>
        <w:rPr>
          <w:spacing w:val="-1"/>
        </w:rPr>
        <w:t>Remuneration</w:t>
      </w:r>
      <w:r>
        <w:rPr>
          <w:spacing w:val="1"/>
        </w:rPr>
        <w:t xml:space="preserve"> </w:t>
      </w:r>
      <w:r>
        <w:rPr>
          <w:spacing w:val="-1"/>
        </w:rPr>
        <w:t>Committee</w:t>
      </w:r>
    </w:p>
    <w:p w14:paraId="0BBD9890" w14:textId="03AFF5B4" w:rsidR="0064211E" w:rsidRDefault="009F5CC1" w:rsidP="000D3041">
      <w:pPr>
        <w:pStyle w:val="BodyText"/>
        <w:widowControl w:val="0"/>
        <w:numPr>
          <w:ilvl w:val="0"/>
          <w:numId w:val="21"/>
        </w:numPr>
        <w:tabs>
          <w:tab w:val="left" w:pos="820"/>
        </w:tabs>
        <w:kinsoku w:val="0"/>
        <w:overflowPunct w:val="0"/>
        <w:autoSpaceDE w:val="0"/>
        <w:autoSpaceDN w:val="0"/>
        <w:adjustRightInd w:val="0"/>
        <w:spacing w:before="118" w:after="0"/>
        <w:rPr>
          <w:spacing w:val="-1"/>
        </w:rPr>
      </w:pPr>
      <w:r>
        <w:rPr>
          <w:spacing w:val="-1"/>
        </w:rPr>
        <w:t xml:space="preserve">Patient Safety and </w:t>
      </w:r>
      <w:r w:rsidR="0064211E">
        <w:rPr>
          <w:spacing w:val="-1"/>
        </w:rPr>
        <w:t>Quality</w:t>
      </w:r>
      <w:r w:rsidR="0064211E">
        <w:rPr>
          <w:spacing w:val="-2"/>
        </w:rPr>
        <w:t xml:space="preserve"> </w:t>
      </w:r>
      <w:r w:rsidR="0064211E">
        <w:rPr>
          <w:spacing w:val="-1"/>
        </w:rPr>
        <w:t>Committee</w:t>
      </w:r>
    </w:p>
    <w:p w14:paraId="03927A2C" w14:textId="77777777" w:rsidR="0064211E" w:rsidRDefault="0064211E" w:rsidP="000D3041">
      <w:pPr>
        <w:pStyle w:val="BodyText"/>
        <w:widowControl w:val="0"/>
        <w:numPr>
          <w:ilvl w:val="0"/>
          <w:numId w:val="21"/>
        </w:numPr>
        <w:tabs>
          <w:tab w:val="left" w:pos="820"/>
        </w:tabs>
        <w:kinsoku w:val="0"/>
        <w:overflowPunct w:val="0"/>
        <w:autoSpaceDE w:val="0"/>
        <w:autoSpaceDN w:val="0"/>
        <w:adjustRightInd w:val="0"/>
        <w:spacing w:before="116" w:after="0"/>
        <w:rPr>
          <w:spacing w:val="-1"/>
        </w:rPr>
      </w:pPr>
      <w:r>
        <w:rPr>
          <w:spacing w:val="-1"/>
        </w:rPr>
        <w:t>Finance and</w:t>
      </w:r>
      <w:r>
        <w:rPr>
          <w:spacing w:val="1"/>
        </w:rPr>
        <w:t xml:space="preserve"> </w:t>
      </w:r>
      <w:r>
        <w:rPr>
          <w:spacing w:val="-1"/>
        </w:rPr>
        <w:t>Performance</w:t>
      </w:r>
      <w:r>
        <w:rPr>
          <w:spacing w:val="1"/>
        </w:rPr>
        <w:t xml:space="preserve"> </w:t>
      </w:r>
      <w:r>
        <w:rPr>
          <w:spacing w:val="-1"/>
        </w:rPr>
        <w:t>Committee</w:t>
      </w:r>
    </w:p>
    <w:p w14:paraId="2565A3C2" w14:textId="77777777" w:rsidR="0064211E" w:rsidRPr="00396ABC" w:rsidRDefault="0064211E" w:rsidP="000D3041">
      <w:pPr>
        <w:pStyle w:val="BodyText"/>
        <w:widowControl w:val="0"/>
        <w:numPr>
          <w:ilvl w:val="0"/>
          <w:numId w:val="21"/>
        </w:numPr>
        <w:tabs>
          <w:tab w:val="left" w:pos="820"/>
        </w:tabs>
        <w:kinsoku w:val="0"/>
        <w:overflowPunct w:val="0"/>
        <w:autoSpaceDE w:val="0"/>
        <w:autoSpaceDN w:val="0"/>
        <w:adjustRightInd w:val="0"/>
        <w:spacing w:before="118" w:after="0"/>
        <w:rPr>
          <w:spacing w:val="-1"/>
        </w:rPr>
      </w:pPr>
      <w:r>
        <w:rPr>
          <w:spacing w:val="-1"/>
        </w:rPr>
        <w:t xml:space="preserve">Primary Care Commissioning Committee </w:t>
      </w:r>
    </w:p>
    <w:p w14:paraId="4747FEAD" w14:textId="77777777" w:rsidR="0064211E" w:rsidRDefault="0064211E" w:rsidP="000D3041">
      <w:pPr>
        <w:pStyle w:val="BodyText"/>
        <w:widowControl w:val="0"/>
        <w:numPr>
          <w:ilvl w:val="0"/>
          <w:numId w:val="21"/>
        </w:numPr>
        <w:tabs>
          <w:tab w:val="left" w:pos="820"/>
        </w:tabs>
        <w:kinsoku w:val="0"/>
        <w:overflowPunct w:val="0"/>
        <w:autoSpaceDE w:val="0"/>
        <w:autoSpaceDN w:val="0"/>
        <w:adjustRightInd w:val="0"/>
        <w:spacing w:before="118" w:after="0"/>
        <w:rPr>
          <w:spacing w:val="-1"/>
        </w:rPr>
      </w:pPr>
      <w:r>
        <w:t>The</w:t>
      </w:r>
      <w:r>
        <w:rPr>
          <w:spacing w:val="1"/>
        </w:rPr>
        <w:t xml:space="preserve"> </w:t>
      </w:r>
      <w:r>
        <w:rPr>
          <w:spacing w:val="-1"/>
        </w:rPr>
        <w:t>Joint</w:t>
      </w:r>
      <w:r>
        <w:t xml:space="preserve"> </w:t>
      </w:r>
      <w:r>
        <w:rPr>
          <w:spacing w:val="-1"/>
        </w:rPr>
        <w:t>Committee</w:t>
      </w:r>
    </w:p>
    <w:p w14:paraId="30020B57" w14:textId="77777777" w:rsidR="0064211E" w:rsidRDefault="0064211E" w:rsidP="000D3041">
      <w:pPr>
        <w:pStyle w:val="BodyText"/>
        <w:widowControl w:val="0"/>
        <w:numPr>
          <w:ilvl w:val="0"/>
          <w:numId w:val="21"/>
        </w:numPr>
        <w:tabs>
          <w:tab w:val="left" w:pos="820"/>
        </w:tabs>
        <w:kinsoku w:val="0"/>
        <w:overflowPunct w:val="0"/>
        <w:autoSpaceDE w:val="0"/>
        <w:autoSpaceDN w:val="0"/>
        <w:adjustRightInd w:val="0"/>
        <w:spacing w:before="118" w:after="0"/>
        <w:rPr>
          <w:spacing w:val="-1"/>
        </w:rPr>
      </w:pPr>
      <w:r>
        <w:rPr>
          <w:spacing w:val="-1"/>
        </w:rPr>
        <w:t>Internal</w:t>
      </w:r>
      <w:r>
        <w:t xml:space="preserve"> </w:t>
      </w:r>
      <w:r>
        <w:rPr>
          <w:spacing w:val="-1"/>
        </w:rPr>
        <w:t>audit</w:t>
      </w:r>
    </w:p>
    <w:p w14:paraId="5979CFF0" w14:textId="0225B282" w:rsidR="0064211E" w:rsidRDefault="0064211E" w:rsidP="000D3041">
      <w:pPr>
        <w:pStyle w:val="BodyText"/>
        <w:widowControl w:val="0"/>
        <w:numPr>
          <w:ilvl w:val="0"/>
          <w:numId w:val="21"/>
        </w:numPr>
        <w:tabs>
          <w:tab w:val="left" w:pos="820"/>
        </w:tabs>
        <w:kinsoku w:val="0"/>
        <w:overflowPunct w:val="0"/>
        <w:autoSpaceDE w:val="0"/>
        <w:autoSpaceDN w:val="0"/>
        <w:adjustRightInd w:val="0"/>
        <w:spacing w:before="116" w:after="0"/>
        <w:rPr>
          <w:spacing w:val="-1"/>
        </w:rPr>
      </w:pPr>
      <w:r>
        <w:t>Other</w:t>
      </w:r>
      <w:r>
        <w:rPr>
          <w:spacing w:val="-1"/>
        </w:rPr>
        <w:t xml:space="preserve"> explicit</w:t>
      </w:r>
      <w:r>
        <w:t xml:space="preserve"> </w:t>
      </w:r>
      <w:r>
        <w:rPr>
          <w:spacing w:val="-1"/>
        </w:rPr>
        <w:t>review/assurance mechanisms.</w:t>
      </w:r>
    </w:p>
    <w:p w14:paraId="7B3DE6A3" w14:textId="77777777" w:rsidR="00BC3673" w:rsidRDefault="00BC3673" w:rsidP="00BC3673">
      <w:pPr>
        <w:pStyle w:val="BodyText"/>
        <w:widowControl w:val="0"/>
        <w:tabs>
          <w:tab w:val="left" w:pos="820"/>
        </w:tabs>
        <w:kinsoku w:val="0"/>
        <w:overflowPunct w:val="0"/>
        <w:autoSpaceDE w:val="0"/>
        <w:autoSpaceDN w:val="0"/>
        <w:adjustRightInd w:val="0"/>
        <w:spacing w:before="116" w:after="0"/>
        <w:ind w:left="820"/>
        <w:rPr>
          <w:spacing w:val="-1"/>
        </w:rPr>
      </w:pPr>
    </w:p>
    <w:p w14:paraId="6D76EC79" w14:textId="77777777" w:rsidR="00CD505D" w:rsidRDefault="00CD505D" w:rsidP="00FF0E5D">
      <w:pPr>
        <w:pStyle w:val="Heading3"/>
      </w:pPr>
      <w:bookmarkStart w:id="208" w:name="_Toc107389482"/>
    </w:p>
    <w:p w14:paraId="4BADAC98" w14:textId="38CB61E2" w:rsidR="00E06CCF" w:rsidRPr="00E06CCF" w:rsidRDefault="00E06CCF" w:rsidP="00FF0E5D">
      <w:pPr>
        <w:pStyle w:val="Heading3"/>
      </w:pPr>
      <w:r w:rsidRPr="0064211E">
        <w:t>Conclusion</w:t>
      </w:r>
      <w:bookmarkEnd w:id="205"/>
      <w:bookmarkEnd w:id="206"/>
      <w:bookmarkEnd w:id="207"/>
      <w:bookmarkEnd w:id="208"/>
    </w:p>
    <w:p w14:paraId="4677C126" w14:textId="77777777" w:rsidR="0064211E" w:rsidRDefault="0064211E" w:rsidP="0064211E">
      <w:pPr>
        <w:pStyle w:val="BodyText"/>
        <w:kinsoku w:val="0"/>
        <w:overflowPunct w:val="0"/>
        <w:spacing w:before="122"/>
        <w:rPr>
          <w:spacing w:val="-1"/>
        </w:rPr>
      </w:pPr>
      <w:r>
        <w:t xml:space="preserve">I </w:t>
      </w:r>
      <w:r>
        <w:rPr>
          <w:spacing w:val="-1"/>
        </w:rPr>
        <w:t>concur with</w:t>
      </w:r>
      <w:r>
        <w:rPr>
          <w:spacing w:val="1"/>
        </w:rPr>
        <w:t xml:space="preserve"> </w:t>
      </w:r>
      <w:r>
        <w:t>the</w:t>
      </w:r>
      <w:r>
        <w:rPr>
          <w:spacing w:val="1"/>
        </w:rPr>
        <w:t xml:space="preserve"> </w:t>
      </w:r>
      <w:r>
        <w:rPr>
          <w:spacing w:val="-1"/>
        </w:rPr>
        <w:t>Head of</w:t>
      </w:r>
      <w:r>
        <w:rPr>
          <w:spacing w:val="3"/>
        </w:rPr>
        <w:t xml:space="preserve"> </w:t>
      </w:r>
      <w:r>
        <w:rPr>
          <w:spacing w:val="-1"/>
        </w:rPr>
        <w:t>Internal</w:t>
      </w:r>
      <w:r>
        <w:rPr>
          <w:spacing w:val="-3"/>
        </w:rPr>
        <w:t xml:space="preserve"> </w:t>
      </w:r>
      <w:r>
        <w:rPr>
          <w:spacing w:val="-1"/>
        </w:rPr>
        <w:t>Audit</w:t>
      </w:r>
      <w:r>
        <w:t xml:space="preserve"> </w:t>
      </w:r>
      <w:r>
        <w:rPr>
          <w:spacing w:val="-1"/>
        </w:rPr>
        <w:t>Opinion</w:t>
      </w:r>
      <w:r>
        <w:rPr>
          <w:spacing w:val="1"/>
        </w:rPr>
        <w:t xml:space="preserve"> </w:t>
      </w:r>
      <w:r>
        <w:rPr>
          <w:spacing w:val="-1"/>
        </w:rPr>
        <w:t>that</w:t>
      </w:r>
      <w:r>
        <w:t xml:space="preserve"> </w:t>
      </w:r>
      <w:r>
        <w:rPr>
          <w:spacing w:val="-1"/>
        </w:rPr>
        <w:t xml:space="preserve">during </w:t>
      </w:r>
      <w:r>
        <w:t>the</w:t>
      </w:r>
      <w:r>
        <w:rPr>
          <w:spacing w:val="-1"/>
        </w:rPr>
        <w:t xml:space="preserve"> 2021/22 financial</w:t>
      </w:r>
      <w:r>
        <w:t xml:space="preserve"> </w:t>
      </w:r>
      <w:r>
        <w:rPr>
          <w:spacing w:val="-1"/>
        </w:rPr>
        <w:t xml:space="preserve">year there </w:t>
      </w:r>
      <w:r>
        <w:t>has</w:t>
      </w:r>
      <w:r>
        <w:rPr>
          <w:spacing w:val="59"/>
        </w:rPr>
        <w:t xml:space="preserve"> </w:t>
      </w:r>
      <w:r>
        <w:rPr>
          <w:spacing w:val="-1"/>
        </w:rPr>
        <w:t>been</w:t>
      </w:r>
      <w:r>
        <w:rPr>
          <w:spacing w:val="1"/>
        </w:rPr>
        <w:t xml:space="preserve"> </w:t>
      </w:r>
      <w:r>
        <w:t>a</w:t>
      </w:r>
      <w:r>
        <w:rPr>
          <w:spacing w:val="1"/>
        </w:rPr>
        <w:t xml:space="preserve"> </w:t>
      </w:r>
      <w:r>
        <w:rPr>
          <w:spacing w:val="-1"/>
        </w:rPr>
        <w:t>generally</w:t>
      </w:r>
      <w:r>
        <w:rPr>
          <w:spacing w:val="-2"/>
        </w:rPr>
        <w:t xml:space="preserve"> </w:t>
      </w:r>
      <w:r>
        <w:rPr>
          <w:spacing w:val="-1"/>
        </w:rPr>
        <w:t>sound</w:t>
      </w:r>
      <w:r>
        <w:rPr>
          <w:spacing w:val="1"/>
        </w:rPr>
        <w:t xml:space="preserve"> </w:t>
      </w:r>
      <w:r>
        <w:rPr>
          <w:spacing w:val="-1"/>
        </w:rPr>
        <w:t>system</w:t>
      </w:r>
      <w:r>
        <w:rPr>
          <w:spacing w:val="2"/>
        </w:rPr>
        <w:t xml:space="preserve"> </w:t>
      </w:r>
      <w:r>
        <w:rPr>
          <w:spacing w:val="-1"/>
        </w:rPr>
        <w:t>of</w:t>
      </w:r>
      <w:r>
        <w:t xml:space="preserve"> </w:t>
      </w:r>
      <w:r>
        <w:rPr>
          <w:spacing w:val="-1"/>
        </w:rPr>
        <w:t>internal</w:t>
      </w:r>
      <w:r>
        <w:t xml:space="preserve"> </w:t>
      </w:r>
      <w:r>
        <w:rPr>
          <w:spacing w:val="-1"/>
        </w:rPr>
        <w:t>control,</w:t>
      </w:r>
      <w:r>
        <w:t xml:space="preserve"> </w:t>
      </w:r>
      <w:r>
        <w:rPr>
          <w:spacing w:val="-1"/>
        </w:rPr>
        <w:t>designed</w:t>
      </w:r>
      <w:r>
        <w:rPr>
          <w:spacing w:val="1"/>
        </w:rPr>
        <w:t xml:space="preserve"> </w:t>
      </w:r>
      <w:r>
        <w:rPr>
          <w:spacing w:val="-1"/>
        </w:rPr>
        <w:t>to meet</w:t>
      </w:r>
      <w:r>
        <w:rPr>
          <w:spacing w:val="-2"/>
        </w:rPr>
        <w:t xml:space="preserve"> </w:t>
      </w:r>
      <w:r>
        <w:t>the</w:t>
      </w:r>
      <w:r>
        <w:rPr>
          <w:spacing w:val="-1"/>
        </w:rPr>
        <w:t xml:space="preserve"> organisation’s</w:t>
      </w:r>
      <w:r>
        <w:t xml:space="preserve"> </w:t>
      </w:r>
      <w:r>
        <w:rPr>
          <w:spacing w:val="-1"/>
        </w:rPr>
        <w:t>objectives,</w:t>
      </w:r>
      <w:r>
        <w:rPr>
          <w:spacing w:val="69"/>
        </w:rPr>
        <w:t xml:space="preserve"> </w:t>
      </w:r>
      <w:r>
        <w:t>and</w:t>
      </w:r>
      <w:r>
        <w:rPr>
          <w:spacing w:val="-1"/>
        </w:rPr>
        <w:t xml:space="preserve"> that</w:t>
      </w:r>
      <w:r>
        <w:t xml:space="preserve"> </w:t>
      </w:r>
      <w:r>
        <w:rPr>
          <w:spacing w:val="-1"/>
        </w:rPr>
        <w:t>controls</w:t>
      </w:r>
      <w:r>
        <w:t xml:space="preserve"> </w:t>
      </w:r>
      <w:r>
        <w:rPr>
          <w:spacing w:val="-2"/>
        </w:rPr>
        <w:t>have</w:t>
      </w:r>
      <w:r>
        <w:rPr>
          <w:spacing w:val="1"/>
        </w:rPr>
        <w:t xml:space="preserve"> </w:t>
      </w:r>
      <w:r>
        <w:rPr>
          <w:spacing w:val="-1"/>
        </w:rPr>
        <w:t>been</w:t>
      </w:r>
      <w:r>
        <w:rPr>
          <w:spacing w:val="1"/>
        </w:rPr>
        <w:t xml:space="preserve"> </w:t>
      </w:r>
      <w:r>
        <w:rPr>
          <w:spacing w:val="-1"/>
        </w:rPr>
        <w:t>generally</w:t>
      </w:r>
      <w:r>
        <w:rPr>
          <w:spacing w:val="-2"/>
        </w:rPr>
        <w:t xml:space="preserve"> </w:t>
      </w:r>
      <w:r>
        <w:rPr>
          <w:spacing w:val="-1"/>
        </w:rPr>
        <w:t>applied consistently.</w:t>
      </w:r>
    </w:p>
    <w:p w14:paraId="6EEAA965" w14:textId="77777777" w:rsidR="0064211E" w:rsidRDefault="0064211E" w:rsidP="0064211E">
      <w:pPr>
        <w:pStyle w:val="BodyText"/>
        <w:kinsoku w:val="0"/>
        <w:overflowPunct w:val="0"/>
        <w:rPr>
          <w:spacing w:val="-1"/>
        </w:rPr>
      </w:pPr>
      <w:r>
        <w:rPr>
          <w:spacing w:val="-1"/>
        </w:rPr>
        <w:t>Action plans</w:t>
      </w:r>
      <w:r>
        <w:rPr>
          <w:spacing w:val="-2"/>
        </w:rPr>
        <w:t xml:space="preserve"> </w:t>
      </w:r>
      <w:r>
        <w:t>to</w:t>
      </w:r>
      <w:r>
        <w:rPr>
          <w:spacing w:val="1"/>
        </w:rPr>
        <w:t xml:space="preserve"> </w:t>
      </w:r>
      <w:r>
        <w:rPr>
          <w:spacing w:val="-1"/>
        </w:rPr>
        <w:t>implement</w:t>
      </w:r>
      <w:r>
        <w:rPr>
          <w:spacing w:val="-2"/>
        </w:rPr>
        <w:t xml:space="preserve"> </w:t>
      </w:r>
      <w:r>
        <w:t>any</w:t>
      </w:r>
      <w:r>
        <w:rPr>
          <w:spacing w:val="-2"/>
        </w:rPr>
        <w:t xml:space="preserve"> </w:t>
      </w:r>
      <w:r>
        <w:rPr>
          <w:spacing w:val="-1"/>
        </w:rPr>
        <w:t>outstanding recommendations</w:t>
      </w:r>
      <w:r>
        <w:rPr>
          <w:spacing w:val="-2"/>
        </w:rPr>
        <w:t xml:space="preserve"> </w:t>
      </w:r>
      <w:r>
        <w:rPr>
          <w:spacing w:val="-1"/>
        </w:rPr>
        <w:t>from audits</w:t>
      </w:r>
      <w:r>
        <w:t xml:space="preserve"> </w:t>
      </w:r>
      <w:r>
        <w:rPr>
          <w:spacing w:val="-1"/>
        </w:rPr>
        <w:t>are in</w:t>
      </w:r>
      <w:r>
        <w:rPr>
          <w:spacing w:val="1"/>
        </w:rPr>
        <w:t xml:space="preserve"> </w:t>
      </w:r>
      <w:r>
        <w:rPr>
          <w:spacing w:val="-1"/>
        </w:rPr>
        <w:t xml:space="preserve">place </w:t>
      </w:r>
      <w:r>
        <w:t>and</w:t>
      </w:r>
      <w:r>
        <w:rPr>
          <w:spacing w:val="-4"/>
        </w:rPr>
        <w:t xml:space="preserve"> </w:t>
      </w:r>
      <w:r>
        <w:rPr>
          <w:spacing w:val="-1"/>
        </w:rPr>
        <w:t>will</w:t>
      </w:r>
      <w:r>
        <w:rPr>
          <w:spacing w:val="77"/>
        </w:rPr>
        <w:t xml:space="preserve"> </w:t>
      </w:r>
      <w:r>
        <w:rPr>
          <w:spacing w:val="-1"/>
        </w:rPr>
        <w:t>continue</w:t>
      </w:r>
      <w:r>
        <w:rPr>
          <w:spacing w:val="1"/>
        </w:rPr>
        <w:t xml:space="preserve"> </w:t>
      </w:r>
      <w:r>
        <w:rPr>
          <w:spacing w:val="-1"/>
        </w:rPr>
        <w:t>to</w:t>
      </w:r>
      <w:r>
        <w:rPr>
          <w:spacing w:val="1"/>
        </w:rPr>
        <w:t xml:space="preserve"> </w:t>
      </w:r>
      <w:r>
        <w:rPr>
          <w:spacing w:val="-1"/>
        </w:rPr>
        <w:t>be monitored</w:t>
      </w:r>
      <w:r>
        <w:rPr>
          <w:spacing w:val="1"/>
        </w:rPr>
        <w:t xml:space="preserve"> </w:t>
      </w:r>
      <w:r>
        <w:rPr>
          <w:spacing w:val="-1"/>
        </w:rPr>
        <w:t xml:space="preserve">during </w:t>
      </w:r>
      <w:r>
        <w:t>the</w:t>
      </w:r>
      <w:r>
        <w:rPr>
          <w:spacing w:val="-1"/>
        </w:rPr>
        <w:t xml:space="preserve"> 2022/23 financial</w:t>
      </w:r>
      <w:r>
        <w:t xml:space="preserve"> </w:t>
      </w:r>
      <w:r>
        <w:rPr>
          <w:spacing w:val="-1"/>
        </w:rPr>
        <w:t>year.</w:t>
      </w:r>
    </w:p>
    <w:p w14:paraId="0A9D0ECA" w14:textId="77777777" w:rsidR="0064211E" w:rsidRDefault="0064211E" w:rsidP="0064211E">
      <w:pPr>
        <w:pStyle w:val="BodyText"/>
        <w:kinsoku w:val="0"/>
        <w:overflowPunct w:val="0"/>
        <w:rPr>
          <w:spacing w:val="-1"/>
        </w:rPr>
      </w:pPr>
      <w:r>
        <w:t xml:space="preserve">I </w:t>
      </w:r>
      <w:r>
        <w:rPr>
          <w:spacing w:val="-1"/>
        </w:rPr>
        <w:t>confirm</w:t>
      </w:r>
      <w:r>
        <w:rPr>
          <w:spacing w:val="2"/>
        </w:rPr>
        <w:t xml:space="preserve"> </w:t>
      </w:r>
      <w:r>
        <w:rPr>
          <w:spacing w:val="-1"/>
        </w:rPr>
        <w:t>that</w:t>
      </w:r>
      <w:r>
        <w:t xml:space="preserve"> </w:t>
      </w:r>
      <w:r>
        <w:rPr>
          <w:spacing w:val="-1"/>
        </w:rPr>
        <w:t xml:space="preserve">there are </w:t>
      </w:r>
      <w:r>
        <w:t>no</w:t>
      </w:r>
      <w:r>
        <w:rPr>
          <w:spacing w:val="1"/>
        </w:rPr>
        <w:t xml:space="preserve"> </w:t>
      </w:r>
      <w:r>
        <w:rPr>
          <w:spacing w:val="-1"/>
        </w:rPr>
        <w:t>risks</w:t>
      </w:r>
      <w:r>
        <w:t xml:space="preserve"> </w:t>
      </w:r>
      <w:r>
        <w:rPr>
          <w:spacing w:val="-1"/>
        </w:rPr>
        <w:t>which</w:t>
      </w:r>
      <w:r>
        <w:rPr>
          <w:spacing w:val="1"/>
        </w:rPr>
        <w:t xml:space="preserve"> </w:t>
      </w:r>
      <w:r>
        <w:t>may</w:t>
      </w:r>
      <w:r>
        <w:rPr>
          <w:spacing w:val="-2"/>
        </w:rPr>
        <w:t xml:space="preserve"> </w:t>
      </w:r>
      <w:r>
        <w:rPr>
          <w:spacing w:val="-1"/>
        </w:rPr>
        <w:t>affect</w:t>
      </w:r>
      <w:r>
        <w:t xml:space="preserve"> </w:t>
      </w:r>
      <w:r>
        <w:rPr>
          <w:spacing w:val="-1"/>
        </w:rPr>
        <w:t>the</w:t>
      </w:r>
      <w:r>
        <w:rPr>
          <w:spacing w:val="1"/>
        </w:rPr>
        <w:t xml:space="preserve"> </w:t>
      </w:r>
      <w:r>
        <w:rPr>
          <w:spacing w:val="-1"/>
        </w:rPr>
        <w:t>CCG’s</w:t>
      </w:r>
      <w:r>
        <w:t xml:space="preserve"> </w:t>
      </w:r>
      <w:r>
        <w:rPr>
          <w:spacing w:val="-1"/>
        </w:rPr>
        <w:t xml:space="preserve">Licence </w:t>
      </w:r>
      <w:r>
        <w:t>or</w:t>
      </w:r>
      <w:r>
        <w:rPr>
          <w:spacing w:val="-1"/>
        </w:rPr>
        <w:t xml:space="preserve"> serious</w:t>
      </w:r>
      <w:r>
        <w:t xml:space="preserve"> </w:t>
      </w:r>
      <w:r>
        <w:rPr>
          <w:spacing w:val="-1"/>
        </w:rPr>
        <w:t>lapses</w:t>
      </w:r>
      <w:r>
        <w:t xml:space="preserve"> </w:t>
      </w:r>
      <w:r>
        <w:rPr>
          <w:spacing w:val="-1"/>
        </w:rPr>
        <w:t>in control.</w:t>
      </w:r>
    </w:p>
    <w:p w14:paraId="09D832FC" w14:textId="1DFEE133" w:rsidR="00E06CCF" w:rsidRPr="00E06CCF" w:rsidRDefault="006F0C9C" w:rsidP="00E9307F">
      <w:pPr>
        <w:pStyle w:val="BodyText"/>
      </w:pPr>
      <w:r w:rsidRPr="00573B5A">
        <w:rPr>
          <w:rFonts w:eastAsia="Calibri" w:cs="Arial"/>
          <w:noProof/>
          <w:color w:val="1F497D"/>
          <w:lang w:eastAsia="en-GB"/>
        </w:rPr>
        <w:drawing>
          <wp:inline distT="0" distB="0" distL="0" distR="0" wp14:anchorId="5612226A" wp14:editId="10BF21E4">
            <wp:extent cx="1617345" cy="682625"/>
            <wp:effectExtent l="0" t="0" r="1905" b="3175"/>
            <wp:docPr id="15" name="Picture 15" descr="cid:image002.jpg@01D62849.D4F1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62849.D4F1AC2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617345" cy="682625"/>
                    </a:xfrm>
                    <a:prstGeom prst="rect">
                      <a:avLst/>
                    </a:prstGeom>
                    <a:noFill/>
                    <a:ln>
                      <a:noFill/>
                    </a:ln>
                  </pic:spPr>
                </pic:pic>
              </a:graphicData>
            </a:graphic>
          </wp:inline>
        </w:drawing>
      </w:r>
    </w:p>
    <w:p w14:paraId="5224D553" w14:textId="77777777" w:rsidR="00007823" w:rsidRPr="007830C3" w:rsidRDefault="00007823" w:rsidP="00007823">
      <w:pPr>
        <w:spacing w:before="0" w:after="0"/>
        <w:rPr>
          <w:b/>
        </w:rPr>
      </w:pPr>
      <w:r w:rsidRPr="007830C3">
        <w:rPr>
          <w:b/>
        </w:rPr>
        <w:t>Anthony McKeever</w:t>
      </w:r>
    </w:p>
    <w:p w14:paraId="32914377" w14:textId="77777777" w:rsidR="007B2EDF" w:rsidRDefault="00007823" w:rsidP="007B2EDF">
      <w:pPr>
        <w:spacing w:before="0" w:after="0"/>
      </w:pPr>
      <w:r w:rsidRPr="00C15CB5">
        <w:t>Joint Accountable Officer, Mid and South Essex CCGs</w:t>
      </w:r>
      <w:bookmarkStart w:id="209" w:name="_Toc97218364"/>
    </w:p>
    <w:p w14:paraId="6C368E68" w14:textId="72D91087" w:rsidR="00007823" w:rsidRDefault="00007823" w:rsidP="007B2EDF">
      <w:pPr>
        <w:spacing w:before="0" w:after="0"/>
      </w:pPr>
      <w:r w:rsidRPr="00C15CB5">
        <w:t>Executive Lead, Mid and South Essex Health and Care Partnership</w:t>
      </w:r>
      <w:bookmarkEnd w:id="209"/>
    </w:p>
    <w:p w14:paraId="0C5BFB97" w14:textId="77777777" w:rsidR="007B2EDF" w:rsidRPr="007B2EDF" w:rsidRDefault="007B2EDF" w:rsidP="007B2EDF">
      <w:pPr>
        <w:spacing w:before="0" w:after="0"/>
      </w:pPr>
    </w:p>
    <w:p w14:paraId="0402216C" w14:textId="30965E2F" w:rsidR="00D72B1A" w:rsidRDefault="00A42E55" w:rsidP="00007823">
      <w:pPr>
        <w:spacing w:before="0" w:after="0"/>
        <w:rPr>
          <w:rFonts w:eastAsia="Calibri"/>
        </w:rPr>
      </w:pPr>
      <w:r>
        <w:rPr>
          <w:rFonts w:eastAsia="Calibri"/>
        </w:rPr>
        <w:t>29</w:t>
      </w:r>
      <w:r w:rsidR="00007823" w:rsidRPr="00A42E55">
        <w:rPr>
          <w:rFonts w:eastAsia="Calibri"/>
        </w:rPr>
        <w:t xml:space="preserve"> June 2022</w:t>
      </w:r>
    </w:p>
    <w:p w14:paraId="789AFC08" w14:textId="77777777" w:rsidR="001F31F8" w:rsidRDefault="001F31F8">
      <w:pPr>
        <w:spacing w:before="0" w:after="200" w:line="276" w:lineRule="auto"/>
        <w:rPr>
          <w:rFonts w:eastAsia="Times" w:cs="Times New Roman"/>
          <w:color w:val="000000" w:themeColor="text1"/>
          <w:sz w:val="44"/>
          <w:szCs w:val="44"/>
        </w:rPr>
      </w:pPr>
      <w:bookmarkStart w:id="210" w:name="_Toc94188213"/>
      <w:bookmarkStart w:id="211" w:name="_Toc97218365"/>
      <w:r>
        <w:br w:type="page"/>
      </w:r>
    </w:p>
    <w:p w14:paraId="3607BFC3" w14:textId="7DB08994" w:rsidR="0023464C" w:rsidRDefault="0023464C" w:rsidP="0023464C">
      <w:pPr>
        <w:pStyle w:val="Heading1"/>
      </w:pPr>
      <w:bookmarkStart w:id="212" w:name="_Toc107389483"/>
      <w:r w:rsidRPr="0023464C">
        <w:t xml:space="preserve">Remuneration </w:t>
      </w:r>
      <w:r>
        <w:t xml:space="preserve">and Staff </w:t>
      </w:r>
      <w:r w:rsidRPr="0023464C">
        <w:t>Report</w:t>
      </w:r>
      <w:bookmarkEnd w:id="210"/>
      <w:bookmarkEnd w:id="211"/>
      <w:bookmarkEnd w:id="212"/>
      <w:r w:rsidRPr="0023464C">
        <w:t xml:space="preserve">  </w:t>
      </w:r>
    </w:p>
    <w:p w14:paraId="249CBCF6" w14:textId="7BA032F4" w:rsidR="0023464C" w:rsidRPr="00C645AB" w:rsidRDefault="0023464C" w:rsidP="007B2EDF">
      <w:pPr>
        <w:pStyle w:val="Heading1"/>
      </w:pPr>
      <w:bookmarkStart w:id="213" w:name="_Toc94188214"/>
      <w:bookmarkStart w:id="214" w:name="_Toc97218366"/>
      <w:bookmarkStart w:id="215" w:name="_Toc107389484"/>
      <w:r w:rsidRPr="00C645AB">
        <w:t>Remuneration Report</w:t>
      </w:r>
      <w:bookmarkEnd w:id="213"/>
      <w:bookmarkEnd w:id="214"/>
      <w:bookmarkEnd w:id="215"/>
    </w:p>
    <w:p w14:paraId="62547095" w14:textId="3CA887B7" w:rsidR="0023464C" w:rsidRPr="0023464C" w:rsidRDefault="0023464C" w:rsidP="00FF0E5D">
      <w:pPr>
        <w:pStyle w:val="Heading3"/>
      </w:pPr>
      <w:bookmarkStart w:id="216" w:name="_Toc94188215"/>
      <w:bookmarkStart w:id="217" w:name="_Toc97218367"/>
      <w:bookmarkStart w:id="218" w:name="_Toc107389485"/>
      <w:r w:rsidRPr="0023464C">
        <w:t>Remuneration Committee</w:t>
      </w:r>
      <w:bookmarkEnd w:id="216"/>
      <w:bookmarkEnd w:id="217"/>
      <w:bookmarkEnd w:id="218"/>
    </w:p>
    <w:p w14:paraId="7FBAE7B3" w14:textId="77777777" w:rsidR="00CB4732" w:rsidRPr="0001509C" w:rsidRDefault="00CB4732" w:rsidP="00CB4732">
      <w:pPr>
        <w:rPr>
          <w:rFonts w:cs="Arial"/>
          <w:szCs w:val="24"/>
        </w:rPr>
      </w:pPr>
      <w:bookmarkStart w:id="219" w:name="_Toc94188216"/>
      <w:bookmarkStart w:id="220" w:name="_Toc97218368"/>
      <w:r w:rsidRPr="0001509C">
        <w:rPr>
          <w:rFonts w:cs="Arial"/>
          <w:szCs w:val="24"/>
        </w:rPr>
        <w:t xml:space="preserve">For 2021/22 the membership of the remuneration committee was as follows: </w:t>
      </w:r>
    </w:p>
    <w:tbl>
      <w:tblPr>
        <w:tblStyle w:val="TableGrid12"/>
        <w:tblW w:w="7792" w:type="dxa"/>
        <w:tblInd w:w="607"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365"/>
        <w:gridCol w:w="5427"/>
      </w:tblGrid>
      <w:tr w:rsidR="00311273" w:rsidRPr="007830C3" w14:paraId="422EE0C6" w14:textId="77777777" w:rsidTr="00F45EBE">
        <w:trPr>
          <w:tblHeader/>
        </w:trPr>
        <w:tc>
          <w:tcPr>
            <w:tcW w:w="2365" w:type="dxa"/>
            <w:shd w:val="clear" w:color="auto" w:fill="DBE5F1"/>
          </w:tcPr>
          <w:p w14:paraId="541D9796" w14:textId="77777777" w:rsidR="00311273" w:rsidRPr="007830C3" w:rsidRDefault="00311273" w:rsidP="00FE4523">
            <w:pPr>
              <w:spacing w:before="120" w:after="200" w:line="276" w:lineRule="auto"/>
              <w:rPr>
                <w:rFonts w:eastAsia="Calibri"/>
                <w:b/>
                <w:lang w:val="en"/>
              </w:rPr>
            </w:pPr>
            <w:r w:rsidRPr="007830C3">
              <w:rPr>
                <w:rFonts w:eastAsia="Calibri"/>
                <w:b/>
                <w:lang w:val="en"/>
              </w:rPr>
              <w:t>Name</w:t>
            </w:r>
          </w:p>
        </w:tc>
        <w:tc>
          <w:tcPr>
            <w:tcW w:w="5427" w:type="dxa"/>
            <w:shd w:val="clear" w:color="auto" w:fill="DBE5F1"/>
          </w:tcPr>
          <w:p w14:paraId="0E4D2FC9" w14:textId="77777777" w:rsidR="00311273" w:rsidRPr="007830C3" w:rsidRDefault="00311273" w:rsidP="00FE4523">
            <w:pPr>
              <w:spacing w:before="120" w:after="200" w:line="276" w:lineRule="auto"/>
              <w:rPr>
                <w:rFonts w:eastAsia="Calibri"/>
                <w:b/>
                <w:lang w:val="en"/>
              </w:rPr>
            </w:pPr>
            <w:r w:rsidRPr="007830C3">
              <w:rPr>
                <w:rFonts w:eastAsia="Calibri"/>
                <w:b/>
                <w:lang w:val="en"/>
              </w:rPr>
              <w:t>Role, locality and tenure (where the full financial year was not covered)</w:t>
            </w:r>
          </w:p>
        </w:tc>
      </w:tr>
      <w:tr w:rsidR="00311273" w:rsidRPr="007830C3" w14:paraId="1048324F" w14:textId="77777777" w:rsidTr="00F45EBE">
        <w:tc>
          <w:tcPr>
            <w:tcW w:w="2365" w:type="dxa"/>
          </w:tcPr>
          <w:p w14:paraId="1B71F2F5" w14:textId="77777777" w:rsidR="00311273" w:rsidRPr="007830C3" w:rsidRDefault="00311273" w:rsidP="00FE4523">
            <w:pPr>
              <w:spacing w:before="120"/>
              <w:rPr>
                <w:rFonts w:eastAsia="Calibri"/>
                <w:lang w:val="en"/>
              </w:rPr>
            </w:pPr>
            <w:r w:rsidRPr="007830C3">
              <w:rPr>
                <w:rFonts w:eastAsia="Calibri"/>
                <w:lang w:val="en"/>
              </w:rPr>
              <w:t>Katherine Kirk</w:t>
            </w:r>
          </w:p>
        </w:tc>
        <w:tc>
          <w:tcPr>
            <w:tcW w:w="5427" w:type="dxa"/>
          </w:tcPr>
          <w:p w14:paraId="7D827179" w14:textId="77777777" w:rsidR="00311273" w:rsidRPr="007830C3" w:rsidRDefault="00311273" w:rsidP="00FE4523">
            <w:pPr>
              <w:spacing w:before="120"/>
              <w:rPr>
                <w:rFonts w:eastAsia="Calibri"/>
              </w:rPr>
            </w:pPr>
            <w:r w:rsidRPr="007830C3">
              <w:rPr>
                <w:rFonts w:eastAsia="Calibri"/>
              </w:rPr>
              <w:t>Lay Member for Governance</w:t>
            </w:r>
          </w:p>
        </w:tc>
      </w:tr>
      <w:tr w:rsidR="00311273" w:rsidRPr="007830C3" w14:paraId="5004C1CF" w14:textId="77777777" w:rsidTr="00F45EBE">
        <w:tc>
          <w:tcPr>
            <w:tcW w:w="2365" w:type="dxa"/>
          </w:tcPr>
          <w:p w14:paraId="3CBEC436" w14:textId="17BB3429" w:rsidR="00311273" w:rsidRPr="007830C3" w:rsidRDefault="00311273" w:rsidP="00FE4523">
            <w:pPr>
              <w:spacing w:before="120"/>
              <w:rPr>
                <w:rFonts w:eastAsia="Calibri"/>
                <w:lang w:val="en"/>
              </w:rPr>
            </w:pPr>
            <w:r w:rsidRPr="007830C3">
              <w:rPr>
                <w:rFonts w:eastAsia="Calibri"/>
                <w:lang w:val="en"/>
              </w:rPr>
              <w:t>Nic</w:t>
            </w:r>
            <w:r w:rsidR="00F45EBE">
              <w:rPr>
                <w:rFonts w:eastAsia="Calibri"/>
                <w:lang w:val="en"/>
              </w:rPr>
              <w:t>olas</w:t>
            </w:r>
            <w:r w:rsidRPr="007830C3">
              <w:rPr>
                <w:rFonts w:eastAsia="Calibri"/>
                <w:lang w:val="en"/>
              </w:rPr>
              <w:t xml:space="preserve"> Spenceley</w:t>
            </w:r>
          </w:p>
        </w:tc>
        <w:tc>
          <w:tcPr>
            <w:tcW w:w="5427" w:type="dxa"/>
          </w:tcPr>
          <w:p w14:paraId="7D7A1857" w14:textId="77777777" w:rsidR="00311273" w:rsidRPr="007830C3" w:rsidRDefault="00311273" w:rsidP="00FE4523">
            <w:pPr>
              <w:spacing w:before="120"/>
              <w:rPr>
                <w:rFonts w:eastAsia="Calibri"/>
                <w:lang w:val="en"/>
              </w:rPr>
            </w:pPr>
            <w:r w:rsidRPr="007830C3">
              <w:rPr>
                <w:rFonts w:eastAsia="Calibri"/>
              </w:rPr>
              <w:t>Lay Member for Audit</w:t>
            </w:r>
          </w:p>
        </w:tc>
      </w:tr>
      <w:tr w:rsidR="00311273" w:rsidRPr="007830C3" w14:paraId="7D922688" w14:textId="77777777" w:rsidTr="00F45EBE">
        <w:tc>
          <w:tcPr>
            <w:tcW w:w="2365" w:type="dxa"/>
          </w:tcPr>
          <w:p w14:paraId="618BF3F2" w14:textId="77777777" w:rsidR="00311273" w:rsidRPr="007830C3" w:rsidRDefault="00311273" w:rsidP="00FE4523">
            <w:pPr>
              <w:spacing w:before="120"/>
              <w:rPr>
                <w:rFonts w:eastAsia="Calibri"/>
                <w:lang w:val="en"/>
              </w:rPr>
            </w:pPr>
            <w:r w:rsidRPr="007830C3">
              <w:rPr>
                <w:rFonts w:eastAsia="Calibri"/>
                <w:lang w:val="en"/>
              </w:rPr>
              <w:t>Julia Hale</w:t>
            </w:r>
          </w:p>
        </w:tc>
        <w:tc>
          <w:tcPr>
            <w:tcW w:w="5427" w:type="dxa"/>
          </w:tcPr>
          <w:p w14:paraId="511A6B45" w14:textId="77777777" w:rsidR="00311273" w:rsidRPr="007830C3" w:rsidRDefault="00311273" w:rsidP="00FE4523">
            <w:pPr>
              <w:spacing w:before="120"/>
              <w:rPr>
                <w:rFonts w:eastAsia="Calibri"/>
                <w:lang w:val="en"/>
              </w:rPr>
            </w:pPr>
            <w:r w:rsidRPr="007830C3">
              <w:rPr>
                <w:rFonts w:eastAsia="Calibri"/>
                <w:lang w:val="en"/>
              </w:rPr>
              <w:t>Secondary Care Specialist</w:t>
            </w:r>
          </w:p>
        </w:tc>
      </w:tr>
    </w:tbl>
    <w:p w14:paraId="7DEDD46C" w14:textId="57741CF2" w:rsidR="00CB4732" w:rsidRPr="0001509C" w:rsidRDefault="00CB4732" w:rsidP="00CB4732">
      <w:pPr>
        <w:rPr>
          <w:rFonts w:cs="Arial"/>
          <w:szCs w:val="24"/>
        </w:rPr>
      </w:pPr>
      <w:r w:rsidRPr="0001509C">
        <w:rPr>
          <w:rFonts w:cs="Arial"/>
          <w:szCs w:val="24"/>
        </w:rPr>
        <w:t xml:space="preserve">This committee met on </w:t>
      </w:r>
      <w:r w:rsidR="00156767">
        <w:rPr>
          <w:rFonts w:cs="Arial"/>
          <w:szCs w:val="24"/>
        </w:rPr>
        <w:t>10</w:t>
      </w:r>
      <w:r w:rsidRPr="0001509C">
        <w:rPr>
          <w:rFonts w:cs="Arial"/>
          <w:szCs w:val="24"/>
        </w:rPr>
        <w:t xml:space="preserve"> occasions during 2021/22, during which the Committee Chair was present and the meeting was quorate. The Accountable Officer withdrew at any time during discussion of their own remuneration. </w:t>
      </w:r>
    </w:p>
    <w:p w14:paraId="27FB378F" w14:textId="77777777" w:rsidR="00CB4732" w:rsidRPr="0001509C" w:rsidRDefault="00CB4732" w:rsidP="00CB4732">
      <w:pPr>
        <w:rPr>
          <w:rFonts w:cs="Arial"/>
          <w:szCs w:val="24"/>
        </w:rPr>
      </w:pPr>
      <w:r w:rsidRPr="0001509C">
        <w:rPr>
          <w:rFonts w:cs="Arial"/>
          <w:szCs w:val="24"/>
        </w:rPr>
        <w:t xml:space="preserve">HR and remuneration advice was provided by Victoria Robertson, Interim Director of Human Resources and the committee was informed by local and national guidance on remuneration matters. </w:t>
      </w:r>
    </w:p>
    <w:p w14:paraId="4D2447ED" w14:textId="62707499" w:rsidR="0023464C" w:rsidRPr="0023464C" w:rsidRDefault="0023464C" w:rsidP="00FF0E5D">
      <w:pPr>
        <w:pStyle w:val="Heading3"/>
      </w:pPr>
      <w:bookmarkStart w:id="221" w:name="_Toc107389486"/>
      <w:r w:rsidRPr="0023464C">
        <w:t>Policy on the remuneration of senior managers</w:t>
      </w:r>
      <w:bookmarkEnd w:id="219"/>
      <w:bookmarkEnd w:id="220"/>
      <w:bookmarkEnd w:id="221"/>
      <w:r w:rsidRPr="0023464C">
        <w:t xml:space="preserve"> </w:t>
      </w:r>
    </w:p>
    <w:p w14:paraId="6F4802A6" w14:textId="77777777" w:rsidR="00CB4732" w:rsidRPr="0001509C" w:rsidRDefault="00CB4732" w:rsidP="00CB4732">
      <w:pPr>
        <w:autoSpaceDE w:val="0"/>
        <w:autoSpaceDN w:val="0"/>
        <w:adjustRightInd w:val="0"/>
        <w:spacing w:after="0"/>
        <w:rPr>
          <w:rFonts w:cs="Arial"/>
          <w:szCs w:val="24"/>
        </w:rPr>
      </w:pPr>
      <w:bookmarkStart w:id="222" w:name="_Toc94188217"/>
      <w:bookmarkStart w:id="223" w:name="_Toc97218369"/>
      <w:r w:rsidRPr="0001509C">
        <w:rPr>
          <w:rFonts w:cs="Arial"/>
          <w:szCs w:val="24"/>
        </w:rPr>
        <w:t>Senior managers are subject to Agenda for Change terms and conditions, with the exception of those roles which are subject to the VSM (Very Senior Managers) framework.   The salaries of governing body members are determined by remuneration committee with national and local guidance (provided by the Chief Finance Officer and Interim Director of Human Resources) being considered in all decisions.</w:t>
      </w:r>
    </w:p>
    <w:p w14:paraId="3E6B878D" w14:textId="505BBCB2" w:rsidR="00CB4732" w:rsidRPr="0001509C" w:rsidRDefault="00CB4732" w:rsidP="00FF0E5D">
      <w:pPr>
        <w:pStyle w:val="Heading3"/>
      </w:pPr>
      <w:bookmarkStart w:id="224" w:name="_Toc107389487"/>
      <w:bookmarkEnd w:id="222"/>
      <w:bookmarkEnd w:id="223"/>
      <w:r w:rsidRPr="0001509C">
        <w:t>Senior managers’ performance-related pay</w:t>
      </w:r>
      <w:bookmarkEnd w:id="224"/>
    </w:p>
    <w:p w14:paraId="5E93C685" w14:textId="77777777" w:rsidR="00CB4732" w:rsidRDefault="00CB4732" w:rsidP="00CB4732">
      <w:pPr>
        <w:autoSpaceDE w:val="0"/>
        <w:autoSpaceDN w:val="0"/>
        <w:adjustRightInd w:val="0"/>
        <w:spacing w:after="0"/>
        <w:rPr>
          <w:rFonts w:cs="Arial"/>
          <w:szCs w:val="24"/>
        </w:rPr>
      </w:pPr>
      <w:bookmarkStart w:id="225" w:name="_Toc94188218"/>
      <w:bookmarkStart w:id="226" w:name="_Toc97218370"/>
      <w:r w:rsidRPr="0001509C">
        <w:rPr>
          <w:rFonts w:cs="Arial"/>
          <w:szCs w:val="24"/>
        </w:rPr>
        <w:t>The performance of all staff (including the Accountable Officer, directors and senior managers) is</w:t>
      </w:r>
      <w:r>
        <w:rPr>
          <w:rFonts w:cs="Arial"/>
          <w:szCs w:val="24"/>
        </w:rPr>
        <w:t xml:space="preserve"> </w:t>
      </w:r>
      <w:r w:rsidRPr="0001509C">
        <w:rPr>
          <w:rFonts w:cs="Arial"/>
          <w:szCs w:val="24"/>
        </w:rPr>
        <w:t>monitored and assessed through the use of a robust appraisal system. A formal appraisal review</w:t>
      </w:r>
      <w:r>
        <w:rPr>
          <w:rFonts w:cs="Arial"/>
          <w:szCs w:val="24"/>
        </w:rPr>
        <w:t xml:space="preserve"> </w:t>
      </w:r>
      <w:r w:rsidRPr="0001509C">
        <w:rPr>
          <w:rFonts w:cs="Arial"/>
          <w:szCs w:val="24"/>
        </w:rPr>
        <w:t>is undertaken at least annually.</w:t>
      </w:r>
    </w:p>
    <w:p w14:paraId="6784F751" w14:textId="4D5D7870" w:rsidR="00CB4732" w:rsidRDefault="00CB4732" w:rsidP="00CB4732">
      <w:pPr>
        <w:autoSpaceDE w:val="0"/>
        <w:autoSpaceDN w:val="0"/>
        <w:adjustRightInd w:val="0"/>
        <w:spacing w:after="0"/>
        <w:rPr>
          <w:rFonts w:cs="Arial"/>
          <w:szCs w:val="24"/>
        </w:rPr>
      </w:pPr>
      <w:r w:rsidRPr="0001509C">
        <w:rPr>
          <w:rFonts w:cs="Arial"/>
          <w:szCs w:val="24"/>
        </w:rPr>
        <w:t>Agenda for Change contracts do not contain provision for performance-related remuneration</w:t>
      </w:r>
      <w:r>
        <w:rPr>
          <w:rFonts w:cs="Arial"/>
          <w:szCs w:val="24"/>
        </w:rPr>
        <w:t xml:space="preserve"> </w:t>
      </w:r>
      <w:r w:rsidRPr="0001509C">
        <w:rPr>
          <w:rFonts w:cs="Arial"/>
          <w:szCs w:val="24"/>
        </w:rPr>
        <w:t>beyond the element introduced in 2018 for bands 8c, 8d and 9. Specifically, in the year after an</w:t>
      </w:r>
      <w:r>
        <w:rPr>
          <w:rFonts w:cs="Arial"/>
          <w:szCs w:val="24"/>
        </w:rPr>
        <w:t xml:space="preserve"> </w:t>
      </w:r>
      <w:r w:rsidRPr="0001509C">
        <w:rPr>
          <w:rFonts w:cs="Arial"/>
          <w:szCs w:val="24"/>
        </w:rPr>
        <w:t>employee has reached the top of any of those bands, subject to performance the employee will</w:t>
      </w:r>
      <w:r>
        <w:rPr>
          <w:rFonts w:cs="Arial"/>
          <w:szCs w:val="24"/>
        </w:rPr>
        <w:t xml:space="preserve"> </w:t>
      </w:r>
      <w:r w:rsidRPr="0001509C">
        <w:rPr>
          <w:rFonts w:cs="Arial"/>
          <w:szCs w:val="24"/>
        </w:rPr>
        <w:t>retain their basic salary, or their salary will be reduced by five per cent or 10 per cent. The</w:t>
      </w:r>
      <w:r>
        <w:rPr>
          <w:rFonts w:cs="Arial"/>
          <w:szCs w:val="24"/>
        </w:rPr>
        <w:t xml:space="preserve"> </w:t>
      </w:r>
      <w:r w:rsidRPr="0001509C">
        <w:rPr>
          <w:rFonts w:cs="Arial"/>
          <w:szCs w:val="24"/>
        </w:rPr>
        <w:t>employee will be able to restore their salary at the end of the following year by achieving agreed</w:t>
      </w:r>
      <w:r>
        <w:rPr>
          <w:rFonts w:cs="Arial"/>
          <w:szCs w:val="24"/>
        </w:rPr>
        <w:t xml:space="preserve"> </w:t>
      </w:r>
      <w:r w:rsidRPr="0001509C">
        <w:rPr>
          <w:rFonts w:cs="Arial"/>
          <w:szCs w:val="24"/>
        </w:rPr>
        <w:t>levels of performance.</w:t>
      </w:r>
    </w:p>
    <w:p w14:paraId="67C9A8B6" w14:textId="630EBA3A" w:rsidR="00CB4732" w:rsidRDefault="00CB4732" w:rsidP="00CB4732">
      <w:pPr>
        <w:autoSpaceDE w:val="0"/>
        <w:autoSpaceDN w:val="0"/>
        <w:adjustRightInd w:val="0"/>
        <w:spacing w:after="0"/>
        <w:rPr>
          <w:rFonts w:cs="Arial"/>
          <w:szCs w:val="24"/>
        </w:rPr>
      </w:pPr>
      <w:r w:rsidRPr="0001509C">
        <w:rPr>
          <w:rFonts w:cs="Arial"/>
          <w:szCs w:val="24"/>
        </w:rPr>
        <w:t>Under the VSM pay framework, there is the potential for performance-related pay under the terms</w:t>
      </w:r>
      <w:r>
        <w:rPr>
          <w:rFonts w:cs="Arial"/>
          <w:szCs w:val="24"/>
        </w:rPr>
        <w:t xml:space="preserve"> </w:t>
      </w:r>
      <w:r w:rsidRPr="0001509C">
        <w:rPr>
          <w:rFonts w:cs="Arial"/>
          <w:szCs w:val="24"/>
        </w:rPr>
        <w:t>and conditions of the contract. No proportion of remuneration for any staff member has been</w:t>
      </w:r>
      <w:r>
        <w:rPr>
          <w:rFonts w:cs="Arial"/>
          <w:szCs w:val="24"/>
        </w:rPr>
        <w:t xml:space="preserve"> </w:t>
      </w:r>
      <w:r w:rsidRPr="0001509C">
        <w:rPr>
          <w:rFonts w:cs="Arial"/>
          <w:szCs w:val="24"/>
        </w:rPr>
        <w:t>subject to performance conditions at the CCG during 202</w:t>
      </w:r>
      <w:r w:rsidR="008046E9">
        <w:rPr>
          <w:rFonts w:cs="Arial"/>
          <w:szCs w:val="24"/>
        </w:rPr>
        <w:t>1</w:t>
      </w:r>
      <w:r w:rsidRPr="0001509C">
        <w:rPr>
          <w:rFonts w:cs="Arial"/>
          <w:szCs w:val="24"/>
        </w:rPr>
        <w:t>/2</w:t>
      </w:r>
      <w:r w:rsidR="008046E9">
        <w:rPr>
          <w:rFonts w:cs="Arial"/>
          <w:szCs w:val="24"/>
        </w:rPr>
        <w:t>2</w:t>
      </w:r>
      <w:r w:rsidRPr="0001509C">
        <w:rPr>
          <w:rFonts w:cs="Arial"/>
          <w:szCs w:val="24"/>
        </w:rPr>
        <w:t>.</w:t>
      </w:r>
    </w:p>
    <w:p w14:paraId="33ECD0C5" w14:textId="5AA69B83" w:rsidR="009B3217" w:rsidRDefault="009B3217" w:rsidP="009B3217">
      <w:pPr>
        <w:rPr>
          <w:rFonts w:ascii="Calibri" w:hAnsi="Calibri"/>
          <w:sz w:val="22"/>
        </w:rPr>
      </w:pPr>
      <w:bookmarkStart w:id="227" w:name="_Hlk106007042"/>
      <w:r>
        <w:t xml:space="preserve">The Accountable Officer/CEO salary is set within national salary boundaries for the AO/ CEO of a CCG/ICB.  The determination within this broad salary boundary is set with NHS England and the CCG Remuneration Committee. </w:t>
      </w:r>
    </w:p>
    <w:p w14:paraId="79CFD5C3" w14:textId="77777777" w:rsidR="00CB4732" w:rsidRPr="0001509C" w:rsidRDefault="00CB4732" w:rsidP="00FF0E5D">
      <w:pPr>
        <w:pStyle w:val="Heading3"/>
      </w:pPr>
      <w:bookmarkStart w:id="228" w:name="_Toc107389488"/>
      <w:bookmarkEnd w:id="227"/>
      <w:r w:rsidRPr="0001509C">
        <w:t>Policy on the duration of contracts, notice periods and termination payments</w:t>
      </w:r>
      <w:bookmarkEnd w:id="228"/>
    </w:p>
    <w:p w14:paraId="3548885C" w14:textId="77777777" w:rsidR="00CB4732" w:rsidRDefault="00CB4732" w:rsidP="00CB4732">
      <w:pPr>
        <w:autoSpaceDE w:val="0"/>
        <w:autoSpaceDN w:val="0"/>
        <w:adjustRightInd w:val="0"/>
        <w:spacing w:after="0"/>
        <w:rPr>
          <w:rFonts w:cs="Arial"/>
          <w:szCs w:val="24"/>
        </w:rPr>
      </w:pPr>
      <w:r w:rsidRPr="0001509C">
        <w:rPr>
          <w:rFonts w:cs="Arial"/>
          <w:szCs w:val="24"/>
        </w:rPr>
        <w:t>The duration of contracts is determined by the duration of the roles and responsibilities to be</w:t>
      </w:r>
      <w:r>
        <w:rPr>
          <w:rFonts w:cs="Arial"/>
          <w:szCs w:val="24"/>
        </w:rPr>
        <w:t xml:space="preserve"> </w:t>
      </w:r>
      <w:r w:rsidRPr="0001509C">
        <w:rPr>
          <w:rFonts w:cs="Arial"/>
          <w:szCs w:val="24"/>
        </w:rPr>
        <w:t>undertaken. The contracts of the Accountable Officer, directors and other CCG staff are</w:t>
      </w:r>
      <w:r>
        <w:rPr>
          <w:rFonts w:cs="Arial"/>
          <w:szCs w:val="24"/>
        </w:rPr>
        <w:t xml:space="preserve"> </w:t>
      </w:r>
      <w:r w:rsidRPr="0001509C">
        <w:rPr>
          <w:rFonts w:cs="Arial"/>
          <w:szCs w:val="24"/>
        </w:rPr>
        <w:t>permanent unless applicable to a time-limited project or funding, in which case contracts will be</w:t>
      </w:r>
      <w:r>
        <w:rPr>
          <w:rFonts w:cs="Arial"/>
          <w:szCs w:val="24"/>
        </w:rPr>
        <w:t xml:space="preserve"> </w:t>
      </w:r>
      <w:r w:rsidRPr="0001509C">
        <w:rPr>
          <w:rFonts w:cs="Arial"/>
          <w:szCs w:val="24"/>
        </w:rPr>
        <w:t>offered on a fixed term.</w:t>
      </w:r>
    </w:p>
    <w:p w14:paraId="41DDE02F" w14:textId="77777777" w:rsidR="00CB4732" w:rsidRPr="0001509C" w:rsidRDefault="00CB4732" w:rsidP="00CB4732">
      <w:pPr>
        <w:autoSpaceDE w:val="0"/>
        <w:autoSpaceDN w:val="0"/>
        <w:adjustRightInd w:val="0"/>
        <w:spacing w:after="0"/>
        <w:rPr>
          <w:rFonts w:cs="Arial"/>
          <w:szCs w:val="24"/>
        </w:rPr>
      </w:pPr>
      <w:r w:rsidRPr="0001509C">
        <w:rPr>
          <w:rFonts w:cs="Arial"/>
          <w:szCs w:val="24"/>
        </w:rPr>
        <w:t>The notice period applying to the Joint Accountable Officer is six months. For directors and other</w:t>
      </w:r>
      <w:r>
        <w:rPr>
          <w:rFonts w:cs="Arial"/>
          <w:szCs w:val="24"/>
        </w:rPr>
        <w:t xml:space="preserve"> </w:t>
      </w:r>
      <w:r w:rsidRPr="0001509C">
        <w:rPr>
          <w:rFonts w:cs="Arial"/>
          <w:szCs w:val="24"/>
        </w:rPr>
        <w:t>senior managers, the notice period is three months. Any termination payments would be in</w:t>
      </w:r>
      <w:r>
        <w:rPr>
          <w:rFonts w:cs="Arial"/>
          <w:szCs w:val="24"/>
        </w:rPr>
        <w:t xml:space="preserve"> </w:t>
      </w:r>
      <w:r w:rsidRPr="0001509C">
        <w:rPr>
          <w:rFonts w:cs="Arial"/>
          <w:szCs w:val="24"/>
        </w:rPr>
        <w:t>accordance with relevant contractual, legislative and HMRC requirements.</w:t>
      </w:r>
    </w:p>
    <w:p w14:paraId="67D16088" w14:textId="3A54341D" w:rsidR="0023464C" w:rsidRDefault="00CB4732" w:rsidP="00FF0E5D">
      <w:pPr>
        <w:pStyle w:val="Heading3"/>
      </w:pPr>
      <w:bookmarkStart w:id="229" w:name="_Toc107389489"/>
      <w:r>
        <w:t>S</w:t>
      </w:r>
      <w:r w:rsidR="0023464C" w:rsidRPr="0023464C">
        <w:t>alary and pension entitlements</w:t>
      </w:r>
      <w:bookmarkEnd w:id="225"/>
      <w:bookmarkEnd w:id="226"/>
      <w:bookmarkEnd w:id="229"/>
    </w:p>
    <w:p w14:paraId="06533E73" w14:textId="0AB8565A" w:rsidR="00CB4732" w:rsidRDefault="00CB4732" w:rsidP="00CB4732">
      <w:pPr>
        <w:autoSpaceDE w:val="0"/>
        <w:autoSpaceDN w:val="0"/>
        <w:adjustRightInd w:val="0"/>
        <w:spacing w:after="0"/>
        <w:rPr>
          <w:rFonts w:cs="Arial"/>
          <w:szCs w:val="24"/>
        </w:rPr>
      </w:pPr>
      <w:r w:rsidRPr="0001509C">
        <w:rPr>
          <w:rFonts w:cs="Arial"/>
          <w:szCs w:val="24"/>
        </w:rPr>
        <w:t>The following tables set out information in relation to salaries, benefits in kind and pension</w:t>
      </w:r>
      <w:r>
        <w:rPr>
          <w:rFonts w:cs="Arial"/>
          <w:szCs w:val="24"/>
        </w:rPr>
        <w:t xml:space="preserve"> </w:t>
      </w:r>
      <w:r w:rsidRPr="0001509C">
        <w:rPr>
          <w:rFonts w:cs="Arial"/>
          <w:szCs w:val="24"/>
        </w:rPr>
        <w:t>entitlements of the decision makers of the organisation. There are no elements of remuneration</w:t>
      </w:r>
      <w:r>
        <w:rPr>
          <w:rFonts w:cs="Arial"/>
          <w:szCs w:val="24"/>
        </w:rPr>
        <w:t xml:space="preserve"> </w:t>
      </w:r>
      <w:r w:rsidRPr="0001509C">
        <w:rPr>
          <w:rFonts w:cs="Arial"/>
          <w:szCs w:val="24"/>
        </w:rPr>
        <w:t>outside the standard terms and conditions of the contracts of employment of senior managers.</w:t>
      </w:r>
    </w:p>
    <w:p w14:paraId="6A7E7307" w14:textId="77777777" w:rsidR="0090520C" w:rsidRDefault="0090520C" w:rsidP="00CB4732">
      <w:pPr>
        <w:autoSpaceDE w:val="0"/>
        <w:autoSpaceDN w:val="0"/>
        <w:adjustRightInd w:val="0"/>
        <w:spacing w:after="0"/>
        <w:rPr>
          <w:rFonts w:cs="Arial"/>
          <w:szCs w:val="24"/>
        </w:rPr>
        <w:sectPr w:rsidR="0090520C" w:rsidSect="00F90D7E">
          <w:headerReference w:type="even" r:id="rId34"/>
          <w:footerReference w:type="default" r:id="rId35"/>
          <w:footerReference w:type="first" r:id="rId36"/>
          <w:pgSz w:w="11906" w:h="16838"/>
          <w:pgMar w:top="-1418" w:right="1134" w:bottom="992" w:left="1440" w:header="680" w:footer="727" w:gutter="0"/>
          <w:cols w:space="708"/>
          <w:titlePg/>
          <w:docGrid w:linePitch="360"/>
        </w:sectPr>
      </w:pPr>
    </w:p>
    <w:p w14:paraId="166BAD89" w14:textId="3655DE2D" w:rsidR="0090520C" w:rsidRDefault="00D17C64">
      <w:pPr>
        <w:spacing w:before="0" w:after="200" w:line="276" w:lineRule="auto"/>
        <w:rPr>
          <w:rFonts w:cs="Arial"/>
          <w:szCs w:val="24"/>
        </w:rPr>
      </w:pPr>
      <w:r w:rsidRPr="00D17C64">
        <w:rPr>
          <w:noProof/>
        </w:rPr>
        <w:drawing>
          <wp:inline distT="0" distB="0" distL="0" distR="0" wp14:anchorId="090AB11E" wp14:editId="1BFC9429">
            <wp:extent cx="9067800" cy="66459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67800" cy="6645910"/>
                    </a:xfrm>
                    <a:prstGeom prst="rect">
                      <a:avLst/>
                    </a:prstGeom>
                    <a:noFill/>
                    <a:ln>
                      <a:noFill/>
                    </a:ln>
                  </pic:spPr>
                </pic:pic>
              </a:graphicData>
            </a:graphic>
          </wp:inline>
        </w:drawing>
      </w:r>
      <w:r w:rsidR="0090520C">
        <w:rPr>
          <w:rFonts w:cs="Arial"/>
          <w:szCs w:val="24"/>
        </w:rPr>
        <w:br w:type="page"/>
      </w:r>
    </w:p>
    <w:p w14:paraId="5C8BEA84" w14:textId="77777777" w:rsidR="00CA60F1" w:rsidRDefault="00CA60F1" w:rsidP="00CA60F1">
      <w:pPr>
        <w:spacing w:before="0" w:after="200" w:line="276" w:lineRule="auto"/>
        <w:rPr>
          <w:rFonts w:cs="Arial"/>
          <w:szCs w:val="24"/>
        </w:rPr>
      </w:pPr>
      <w:r w:rsidRPr="0090520C">
        <w:rPr>
          <w:noProof/>
        </w:rPr>
        <w:drawing>
          <wp:inline distT="0" distB="0" distL="0" distR="0" wp14:anchorId="7EB0AFED" wp14:editId="5B5A1F77">
            <wp:extent cx="9715500" cy="6943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18400" cy="6945798"/>
                    </a:xfrm>
                    <a:prstGeom prst="rect">
                      <a:avLst/>
                    </a:prstGeom>
                    <a:noFill/>
                    <a:ln>
                      <a:noFill/>
                    </a:ln>
                  </pic:spPr>
                </pic:pic>
              </a:graphicData>
            </a:graphic>
          </wp:inline>
        </w:drawing>
      </w:r>
    </w:p>
    <w:p w14:paraId="2B282BBC" w14:textId="25082720" w:rsidR="0090520C" w:rsidRDefault="0090520C">
      <w:pPr>
        <w:spacing w:before="0" w:after="200" w:line="276" w:lineRule="auto"/>
        <w:rPr>
          <w:rFonts w:cs="Arial"/>
          <w:szCs w:val="24"/>
        </w:rPr>
      </w:pPr>
    </w:p>
    <w:p w14:paraId="0C2B7D40" w14:textId="65888A8A" w:rsidR="003B6A29" w:rsidRDefault="003B6A29" w:rsidP="0090520C">
      <w:pPr>
        <w:spacing w:before="0" w:after="200" w:line="276" w:lineRule="auto"/>
        <w:rPr>
          <w:rFonts w:cs="Arial"/>
          <w:szCs w:val="24"/>
        </w:rPr>
      </w:pPr>
      <w:r w:rsidRPr="003B6A29">
        <w:rPr>
          <w:noProof/>
        </w:rPr>
        <w:drawing>
          <wp:inline distT="0" distB="0" distL="0" distR="0" wp14:anchorId="66750FCC" wp14:editId="1B566320">
            <wp:extent cx="9777730" cy="55289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77730" cy="5528945"/>
                    </a:xfrm>
                    <a:prstGeom prst="rect">
                      <a:avLst/>
                    </a:prstGeom>
                    <a:noFill/>
                    <a:ln>
                      <a:noFill/>
                    </a:ln>
                  </pic:spPr>
                </pic:pic>
              </a:graphicData>
            </a:graphic>
          </wp:inline>
        </w:drawing>
      </w:r>
    </w:p>
    <w:p w14:paraId="49F8FC54" w14:textId="44D1B0FF" w:rsidR="003B6A29" w:rsidRDefault="003B6A29">
      <w:pPr>
        <w:spacing w:before="0" w:after="200" w:line="276" w:lineRule="auto"/>
        <w:rPr>
          <w:rFonts w:cs="Arial"/>
          <w:szCs w:val="24"/>
        </w:rPr>
      </w:pPr>
    </w:p>
    <w:p w14:paraId="6F13778C" w14:textId="10F0D1F1" w:rsidR="00D17C64" w:rsidRDefault="00D17C64">
      <w:pPr>
        <w:spacing w:before="0" w:after="200" w:line="276" w:lineRule="auto"/>
        <w:rPr>
          <w:rFonts w:cs="Arial"/>
          <w:szCs w:val="24"/>
        </w:rPr>
      </w:pPr>
      <w:r w:rsidRPr="00D17C64">
        <w:rPr>
          <w:noProof/>
        </w:rPr>
        <w:drawing>
          <wp:inline distT="0" distB="0" distL="0" distR="0" wp14:anchorId="59835F1E" wp14:editId="39D7C7CC">
            <wp:extent cx="9777730" cy="3456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77730" cy="3456940"/>
                    </a:xfrm>
                    <a:prstGeom prst="rect">
                      <a:avLst/>
                    </a:prstGeom>
                    <a:noFill/>
                    <a:ln>
                      <a:noFill/>
                    </a:ln>
                  </pic:spPr>
                </pic:pic>
              </a:graphicData>
            </a:graphic>
          </wp:inline>
        </w:drawing>
      </w:r>
    </w:p>
    <w:p w14:paraId="66050817" w14:textId="77777777" w:rsidR="00CA60F1" w:rsidRDefault="00D17C64" w:rsidP="00CA60F1">
      <w:pPr>
        <w:spacing w:before="0" w:after="200" w:line="276" w:lineRule="auto"/>
        <w:rPr>
          <w:rFonts w:cs="Arial"/>
          <w:szCs w:val="24"/>
        </w:rPr>
      </w:pPr>
      <w:r>
        <w:rPr>
          <w:rFonts w:cs="Arial"/>
          <w:szCs w:val="24"/>
        </w:rPr>
        <w:br w:type="page"/>
      </w:r>
      <w:r w:rsidR="00CA60F1" w:rsidRPr="0090520C">
        <w:rPr>
          <w:noProof/>
        </w:rPr>
        <w:drawing>
          <wp:inline distT="0" distB="0" distL="0" distR="0" wp14:anchorId="6EA965B3" wp14:editId="73AF7431">
            <wp:extent cx="9777730" cy="5869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777730" cy="5869305"/>
                    </a:xfrm>
                    <a:prstGeom prst="rect">
                      <a:avLst/>
                    </a:prstGeom>
                    <a:noFill/>
                    <a:ln>
                      <a:noFill/>
                    </a:ln>
                  </pic:spPr>
                </pic:pic>
              </a:graphicData>
            </a:graphic>
          </wp:inline>
        </w:drawing>
      </w:r>
      <w:r w:rsidR="00CA60F1">
        <w:rPr>
          <w:rFonts w:cs="Arial"/>
          <w:szCs w:val="24"/>
        </w:rPr>
        <w:br w:type="page"/>
      </w:r>
    </w:p>
    <w:p w14:paraId="6A1447D3" w14:textId="77777777" w:rsidR="00CA60F1" w:rsidRDefault="00CA60F1" w:rsidP="00CA60F1">
      <w:pPr>
        <w:spacing w:before="0" w:after="200" w:line="276" w:lineRule="auto"/>
        <w:rPr>
          <w:rFonts w:cs="Arial"/>
          <w:szCs w:val="24"/>
        </w:rPr>
      </w:pPr>
      <w:r w:rsidRPr="0090520C">
        <w:rPr>
          <w:noProof/>
        </w:rPr>
        <w:drawing>
          <wp:inline distT="0" distB="0" distL="0" distR="0" wp14:anchorId="2D0978DC" wp14:editId="5F6E498A">
            <wp:extent cx="9777730" cy="3362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777730" cy="3362960"/>
                    </a:xfrm>
                    <a:prstGeom prst="rect">
                      <a:avLst/>
                    </a:prstGeom>
                    <a:noFill/>
                    <a:ln>
                      <a:noFill/>
                    </a:ln>
                  </pic:spPr>
                </pic:pic>
              </a:graphicData>
            </a:graphic>
          </wp:inline>
        </w:drawing>
      </w:r>
    </w:p>
    <w:p w14:paraId="271451F4" w14:textId="77777777" w:rsidR="00CA60F1" w:rsidRDefault="00CA60F1" w:rsidP="00CA60F1">
      <w:pPr>
        <w:spacing w:before="0" w:after="200" w:line="276" w:lineRule="auto"/>
        <w:rPr>
          <w:rFonts w:cs="Arial"/>
          <w:szCs w:val="24"/>
        </w:rPr>
      </w:pPr>
    </w:p>
    <w:p w14:paraId="4E1330BA" w14:textId="77777777" w:rsidR="00CA60F1" w:rsidRDefault="00CA60F1">
      <w:pPr>
        <w:spacing w:before="0" w:after="200" w:line="276" w:lineRule="auto"/>
        <w:rPr>
          <w:rFonts w:cs="Arial"/>
          <w:szCs w:val="24"/>
        </w:rPr>
      </w:pPr>
      <w:r>
        <w:rPr>
          <w:rFonts w:cs="Arial"/>
          <w:szCs w:val="24"/>
        </w:rPr>
        <w:br w:type="page"/>
      </w:r>
    </w:p>
    <w:p w14:paraId="4CA7A9C3" w14:textId="2C6F65A5" w:rsidR="0090520C" w:rsidRDefault="00D17C64" w:rsidP="0090520C">
      <w:pPr>
        <w:spacing w:before="0" w:after="200" w:line="276" w:lineRule="auto"/>
        <w:rPr>
          <w:rFonts w:cs="Arial"/>
          <w:szCs w:val="24"/>
        </w:rPr>
        <w:sectPr w:rsidR="0090520C" w:rsidSect="0090520C">
          <w:pgSz w:w="16838" w:h="11906" w:orient="landscape"/>
          <w:pgMar w:top="720" w:right="720" w:bottom="720" w:left="720" w:header="680" w:footer="727" w:gutter="0"/>
          <w:cols w:space="708"/>
          <w:titlePg/>
          <w:docGrid w:linePitch="360"/>
        </w:sectPr>
      </w:pPr>
      <w:r w:rsidRPr="00D17C64">
        <w:rPr>
          <w:noProof/>
        </w:rPr>
        <w:drawing>
          <wp:inline distT="0" distB="0" distL="0" distR="0" wp14:anchorId="125B0918" wp14:editId="0A2F8559">
            <wp:extent cx="8091805" cy="6645910"/>
            <wp:effectExtent l="0" t="0" r="444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1805" cy="6645910"/>
                    </a:xfrm>
                    <a:prstGeom prst="rect">
                      <a:avLst/>
                    </a:prstGeom>
                    <a:noFill/>
                    <a:ln>
                      <a:noFill/>
                    </a:ln>
                  </pic:spPr>
                </pic:pic>
              </a:graphicData>
            </a:graphic>
          </wp:inline>
        </w:drawing>
      </w:r>
      <w:r w:rsidR="00CA60F1">
        <w:rPr>
          <w:rFonts w:cs="Arial"/>
          <w:szCs w:val="24"/>
        </w:rPr>
        <w:br w:type="page"/>
      </w:r>
      <w:r w:rsidR="00CA60F1" w:rsidRPr="00D17C64">
        <w:rPr>
          <w:noProof/>
        </w:rPr>
        <w:drawing>
          <wp:inline distT="0" distB="0" distL="0" distR="0" wp14:anchorId="680E4855" wp14:editId="06F9C6BD">
            <wp:extent cx="8192135" cy="66459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92135" cy="6645910"/>
                    </a:xfrm>
                    <a:prstGeom prst="rect">
                      <a:avLst/>
                    </a:prstGeom>
                    <a:noFill/>
                    <a:ln>
                      <a:noFill/>
                    </a:ln>
                  </pic:spPr>
                </pic:pic>
              </a:graphicData>
            </a:graphic>
          </wp:inline>
        </w:drawing>
      </w:r>
      <w:r w:rsidR="00CA60F1">
        <w:rPr>
          <w:rFonts w:cs="Arial"/>
          <w:szCs w:val="24"/>
        </w:rPr>
        <w:br w:type="page"/>
      </w:r>
    </w:p>
    <w:p w14:paraId="7F231A9E" w14:textId="00C117BD" w:rsidR="007C40AC" w:rsidRPr="0023464C" w:rsidRDefault="0023464C" w:rsidP="0023464C">
      <w:pPr>
        <w:pStyle w:val="BodyText"/>
        <w:rPr>
          <w:rFonts w:eastAsia="Times New Roman" w:cs="Arial"/>
          <w:b/>
          <w:bCs/>
        </w:rPr>
      </w:pPr>
      <w:r w:rsidRPr="0023464C">
        <w:rPr>
          <w:rFonts w:eastAsia="Times New Roman" w:cs="Arial"/>
          <w:b/>
          <w:bCs/>
        </w:rPr>
        <w:t xml:space="preserve">Cash equivalent transfer values </w:t>
      </w:r>
    </w:p>
    <w:p w14:paraId="77F00B73" w14:textId="77777777" w:rsidR="0023464C" w:rsidRPr="0023464C" w:rsidRDefault="0023464C" w:rsidP="0023464C">
      <w:pPr>
        <w:pStyle w:val="BodyText"/>
        <w:rPr>
          <w:rFonts w:eastAsia="Times New Roman" w:cs="Arial"/>
        </w:rPr>
      </w:pPr>
      <w:r w:rsidRPr="0023464C">
        <w:rPr>
          <w:rFonts w:eastAsia="Times New Roman" w:cs="Arial"/>
        </w:rPr>
        <w:t>A cash equivalent transfer value (CETV) is the actuarially assessed capital value of the pension scheme benefits accrued by a member at a particular point in time. The benefits valued are the member’s accrued benefits and any contingent spouse’s (or other allowable beneficiary’s) pension payable from the scheme.</w:t>
      </w:r>
    </w:p>
    <w:p w14:paraId="4EF43D4D" w14:textId="77777777" w:rsidR="0023464C" w:rsidRPr="0023464C" w:rsidRDefault="0023464C" w:rsidP="0023464C">
      <w:pPr>
        <w:pStyle w:val="BodyText"/>
        <w:rPr>
          <w:rFonts w:eastAsia="Times New Roman" w:cs="Arial"/>
        </w:rPr>
      </w:pPr>
      <w:r w:rsidRPr="0023464C">
        <w:rPr>
          <w:rFonts w:eastAsia="Times New Roman" w:cs="Arial"/>
        </w:rPr>
        <w:t>A CETV is a payment made by a pension scheme or arrangement to secure pension benefits in another pension scheme or arrangement when the member leaves a scheme and chooses to transfer the benefits accrued in their former scheme. The pension figures shown relate to the benefits that the individual has accrued as a consequence of their total membership of the pension scheme, not just their service in a senior capacity to which disclosure applies.</w:t>
      </w:r>
    </w:p>
    <w:p w14:paraId="0AE09D00" w14:textId="77777777" w:rsidR="0023464C" w:rsidRPr="0023464C" w:rsidRDefault="0023464C" w:rsidP="0023464C">
      <w:pPr>
        <w:pStyle w:val="BodyText"/>
        <w:rPr>
          <w:rFonts w:eastAsia="Times New Roman" w:cs="Arial"/>
          <w:b/>
        </w:rPr>
      </w:pPr>
      <w:r w:rsidRPr="0023464C">
        <w:rPr>
          <w:rFonts w:eastAsia="Times New Roman" w:cs="Arial"/>
        </w:rPr>
        <w:t>The CETV figures and the other pension details include the value of any pension benefits in another scheme or arrangement which the individual has transferred to the NHS pension scheme. They also include any additional pension benefit accrued to the member as a result of their purchasing additional years of pension service in the scheme at their own cost. CETVs are calculated within the guidelines and framework prescribed by the Institute and Faculty of Actuaries.</w:t>
      </w:r>
      <w:r w:rsidRPr="0023464C">
        <w:rPr>
          <w:rFonts w:eastAsia="Times New Roman" w:cs="Arial"/>
          <w:b/>
        </w:rPr>
        <w:t xml:space="preserve"> </w:t>
      </w:r>
    </w:p>
    <w:p w14:paraId="65F3BD4C" w14:textId="77777777" w:rsidR="0023464C" w:rsidRPr="0023464C" w:rsidRDefault="0023464C" w:rsidP="00D32C49">
      <w:pPr>
        <w:pStyle w:val="BodyText"/>
        <w:spacing w:before="360"/>
        <w:rPr>
          <w:rFonts w:eastAsia="Times New Roman" w:cs="Arial"/>
          <w:b/>
          <w:bCs/>
        </w:rPr>
      </w:pPr>
      <w:r w:rsidRPr="0023464C">
        <w:rPr>
          <w:rFonts w:eastAsia="Times New Roman" w:cs="Arial"/>
          <w:b/>
          <w:bCs/>
        </w:rPr>
        <w:t>Real increase in CETV</w:t>
      </w:r>
    </w:p>
    <w:p w14:paraId="52B20492" w14:textId="77777777" w:rsidR="0023464C" w:rsidRPr="0023464C" w:rsidRDefault="0023464C" w:rsidP="0023464C">
      <w:pPr>
        <w:pStyle w:val="BodyText"/>
        <w:rPr>
          <w:rFonts w:eastAsia="Times New Roman" w:cs="Arial"/>
        </w:rPr>
      </w:pPr>
      <w:r w:rsidRPr="0023464C">
        <w:rPr>
          <w:rFonts w:eastAsia="Times New Roman" w:cs="Arial"/>
        </w:rPr>
        <w:t>This reflects the increase in CETV that is funded by the employer. It does not include the increase in accrued pension due to inflation or contributions paid by the employee (including the value of any benefits transferred from another scheme or arrangement).</w:t>
      </w:r>
    </w:p>
    <w:p w14:paraId="12662777" w14:textId="7EBB4482" w:rsidR="0023464C" w:rsidRPr="0023464C" w:rsidRDefault="0023464C" w:rsidP="00D32C49">
      <w:pPr>
        <w:pStyle w:val="Heading3"/>
        <w:spacing w:before="360"/>
      </w:pPr>
      <w:bookmarkStart w:id="230" w:name="_Toc94188220"/>
      <w:bookmarkStart w:id="231" w:name="_Toc97218372"/>
      <w:bookmarkStart w:id="232" w:name="_Toc107389490"/>
      <w:r w:rsidRPr="0023464C">
        <w:t>Compensation on early retirement o</w:t>
      </w:r>
      <w:r w:rsidR="00680F94">
        <w:t>r</w:t>
      </w:r>
      <w:r w:rsidRPr="0023464C">
        <w:t xml:space="preserve"> for loss of office</w:t>
      </w:r>
      <w:bookmarkEnd w:id="230"/>
      <w:bookmarkEnd w:id="231"/>
      <w:bookmarkEnd w:id="232"/>
    </w:p>
    <w:p w14:paraId="7CCBB511" w14:textId="77777777" w:rsidR="008D592D" w:rsidRDefault="008D592D" w:rsidP="008D592D">
      <w:pPr>
        <w:rPr>
          <w:rFonts w:ascii="Calibri" w:hAnsi="Calibri"/>
          <w:sz w:val="22"/>
        </w:rPr>
      </w:pPr>
      <w:bookmarkStart w:id="233" w:name="_Toc94188221"/>
      <w:bookmarkStart w:id="234" w:name="_Toc97218373"/>
      <w:r>
        <w:t>There have been no payments for compensation on early retirement or for loss of office during the course of the year.</w:t>
      </w:r>
    </w:p>
    <w:p w14:paraId="724F855B" w14:textId="7297C393" w:rsidR="0023464C" w:rsidRPr="00CB4732" w:rsidRDefault="0023464C" w:rsidP="00D32C49">
      <w:pPr>
        <w:pStyle w:val="Heading3"/>
        <w:spacing w:before="360"/>
      </w:pPr>
      <w:bookmarkStart w:id="235" w:name="_Toc107389491"/>
      <w:r w:rsidRPr="0023464C">
        <w:t>Payments to past directors</w:t>
      </w:r>
      <w:bookmarkEnd w:id="233"/>
      <w:bookmarkEnd w:id="234"/>
      <w:bookmarkEnd w:id="235"/>
      <w:r w:rsidR="00CB4732">
        <w:t xml:space="preserve"> </w:t>
      </w:r>
    </w:p>
    <w:p w14:paraId="567031A9" w14:textId="77777777" w:rsidR="008D592D" w:rsidRDefault="008D592D" w:rsidP="008D592D">
      <w:pPr>
        <w:rPr>
          <w:rFonts w:ascii="Calibri" w:hAnsi="Calibri"/>
          <w:sz w:val="22"/>
        </w:rPr>
      </w:pPr>
      <w:r>
        <w:t>There have been no payments to past directors during the course of the year.</w:t>
      </w:r>
    </w:p>
    <w:tbl>
      <w:tblPr>
        <w:tblW w:w="10060" w:type="dxa"/>
        <w:tblLook w:val="04A0" w:firstRow="1" w:lastRow="0" w:firstColumn="1" w:lastColumn="0" w:noHBand="0" w:noVBand="1"/>
      </w:tblPr>
      <w:tblGrid>
        <w:gridCol w:w="1580"/>
        <w:gridCol w:w="1580"/>
        <w:gridCol w:w="1040"/>
        <w:gridCol w:w="1260"/>
        <w:gridCol w:w="1040"/>
        <w:gridCol w:w="1260"/>
        <w:gridCol w:w="1040"/>
        <w:gridCol w:w="1260"/>
      </w:tblGrid>
      <w:tr w:rsidR="007C40AC" w:rsidRPr="007C40AC" w14:paraId="142021CD" w14:textId="77777777" w:rsidTr="007C40AC">
        <w:trPr>
          <w:trHeight w:val="348"/>
        </w:trPr>
        <w:tc>
          <w:tcPr>
            <w:tcW w:w="3160" w:type="dxa"/>
            <w:gridSpan w:val="2"/>
            <w:tcBorders>
              <w:top w:val="nil"/>
              <w:left w:val="nil"/>
              <w:bottom w:val="nil"/>
              <w:right w:val="nil"/>
            </w:tcBorders>
            <w:shd w:val="clear" w:color="000000" w:fill="FFFFFF"/>
            <w:noWrap/>
            <w:vAlign w:val="center"/>
            <w:hideMark/>
          </w:tcPr>
          <w:p w14:paraId="5F850BCB" w14:textId="77777777" w:rsidR="007C40AC" w:rsidRPr="007C40AC" w:rsidRDefault="007C40AC" w:rsidP="00D32C49">
            <w:pPr>
              <w:spacing w:before="360" w:after="0"/>
              <w:ind w:left="-105"/>
              <w:rPr>
                <w:rFonts w:eastAsia="Times New Roman" w:cs="Arial"/>
                <w:b/>
                <w:bCs/>
                <w:color w:val="000000"/>
                <w:sz w:val="28"/>
                <w:szCs w:val="28"/>
                <w:lang w:eastAsia="en-GB"/>
              </w:rPr>
            </w:pPr>
            <w:bookmarkStart w:id="236" w:name="_Toc94188222"/>
            <w:bookmarkStart w:id="237" w:name="_Toc97218374"/>
            <w:bookmarkStart w:id="238" w:name="_Toc450193722"/>
            <w:bookmarkStart w:id="239" w:name="_Toc453089780"/>
            <w:r w:rsidRPr="007C40AC">
              <w:rPr>
                <w:rFonts w:eastAsia="Times New Roman" w:cs="Arial"/>
                <w:b/>
                <w:bCs/>
                <w:color w:val="000000"/>
                <w:sz w:val="28"/>
                <w:szCs w:val="28"/>
                <w:lang w:eastAsia="en-GB"/>
              </w:rPr>
              <w:t>Pay Ratio Information</w:t>
            </w:r>
          </w:p>
        </w:tc>
        <w:tc>
          <w:tcPr>
            <w:tcW w:w="1040" w:type="dxa"/>
            <w:tcBorders>
              <w:top w:val="nil"/>
              <w:left w:val="nil"/>
              <w:bottom w:val="nil"/>
              <w:right w:val="nil"/>
            </w:tcBorders>
            <w:shd w:val="clear" w:color="000000" w:fill="FFFFFF"/>
            <w:noWrap/>
            <w:vAlign w:val="bottom"/>
            <w:hideMark/>
          </w:tcPr>
          <w:p w14:paraId="0E225D51"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c>
          <w:tcPr>
            <w:tcW w:w="1260" w:type="dxa"/>
            <w:tcBorders>
              <w:top w:val="nil"/>
              <w:left w:val="nil"/>
              <w:bottom w:val="nil"/>
              <w:right w:val="nil"/>
            </w:tcBorders>
            <w:shd w:val="clear" w:color="000000" w:fill="FFFFFF"/>
            <w:noWrap/>
            <w:vAlign w:val="bottom"/>
            <w:hideMark/>
          </w:tcPr>
          <w:p w14:paraId="5762957C"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c>
          <w:tcPr>
            <w:tcW w:w="1040" w:type="dxa"/>
            <w:tcBorders>
              <w:top w:val="nil"/>
              <w:left w:val="nil"/>
              <w:bottom w:val="nil"/>
              <w:right w:val="nil"/>
            </w:tcBorders>
            <w:shd w:val="clear" w:color="000000" w:fill="FFFFFF"/>
            <w:noWrap/>
            <w:vAlign w:val="bottom"/>
            <w:hideMark/>
          </w:tcPr>
          <w:p w14:paraId="7C0DA490"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c>
          <w:tcPr>
            <w:tcW w:w="1260" w:type="dxa"/>
            <w:tcBorders>
              <w:top w:val="nil"/>
              <w:left w:val="nil"/>
              <w:bottom w:val="nil"/>
              <w:right w:val="nil"/>
            </w:tcBorders>
            <w:shd w:val="clear" w:color="000000" w:fill="FFFFFF"/>
            <w:noWrap/>
            <w:vAlign w:val="bottom"/>
            <w:hideMark/>
          </w:tcPr>
          <w:p w14:paraId="326F2572"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c>
          <w:tcPr>
            <w:tcW w:w="1040" w:type="dxa"/>
            <w:tcBorders>
              <w:top w:val="nil"/>
              <w:left w:val="nil"/>
              <w:bottom w:val="nil"/>
              <w:right w:val="nil"/>
            </w:tcBorders>
            <w:shd w:val="clear" w:color="000000" w:fill="FFFFFF"/>
            <w:noWrap/>
            <w:vAlign w:val="bottom"/>
            <w:hideMark/>
          </w:tcPr>
          <w:p w14:paraId="6CFC4713"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c>
          <w:tcPr>
            <w:tcW w:w="1260" w:type="dxa"/>
            <w:tcBorders>
              <w:top w:val="nil"/>
              <w:left w:val="nil"/>
              <w:bottom w:val="nil"/>
              <w:right w:val="nil"/>
            </w:tcBorders>
            <w:shd w:val="clear" w:color="000000" w:fill="FFFFFF"/>
            <w:noWrap/>
            <w:vAlign w:val="bottom"/>
            <w:hideMark/>
          </w:tcPr>
          <w:p w14:paraId="253F9ABE"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r>
      <w:tr w:rsidR="007C40AC" w:rsidRPr="007C40AC" w14:paraId="739575A0" w14:textId="77777777" w:rsidTr="007C40AC">
        <w:trPr>
          <w:trHeight w:val="1935"/>
        </w:trPr>
        <w:tc>
          <w:tcPr>
            <w:tcW w:w="10060" w:type="dxa"/>
            <w:gridSpan w:val="8"/>
            <w:tcBorders>
              <w:top w:val="nil"/>
              <w:left w:val="nil"/>
              <w:bottom w:val="nil"/>
              <w:right w:val="nil"/>
            </w:tcBorders>
            <w:shd w:val="clear" w:color="000000" w:fill="FFFFFF"/>
            <w:vAlign w:val="center"/>
            <w:hideMark/>
          </w:tcPr>
          <w:p w14:paraId="739699C1" w14:textId="77777777" w:rsidR="007C40AC" w:rsidRPr="007C40AC" w:rsidRDefault="007C40AC" w:rsidP="007C40AC">
            <w:pPr>
              <w:spacing w:before="0" w:after="0"/>
              <w:ind w:left="-105"/>
              <w:rPr>
                <w:rFonts w:eastAsia="Times New Roman" w:cs="Arial"/>
                <w:color w:val="000000"/>
                <w:szCs w:val="24"/>
                <w:lang w:eastAsia="en-GB"/>
              </w:rPr>
            </w:pPr>
            <w:r w:rsidRPr="007C40AC">
              <w:rPr>
                <w:rFonts w:eastAsia="Times New Roman" w:cs="Arial"/>
                <w:color w:val="000000"/>
                <w:szCs w:val="24"/>
                <w:lang w:eastAsia="en-GB"/>
              </w:rPr>
              <w:t>Reporting bodies are required to disclose the relationship between the remuneration of the highest-paid director / member in their organisation against the 25th percentile, median and 75th percentile of remuneration of the organisation’s workforce. Total remuneration is further broken down to show the relationship between the highest paid director's salary component of their total remuneration against the 25th percentile, median and 75th percentile of salary components of the organisation’s workforce.</w:t>
            </w:r>
          </w:p>
        </w:tc>
      </w:tr>
      <w:tr w:rsidR="007C40AC" w:rsidRPr="007C40AC" w14:paraId="5F956F31" w14:textId="77777777" w:rsidTr="007C40AC">
        <w:trPr>
          <w:trHeight w:val="1320"/>
        </w:trPr>
        <w:tc>
          <w:tcPr>
            <w:tcW w:w="10060" w:type="dxa"/>
            <w:gridSpan w:val="8"/>
            <w:tcBorders>
              <w:top w:val="nil"/>
              <w:left w:val="nil"/>
              <w:bottom w:val="nil"/>
              <w:right w:val="nil"/>
            </w:tcBorders>
            <w:shd w:val="clear" w:color="000000" w:fill="FFFFFF"/>
            <w:vAlign w:val="center"/>
            <w:hideMark/>
          </w:tcPr>
          <w:p w14:paraId="1348814F" w14:textId="77777777" w:rsidR="007C40AC" w:rsidRPr="007C40AC" w:rsidRDefault="007C40AC" w:rsidP="007C40AC">
            <w:pPr>
              <w:spacing w:before="0" w:after="0"/>
              <w:ind w:left="-105"/>
              <w:rPr>
                <w:rFonts w:eastAsia="Times New Roman" w:cs="Arial"/>
                <w:szCs w:val="24"/>
                <w:lang w:eastAsia="en-GB"/>
              </w:rPr>
            </w:pPr>
            <w:r w:rsidRPr="007C40AC">
              <w:rPr>
                <w:rFonts w:eastAsia="Times New Roman" w:cs="Arial"/>
                <w:szCs w:val="24"/>
                <w:lang w:eastAsia="en-GB"/>
              </w:rPr>
              <w:t>The banded remuneration of the highest paid director/member in NHS Basildon &amp; Brentwood CCG in the financial year 2021/22 was £125k - £130k (+9% against 2020/21: £115k - £120k) and the relationship to the remuneration of the organisation's workforce is disclosed in the below table.</w:t>
            </w:r>
            <w:r w:rsidRPr="007C40AC">
              <w:rPr>
                <w:rFonts w:eastAsia="Times New Roman" w:cs="Arial"/>
                <w:b/>
                <w:bCs/>
                <w:szCs w:val="24"/>
                <w:lang w:eastAsia="en-GB"/>
              </w:rPr>
              <w:t xml:space="preserve"> </w:t>
            </w:r>
          </w:p>
        </w:tc>
      </w:tr>
      <w:tr w:rsidR="007C40AC" w:rsidRPr="007C40AC" w14:paraId="6614EC12" w14:textId="77777777" w:rsidTr="007C40AC">
        <w:trPr>
          <w:trHeight w:val="300"/>
        </w:trPr>
        <w:tc>
          <w:tcPr>
            <w:tcW w:w="3160" w:type="dxa"/>
            <w:gridSpan w:val="2"/>
            <w:tcBorders>
              <w:top w:val="nil"/>
              <w:left w:val="nil"/>
              <w:bottom w:val="nil"/>
              <w:right w:val="nil"/>
            </w:tcBorders>
            <w:shd w:val="clear" w:color="000000" w:fill="FFFFFF"/>
            <w:noWrap/>
            <w:vAlign w:val="bottom"/>
            <w:hideMark/>
          </w:tcPr>
          <w:p w14:paraId="74F15806" w14:textId="77777777" w:rsidR="007C40AC" w:rsidRPr="007C40AC" w:rsidRDefault="007C40AC" w:rsidP="00D32C49">
            <w:pPr>
              <w:spacing w:after="0"/>
              <w:ind w:left="-105"/>
              <w:rPr>
                <w:rFonts w:eastAsia="Times New Roman" w:cs="Arial"/>
                <w:color w:val="000000"/>
                <w:szCs w:val="24"/>
                <w:lang w:eastAsia="en-GB"/>
              </w:rPr>
            </w:pPr>
            <w:r w:rsidRPr="007C40AC">
              <w:rPr>
                <w:rFonts w:eastAsia="Times New Roman" w:cs="Arial"/>
                <w:color w:val="000000"/>
                <w:szCs w:val="24"/>
                <w:lang w:eastAsia="en-GB"/>
              </w:rPr>
              <w:t>Pay Ratio information table:</w:t>
            </w:r>
          </w:p>
        </w:tc>
        <w:tc>
          <w:tcPr>
            <w:tcW w:w="1040" w:type="dxa"/>
            <w:tcBorders>
              <w:top w:val="nil"/>
              <w:left w:val="nil"/>
              <w:bottom w:val="nil"/>
              <w:right w:val="nil"/>
            </w:tcBorders>
            <w:shd w:val="clear" w:color="000000" w:fill="FFFFFF"/>
            <w:noWrap/>
            <w:vAlign w:val="bottom"/>
            <w:hideMark/>
          </w:tcPr>
          <w:p w14:paraId="69CAC547"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c>
          <w:tcPr>
            <w:tcW w:w="1260" w:type="dxa"/>
            <w:tcBorders>
              <w:top w:val="nil"/>
              <w:left w:val="nil"/>
              <w:bottom w:val="nil"/>
              <w:right w:val="nil"/>
            </w:tcBorders>
            <w:shd w:val="clear" w:color="000000" w:fill="FFFFFF"/>
            <w:noWrap/>
            <w:vAlign w:val="bottom"/>
            <w:hideMark/>
          </w:tcPr>
          <w:p w14:paraId="22FF329A"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c>
          <w:tcPr>
            <w:tcW w:w="1040" w:type="dxa"/>
            <w:tcBorders>
              <w:top w:val="nil"/>
              <w:left w:val="nil"/>
              <w:bottom w:val="nil"/>
              <w:right w:val="nil"/>
            </w:tcBorders>
            <w:shd w:val="clear" w:color="000000" w:fill="FFFFFF"/>
            <w:noWrap/>
            <w:vAlign w:val="bottom"/>
            <w:hideMark/>
          </w:tcPr>
          <w:p w14:paraId="3344F073"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c>
          <w:tcPr>
            <w:tcW w:w="1260" w:type="dxa"/>
            <w:tcBorders>
              <w:top w:val="nil"/>
              <w:left w:val="nil"/>
              <w:bottom w:val="nil"/>
              <w:right w:val="nil"/>
            </w:tcBorders>
            <w:shd w:val="clear" w:color="000000" w:fill="FFFFFF"/>
            <w:noWrap/>
            <w:vAlign w:val="bottom"/>
            <w:hideMark/>
          </w:tcPr>
          <w:p w14:paraId="76C92F96"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c>
          <w:tcPr>
            <w:tcW w:w="1040" w:type="dxa"/>
            <w:tcBorders>
              <w:top w:val="nil"/>
              <w:left w:val="nil"/>
              <w:bottom w:val="nil"/>
              <w:right w:val="nil"/>
            </w:tcBorders>
            <w:shd w:val="clear" w:color="000000" w:fill="FFFFFF"/>
            <w:noWrap/>
            <w:vAlign w:val="bottom"/>
            <w:hideMark/>
          </w:tcPr>
          <w:p w14:paraId="1F337618"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c>
          <w:tcPr>
            <w:tcW w:w="1260" w:type="dxa"/>
            <w:tcBorders>
              <w:top w:val="nil"/>
              <w:left w:val="nil"/>
              <w:bottom w:val="nil"/>
              <w:right w:val="nil"/>
            </w:tcBorders>
            <w:shd w:val="clear" w:color="000000" w:fill="FFFFFF"/>
            <w:noWrap/>
            <w:vAlign w:val="bottom"/>
            <w:hideMark/>
          </w:tcPr>
          <w:p w14:paraId="14464014"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r>
      <w:tr w:rsidR="007C40AC" w:rsidRPr="007C40AC" w14:paraId="121FD80C" w14:textId="77777777" w:rsidTr="007C40AC">
        <w:trPr>
          <w:trHeight w:val="198"/>
        </w:trPr>
        <w:tc>
          <w:tcPr>
            <w:tcW w:w="1580" w:type="dxa"/>
            <w:tcBorders>
              <w:top w:val="nil"/>
              <w:left w:val="nil"/>
              <w:bottom w:val="nil"/>
              <w:right w:val="nil"/>
            </w:tcBorders>
            <w:shd w:val="clear" w:color="000000" w:fill="FFFFFF"/>
            <w:noWrap/>
            <w:vAlign w:val="bottom"/>
            <w:hideMark/>
          </w:tcPr>
          <w:p w14:paraId="4BB16034" w14:textId="77777777" w:rsidR="007C40AC" w:rsidRPr="007C40AC" w:rsidRDefault="007C40AC" w:rsidP="007C40AC">
            <w:pPr>
              <w:spacing w:before="0" w:after="0"/>
              <w:ind w:left="-105"/>
              <w:rPr>
                <w:rFonts w:eastAsia="Times New Roman" w:cs="Arial"/>
                <w:sz w:val="20"/>
                <w:szCs w:val="20"/>
                <w:lang w:eastAsia="en-GB"/>
              </w:rPr>
            </w:pPr>
            <w:r w:rsidRPr="007C40AC">
              <w:rPr>
                <w:rFonts w:eastAsia="Times New Roman" w:cs="Arial"/>
                <w:sz w:val="20"/>
                <w:szCs w:val="20"/>
                <w:lang w:eastAsia="en-GB"/>
              </w:rPr>
              <w:t> </w:t>
            </w:r>
          </w:p>
        </w:tc>
        <w:tc>
          <w:tcPr>
            <w:tcW w:w="1580" w:type="dxa"/>
            <w:tcBorders>
              <w:top w:val="nil"/>
              <w:left w:val="nil"/>
              <w:bottom w:val="nil"/>
              <w:right w:val="nil"/>
            </w:tcBorders>
            <w:shd w:val="clear" w:color="000000" w:fill="FFFFFF"/>
            <w:noWrap/>
            <w:vAlign w:val="center"/>
            <w:hideMark/>
          </w:tcPr>
          <w:p w14:paraId="6EC499C8" w14:textId="77777777" w:rsidR="007C40AC" w:rsidRPr="007C40AC" w:rsidRDefault="007C40AC" w:rsidP="007C40AC">
            <w:pPr>
              <w:spacing w:before="0" w:after="0"/>
              <w:ind w:left="-105"/>
              <w:rPr>
                <w:rFonts w:eastAsia="Times New Roman" w:cs="Arial"/>
                <w:color w:val="000000"/>
                <w:szCs w:val="24"/>
                <w:lang w:eastAsia="en-GB"/>
              </w:rPr>
            </w:pPr>
            <w:r w:rsidRPr="007C40AC">
              <w:rPr>
                <w:rFonts w:eastAsia="Times New Roman" w:cs="Arial"/>
                <w:color w:val="000000"/>
                <w:szCs w:val="24"/>
                <w:lang w:eastAsia="en-GB"/>
              </w:rPr>
              <w:t> </w:t>
            </w:r>
          </w:p>
        </w:tc>
        <w:tc>
          <w:tcPr>
            <w:tcW w:w="1040" w:type="dxa"/>
            <w:tcBorders>
              <w:top w:val="nil"/>
              <w:left w:val="nil"/>
              <w:bottom w:val="nil"/>
              <w:right w:val="nil"/>
            </w:tcBorders>
            <w:shd w:val="clear" w:color="000000" w:fill="FFFFFF"/>
            <w:noWrap/>
            <w:vAlign w:val="bottom"/>
            <w:hideMark/>
          </w:tcPr>
          <w:p w14:paraId="074C8745"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c>
          <w:tcPr>
            <w:tcW w:w="1260" w:type="dxa"/>
            <w:tcBorders>
              <w:top w:val="nil"/>
              <w:left w:val="nil"/>
              <w:bottom w:val="nil"/>
              <w:right w:val="nil"/>
            </w:tcBorders>
            <w:shd w:val="clear" w:color="000000" w:fill="FFFFFF"/>
            <w:noWrap/>
            <w:vAlign w:val="bottom"/>
            <w:hideMark/>
          </w:tcPr>
          <w:p w14:paraId="1DEE0E0D"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c>
          <w:tcPr>
            <w:tcW w:w="1040" w:type="dxa"/>
            <w:tcBorders>
              <w:top w:val="nil"/>
              <w:left w:val="nil"/>
              <w:bottom w:val="nil"/>
              <w:right w:val="nil"/>
            </w:tcBorders>
            <w:shd w:val="clear" w:color="000000" w:fill="FFFFFF"/>
            <w:noWrap/>
            <w:vAlign w:val="bottom"/>
            <w:hideMark/>
          </w:tcPr>
          <w:p w14:paraId="509DD41A"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c>
          <w:tcPr>
            <w:tcW w:w="1260" w:type="dxa"/>
            <w:tcBorders>
              <w:top w:val="nil"/>
              <w:left w:val="nil"/>
              <w:bottom w:val="nil"/>
              <w:right w:val="nil"/>
            </w:tcBorders>
            <w:shd w:val="clear" w:color="000000" w:fill="FFFFFF"/>
            <w:noWrap/>
            <w:vAlign w:val="bottom"/>
            <w:hideMark/>
          </w:tcPr>
          <w:p w14:paraId="51DEB8F2"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c>
          <w:tcPr>
            <w:tcW w:w="1040" w:type="dxa"/>
            <w:tcBorders>
              <w:top w:val="nil"/>
              <w:left w:val="nil"/>
              <w:bottom w:val="nil"/>
              <w:right w:val="nil"/>
            </w:tcBorders>
            <w:shd w:val="clear" w:color="000000" w:fill="FFFFFF"/>
            <w:noWrap/>
            <w:vAlign w:val="bottom"/>
            <w:hideMark/>
          </w:tcPr>
          <w:p w14:paraId="6869EB09"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c>
          <w:tcPr>
            <w:tcW w:w="1260" w:type="dxa"/>
            <w:tcBorders>
              <w:top w:val="nil"/>
              <w:left w:val="nil"/>
              <w:bottom w:val="nil"/>
              <w:right w:val="nil"/>
            </w:tcBorders>
            <w:shd w:val="clear" w:color="000000" w:fill="FFFFFF"/>
            <w:noWrap/>
            <w:vAlign w:val="bottom"/>
            <w:hideMark/>
          </w:tcPr>
          <w:p w14:paraId="426AB147"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r>
      <w:tr w:rsidR="007C40AC" w:rsidRPr="007C40AC" w14:paraId="79392D2D" w14:textId="77777777" w:rsidTr="007C40AC">
        <w:trPr>
          <w:trHeight w:val="402"/>
        </w:trPr>
        <w:tc>
          <w:tcPr>
            <w:tcW w:w="3160" w:type="dxa"/>
            <w:gridSpan w:val="2"/>
            <w:tcBorders>
              <w:top w:val="single" w:sz="8" w:space="0" w:color="auto"/>
              <w:left w:val="single" w:sz="8" w:space="0" w:color="auto"/>
              <w:bottom w:val="single" w:sz="8" w:space="0" w:color="auto"/>
              <w:right w:val="single" w:sz="8" w:space="0" w:color="000000"/>
            </w:tcBorders>
            <w:shd w:val="clear" w:color="000000" w:fill="DCE6F1"/>
            <w:vAlign w:val="center"/>
            <w:hideMark/>
          </w:tcPr>
          <w:p w14:paraId="6AB0035F" w14:textId="77777777" w:rsidR="007C40AC" w:rsidRPr="007C40AC" w:rsidRDefault="007C40AC" w:rsidP="007C40AC">
            <w:pPr>
              <w:spacing w:before="0" w:after="0"/>
              <w:ind w:left="-105"/>
              <w:jc w:val="right"/>
              <w:rPr>
                <w:rFonts w:eastAsia="Times New Roman" w:cs="Arial"/>
                <w:b/>
                <w:bCs/>
                <w:color w:val="000000"/>
                <w:szCs w:val="24"/>
                <w:lang w:eastAsia="en-GB"/>
              </w:rPr>
            </w:pPr>
            <w:r w:rsidRPr="007C40AC">
              <w:rPr>
                <w:rFonts w:eastAsia="Times New Roman" w:cs="Arial"/>
                <w:b/>
                <w:bCs/>
                <w:color w:val="000000"/>
                <w:szCs w:val="24"/>
                <w:lang w:eastAsia="en-GB"/>
              </w:rPr>
              <w:t>2021-22</w:t>
            </w:r>
          </w:p>
        </w:tc>
        <w:tc>
          <w:tcPr>
            <w:tcW w:w="2300" w:type="dxa"/>
            <w:gridSpan w:val="2"/>
            <w:tcBorders>
              <w:top w:val="single" w:sz="8" w:space="0" w:color="auto"/>
              <w:left w:val="nil"/>
              <w:bottom w:val="single" w:sz="8" w:space="0" w:color="auto"/>
              <w:right w:val="single" w:sz="8" w:space="0" w:color="000000"/>
            </w:tcBorders>
            <w:shd w:val="clear" w:color="000000" w:fill="DCE6F1"/>
            <w:vAlign w:val="center"/>
            <w:hideMark/>
          </w:tcPr>
          <w:p w14:paraId="7D7E4A7F" w14:textId="77777777" w:rsidR="007C40AC" w:rsidRPr="007C40AC" w:rsidRDefault="007C40AC" w:rsidP="007C40AC">
            <w:pPr>
              <w:spacing w:before="0" w:after="0"/>
              <w:jc w:val="right"/>
              <w:rPr>
                <w:rFonts w:eastAsia="Times New Roman" w:cs="Arial"/>
                <w:b/>
                <w:bCs/>
                <w:color w:val="000000"/>
                <w:szCs w:val="24"/>
                <w:lang w:eastAsia="en-GB"/>
              </w:rPr>
            </w:pPr>
            <w:r w:rsidRPr="007C40AC">
              <w:rPr>
                <w:rFonts w:eastAsia="Times New Roman" w:cs="Arial"/>
                <w:b/>
                <w:bCs/>
                <w:color w:val="000000"/>
                <w:szCs w:val="24"/>
                <w:lang w:eastAsia="en-GB"/>
              </w:rPr>
              <w:t>25th percentile</w:t>
            </w:r>
          </w:p>
        </w:tc>
        <w:tc>
          <w:tcPr>
            <w:tcW w:w="2300" w:type="dxa"/>
            <w:gridSpan w:val="2"/>
            <w:tcBorders>
              <w:top w:val="single" w:sz="8" w:space="0" w:color="auto"/>
              <w:left w:val="nil"/>
              <w:bottom w:val="single" w:sz="8" w:space="0" w:color="auto"/>
              <w:right w:val="single" w:sz="8" w:space="0" w:color="000000"/>
            </w:tcBorders>
            <w:shd w:val="clear" w:color="000000" w:fill="DCE6F1"/>
            <w:vAlign w:val="center"/>
            <w:hideMark/>
          </w:tcPr>
          <w:p w14:paraId="70FCD50F" w14:textId="77777777" w:rsidR="007C40AC" w:rsidRPr="007C40AC" w:rsidRDefault="007C40AC" w:rsidP="007C40AC">
            <w:pPr>
              <w:spacing w:before="0" w:after="0"/>
              <w:jc w:val="right"/>
              <w:rPr>
                <w:rFonts w:eastAsia="Times New Roman" w:cs="Arial"/>
                <w:b/>
                <w:bCs/>
                <w:color w:val="000000"/>
                <w:szCs w:val="24"/>
                <w:lang w:eastAsia="en-GB"/>
              </w:rPr>
            </w:pPr>
            <w:r w:rsidRPr="007C40AC">
              <w:rPr>
                <w:rFonts w:eastAsia="Times New Roman" w:cs="Arial"/>
                <w:b/>
                <w:bCs/>
                <w:color w:val="000000"/>
                <w:szCs w:val="24"/>
                <w:lang w:eastAsia="en-GB"/>
              </w:rPr>
              <w:t xml:space="preserve">Median </w:t>
            </w:r>
          </w:p>
        </w:tc>
        <w:tc>
          <w:tcPr>
            <w:tcW w:w="2300" w:type="dxa"/>
            <w:gridSpan w:val="2"/>
            <w:tcBorders>
              <w:top w:val="single" w:sz="8" w:space="0" w:color="auto"/>
              <w:left w:val="nil"/>
              <w:bottom w:val="single" w:sz="8" w:space="0" w:color="auto"/>
              <w:right w:val="single" w:sz="8" w:space="0" w:color="000000"/>
            </w:tcBorders>
            <w:shd w:val="clear" w:color="000000" w:fill="DCE6F1"/>
            <w:vAlign w:val="center"/>
            <w:hideMark/>
          </w:tcPr>
          <w:p w14:paraId="2E868215" w14:textId="77777777" w:rsidR="007C40AC" w:rsidRPr="007C40AC" w:rsidRDefault="007C40AC" w:rsidP="007C40AC">
            <w:pPr>
              <w:spacing w:before="0" w:after="0"/>
              <w:jc w:val="right"/>
              <w:rPr>
                <w:rFonts w:eastAsia="Times New Roman" w:cs="Arial"/>
                <w:b/>
                <w:bCs/>
                <w:color w:val="000000"/>
                <w:szCs w:val="24"/>
                <w:lang w:eastAsia="en-GB"/>
              </w:rPr>
            </w:pPr>
            <w:r w:rsidRPr="007C40AC">
              <w:rPr>
                <w:rFonts w:eastAsia="Times New Roman" w:cs="Arial"/>
                <w:b/>
                <w:bCs/>
                <w:color w:val="000000"/>
                <w:szCs w:val="24"/>
                <w:lang w:eastAsia="en-GB"/>
              </w:rPr>
              <w:t>75th percentile</w:t>
            </w:r>
          </w:p>
        </w:tc>
      </w:tr>
      <w:tr w:rsidR="007C40AC" w:rsidRPr="007C40AC" w14:paraId="4A300CD9" w14:textId="77777777" w:rsidTr="008E7B63">
        <w:trPr>
          <w:trHeight w:val="487"/>
        </w:trPr>
        <w:tc>
          <w:tcPr>
            <w:tcW w:w="3160" w:type="dxa"/>
            <w:gridSpan w:val="2"/>
            <w:tcBorders>
              <w:top w:val="nil"/>
              <w:left w:val="single" w:sz="8" w:space="0" w:color="auto"/>
              <w:bottom w:val="single" w:sz="8" w:space="0" w:color="auto"/>
              <w:right w:val="single" w:sz="8" w:space="0" w:color="000000"/>
            </w:tcBorders>
            <w:shd w:val="clear" w:color="000000" w:fill="FFFFFF"/>
            <w:vAlign w:val="center"/>
            <w:hideMark/>
          </w:tcPr>
          <w:p w14:paraId="2187177A" w14:textId="77777777" w:rsidR="007C40AC" w:rsidRPr="007C40AC" w:rsidRDefault="007C40AC" w:rsidP="007C40AC">
            <w:pPr>
              <w:spacing w:before="0" w:after="0"/>
              <w:ind w:left="-105"/>
              <w:jc w:val="right"/>
              <w:rPr>
                <w:rFonts w:eastAsia="Times New Roman" w:cs="Arial"/>
                <w:color w:val="000000"/>
                <w:szCs w:val="24"/>
                <w:lang w:eastAsia="en-GB"/>
              </w:rPr>
            </w:pPr>
            <w:r w:rsidRPr="007C40AC">
              <w:rPr>
                <w:rFonts w:eastAsia="Times New Roman" w:cs="Arial"/>
                <w:color w:val="000000"/>
                <w:szCs w:val="24"/>
                <w:lang w:eastAsia="en-GB"/>
              </w:rPr>
              <w:t>Total remuneration (£)</w:t>
            </w:r>
          </w:p>
        </w:tc>
        <w:tc>
          <w:tcPr>
            <w:tcW w:w="2300" w:type="dxa"/>
            <w:gridSpan w:val="2"/>
            <w:tcBorders>
              <w:top w:val="single" w:sz="8" w:space="0" w:color="auto"/>
              <w:left w:val="nil"/>
              <w:bottom w:val="single" w:sz="8" w:space="0" w:color="auto"/>
              <w:right w:val="single" w:sz="8" w:space="0" w:color="000000"/>
            </w:tcBorders>
            <w:shd w:val="clear" w:color="000000" w:fill="FFFFFF"/>
            <w:vAlign w:val="center"/>
            <w:hideMark/>
          </w:tcPr>
          <w:p w14:paraId="569C6E2C" w14:textId="77777777" w:rsidR="007C40AC" w:rsidRPr="007C40AC" w:rsidRDefault="007C40AC" w:rsidP="007C40AC">
            <w:pPr>
              <w:spacing w:before="0" w:after="0"/>
              <w:jc w:val="right"/>
              <w:rPr>
                <w:rFonts w:eastAsia="Times New Roman" w:cs="Arial"/>
                <w:szCs w:val="24"/>
                <w:lang w:eastAsia="en-GB"/>
              </w:rPr>
            </w:pPr>
            <w:r w:rsidRPr="007C40AC">
              <w:rPr>
                <w:rFonts w:eastAsia="Times New Roman" w:cs="Arial"/>
                <w:szCs w:val="24"/>
                <w:lang w:eastAsia="en-GB"/>
              </w:rPr>
              <w:t>£26,085</w:t>
            </w:r>
          </w:p>
        </w:tc>
        <w:tc>
          <w:tcPr>
            <w:tcW w:w="2300" w:type="dxa"/>
            <w:gridSpan w:val="2"/>
            <w:tcBorders>
              <w:top w:val="single" w:sz="8" w:space="0" w:color="auto"/>
              <w:left w:val="nil"/>
              <w:bottom w:val="single" w:sz="8" w:space="0" w:color="auto"/>
              <w:right w:val="single" w:sz="8" w:space="0" w:color="000000"/>
            </w:tcBorders>
            <w:shd w:val="clear" w:color="000000" w:fill="FFFFFF"/>
            <w:vAlign w:val="center"/>
            <w:hideMark/>
          </w:tcPr>
          <w:p w14:paraId="4A3B796E" w14:textId="77777777" w:rsidR="007C40AC" w:rsidRPr="007C40AC" w:rsidRDefault="007C40AC" w:rsidP="007C40AC">
            <w:pPr>
              <w:spacing w:before="0" w:after="0"/>
              <w:jc w:val="right"/>
              <w:rPr>
                <w:rFonts w:eastAsia="Times New Roman" w:cs="Arial"/>
                <w:szCs w:val="24"/>
                <w:lang w:eastAsia="en-GB"/>
              </w:rPr>
            </w:pPr>
            <w:r w:rsidRPr="007C40AC">
              <w:rPr>
                <w:rFonts w:eastAsia="Times New Roman" w:cs="Arial"/>
                <w:szCs w:val="24"/>
                <w:lang w:eastAsia="en-GB"/>
              </w:rPr>
              <w:t>£40,383</w:t>
            </w:r>
          </w:p>
        </w:tc>
        <w:tc>
          <w:tcPr>
            <w:tcW w:w="2300" w:type="dxa"/>
            <w:gridSpan w:val="2"/>
            <w:tcBorders>
              <w:top w:val="single" w:sz="8" w:space="0" w:color="auto"/>
              <w:left w:val="nil"/>
              <w:bottom w:val="single" w:sz="8" w:space="0" w:color="auto"/>
              <w:right w:val="single" w:sz="8" w:space="0" w:color="000000"/>
            </w:tcBorders>
            <w:shd w:val="clear" w:color="000000" w:fill="FFFFFF"/>
            <w:vAlign w:val="center"/>
            <w:hideMark/>
          </w:tcPr>
          <w:p w14:paraId="66AE5CEE" w14:textId="77777777" w:rsidR="007C40AC" w:rsidRPr="007C40AC" w:rsidRDefault="007C40AC" w:rsidP="007C40AC">
            <w:pPr>
              <w:spacing w:before="0" w:after="0"/>
              <w:jc w:val="right"/>
              <w:rPr>
                <w:rFonts w:eastAsia="Times New Roman" w:cs="Arial"/>
                <w:szCs w:val="24"/>
                <w:lang w:eastAsia="en-GB"/>
              </w:rPr>
            </w:pPr>
            <w:r w:rsidRPr="007C40AC">
              <w:rPr>
                <w:rFonts w:eastAsia="Times New Roman" w:cs="Arial"/>
                <w:szCs w:val="24"/>
                <w:lang w:eastAsia="en-GB"/>
              </w:rPr>
              <w:t>£55,476</w:t>
            </w:r>
          </w:p>
        </w:tc>
      </w:tr>
      <w:tr w:rsidR="007C40AC" w:rsidRPr="007C40AC" w14:paraId="61BD8BA4" w14:textId="77777777" w:rsidTr="008E7B63">
        <w:trPr>
          <w:trHeight w:val="604"/>
        </w:trPr>
        <w:tc>
          <w:tcPr>
            <w:tcW w:w="316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3069BA5F" w14:textId="77777777" w:rsidR="007C40AC" w:rsidRPr="007C40AC" w:rsidRDefault="007C40AC" w:rsidP="007C40AC">
            <w:pPr>
              <w:spacing w:before="0" w:after="0"/>
              <w:ind w:left="-105"/>
              <w:jc w:val="right"/>
              <w:rPr>
                <w:rFonts w:eastAsia="Times New Roman" w:cs="Arial"/>
                <w:color w:val="000000"/>
                <w:szCs w:val="24"/>
                <w:lang w:eastAsia="en-GB"/>
              </w:rPr>
            </w:pPr>
            <w:r w:rsidRPr="007C40AC">
              <w:rPr>
                <w:rFonts w:eastAsia="Times New Roman" w:cs="Arial"/>
                <w:color w:val="000000"/>
                <w:szCs w:val="24"/>
                <w:lang w:eastAsia="en-GB"/>
              </w:rPr>
              <w:t>*Salary component of total remuneration (£)</w:t>
            </w:r>
          </w:p>
        </w:tc>
        <w:tc>
          <w:tcPr>
            <w:tcW w:w="2300" w:type="dxa"/>
            <w:gridSpan w:val="2"/>
            <w:tcBorders>
              <w:top w:val="single" w:sz="8" w:space="0" w:color="auto"/>
              <w:left w:val="nil"/>
              <w:bottom w:val="single" w:sz="8" w:space="0" w:color="auto"/>
              <w:right w:val="single" w:sz="8" w:space="0" w:color="000000"/>
            </w:tcBorders>
            <w:shd w:val="clear" w:color="000000" w:fill="FFFFFF"/>
            <w:vAlign w:val="center"/>
            <w:hideMark/>
          </w:tcPr>
          <w:p w14:paraId="631FAAAC" w14:textId="77777777" w:rsidR="007C40AC" w:rsidRPr="007C40AC" w:rsidRDefault="007C40AC" w:rsidP="007C40AC">
            <w:pPr>
              <w:spacing w:before="0" w:after="0"/>
              <w:jc w:val="right"/>
              <w:rPr>
                <w:rFonts w:eastAsia="Times New Roman" w:cs="Arial"/>
                <w:szCs w:val="24"/>
                <w:lang w:eastAsia="en-GB"/>
              </w:rPr>
            </w:pPr>
            <w:r w:rsidRPr="007C40AC">
              <w:rPr>
                <w:rFonts w:eastAsia="Times New Roman" w:cs="Arial"/>
                <w:szCs w:val="24"/>
                <w:lang w:eastAsia="en-GB"/>
              </w:rPr>
              <w:t>£26,085</w:t>
            </w:r>
          </w:p>
        </w:tc>
        <w:tc>
          <w:tcPr>
            <w:tcW w:w="2300" w:type="dxa"/>
            <w:gridSpan w:val="2"/>
            <w:tcBorders>
              <w:top w:val="single" w:sz="8" w:space="0" w:color="auto"/>
              <w:left w:val="nil"/>
              <w:bottom w:val="single" w:sz="8" w:space="0" w:color="auto"/>
              <w:right w:val="single" w:sz="8" w:space="0" w:color="000000"/>
            </w:tcBorders>
            <w:shd w:val="clear" w:color="000000" w:fill="FFFFFF"/>
            <w:vAlign w:val="center"/>
            <w:hideMark/>
          </w:tcPr>
          <w:p w14:paraId="50E3725B" w14:textId="77777777" w:rsidR="007C40AC" w:rsidRPr="007C40AC" w:rsidRDefault="007C40AC" w:rsidP="007C40AC">
            <w:pPr>
              <w:spacing w:before="0" w:after="0"/>
              <w:jc w:val="right"/>
              <w:rPr>
                <w:rFonts w:eastAsia="Times New Roman" w:cs="Arial"/>
                <w:szCs w:val="24"/>
                <w:lang w:eastAsia="en-GB"/>
              </w:rPr>
            </w:pPr>
            <w:r w:rsidRPr="007C40AC">
              <w:rPr>
                <w:rFonts w:eastAsia="Times New Roman" w:cs="Arial"/>
                <w:szCs w:val="24"/>
                <w:lang w:eastAsia="en-GB"/>
              </w:rPr>
              <w:t>£40,383</w:t>
            </w:r>
          </w:p>
        </w:tc>
        <w:tc>
          <w:tcPr>
            <w:tcW w:w="2300" w:type="dxa"/>
            <w:gridSpan w:val="2"/>
            <w:tcBorders>
              <w:top w:val="single" w:sz="8" w:space="0" w:color="auto"/>
              <w:left w:val="nil"/>
              <w:bottom w:val="single" w:sz="8" w:space="0" w:color="auto"/>
              <w:right w:val="single" w:sz="8" w:space="0" w:color="000000"/>
            </w:tcBorders>
            <w:shd w:val="clear" w:color="000000" w:fill="FFFFFF"/>
            <w:vAlign w:val="center"/>
            <w:hideMark/>
          </w:tcPr>
          <w:p w14:paraId="40A70026" w14:textId="77777777" w:rsidR="007C40AC" w:rsidRPr="007C40AC" w:rsidRDefault="007C40AC" w:rsidP="007C40AC">
            <w:pPr>
              <w:spacing w:before="0" w:after="0"/>
              <w:jc w:val="right"/>
              <w:rPr>
                <w:rFonts w:eastAsia="Times New Roman" w:cs="Arial"/>
                <w:szCs w:val="24"/>
                <w:lang w:eastAsia="en-GB"/>
              </w:rPr>
            </w:pPr>
            <w:r w:rsidRPr="007C40AC">
              <w:rPr>
                <w:rFonts w:eastAsia="Times New Roman" w:cs="Arial"/>
                <w:szCs w:val="24"/>
                <w:lang w:eastAsia="en-GB"/>
              </w:rPr>
              <w:t>£55,476</w:t>
            </w:r>
          </w:p>
        </w:tc>
      </w:tr>
      <w:tr w:rsidR="007C40AC" w:rsidRPr="007C40AC" w14:paraId="5B8968C2" w14:textId="77777777" w:rsidTr="008E7B63">
        <w:trPr>
          <w:trHeight w:val="400"/>
        </w:trPr>
        <w:tc>
          <w:tcPr>
            <w:tcW w:w="3160" w:type="dxa"/>
            <w:gridSpan w:val="2"/>
            <w:tcBorders>
              <w:top w:val="nil"/>
              <w:left w:val="single" w:sz="8" w:space="0" w:color="auto"/>
              <w:bottom w:val="single" w:sz="8" w:space="0" w:color="auto"/>
              <w:right w:val="single" w:sz="8" w:space="0" w:color="000000"/>
            </w:tcBorders>
            <w:shd w:val="clear" w:color="000000" w:fill="FFFFFF"/>
            <w:vAlign w:val="center"/>
            <w:hideMark/>
          </w:tcPr>
          <w:p w14:paraId="3FA30A9D" w14:textId="77777777" w:rsidR="007C40AC" w:rsidRPr="007C40AC" w:rsidRDefault="007C40AC" w:rsidP="007C40AC">
            <w:pPr>
              <w:spacing w:before="0" w:after="0"/>
              <w:ind w:left="-105"/>
              <w:jc w:val="right"/>
              <w:rPr>
                <w:rFonts w:eastAsia="Times New Roman" w:cs="Arial"/>
                <w:color w:val="000000"/>
                <w:szCs w:val="24"/>
                <w:lang w:eastAsia="en-GB"/>
              </w:rPr>
            </w:pPr>
            <w:r w:rsidRPr="007C40AC">
              <w:rPr>
                <w:rFonts w:eastAsia="Times New Roman" w:cs="Arial"/>
                <w:color w:val="000000"/>
                <w:szCs w:val="24"/>
                <w:lang w:eastAsia="en-GB"/>
              </w:rPr>
              <w:t>Pay ratio information</w:t>
            </w:r>
          </w:p>
        </w:tc>
        <w:tc>
          <w:tcPr>
            <w:tcW w:w="2300"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6CDB026C" w14:textId="77777777" w:rsidR="007C40AC" w:rsidRPr="007C40AC" w:rsidRDefault="007C40AC" w:rsidP="007C40AC">
            <w:pPr>
              <w:spacing w:before="0" w:after="0"/>
              <w:jc w:val="right"/>
              <w:rPr>
                <w:rFonts w:eastAsia="Times New Roman" w:cs="Arial"/>
                <w:szCs w:val="24"/>
                <w:lang w:eastAsia="en-GB"/>
              </w:rPr>
            </w:pPr>
            <w:r w:rsidRPr="007C40AC">
              <w:rPr>
                <w:rFonts w:eastAsia="Times New Roman" w:cs="Arial"/>
                <w:szCs w:val="24"/>
                <w:lang w:eastAsia="en-GB"/>
              </w:rPr>
              <w:t>4.9 : 1</w:t>
            </w:r>
          </w:p>
        </w:tc>
        <w:tc>
          <w:tcPr>
            <w:tcW w:w="2300"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28F8DDD3" w14:textId="77777777" w:rsidR="007C40AC" w:rsidRPr="007C40AC" w:rsidRDefault="007C40AC" w:rsidP="007C40AC">
            <w:pPr>
              <w:spacing w:before="0" w:after="0"/>
              <w:jc w:val="right"/>
              <w:rPr>
                <w:rFonts w:eastAsia="Times New Roman" w:cs="Arial"/>
                <w:szCs w:val="24"/>
                <w:lang w:eastAsia="en-GB"/>
              </w:rPr>
            </w:pPr>
            <w:r w:rsidRPr="007C40AC">
              <w:rPr>
                <w:rFonts w:eastAsia="Times New Roman" w:cs="Arial"/>
                <w:szCs w:val="24"/>
                <w:lang w:eastAsia="en-GB"/>
              </w:rPr>
              <w:t>3.2 : 1</w:t>
            </w:r>
          </w:p>
        </w:tc>
        <w:tc>
          <w:tcPr>
            <w:tcW w:w="2300"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6E62B367" w14:textId="77777777" w:rsidR="007C40AC" w:rsidRPr="007C40AC" w:rsidRDefault="007C40AC" w:rsidP="007C40AC">
            <w:pPr>
              <w:spacing w:before="0" w:after="0"/>
              <w:jc w:val="right"/>
              <w:rPr>
                <w:rFonts w:eastAsia="Times New Roman" w:cs="Arial"/>
                <w:szCs w:val="24"/>
                <w:lang w:eastAsia="en-GB"/>
              </w:rPr>
            </w:pPr>
            <w:r w:rsidRPr="007C40AC">
              <w:rPr>
                <w:rFonts w:eastAsia="Times New Roman" w:cs="Arial"/>
                <w:szCs w:val="24"/>
                <w:lang w:eastAsia="en-GB"/>
              </w:rPr>
              <w:t>2.3 : 1</w:t>
            </w:r>
          </w:p>
        </w:tc>
      </w:tr>
      <w:tr w:rsidR="007C40AC" w:rsidRPr="007C40AC" w14:paraId="15338DD9" w14:textId="77777777" w:rsidTr="007C40AC">
        <w:trPr>
          <w:trHeight w:val="312"/>
        </w:trPr>
        <w:tc>
          <w:tcPr>
            <w:tcW w:w="1580" w:type="dxa"/>
            <w:tcBorders>
              <w:top w:val="nil"/>
              <w:left w:val="nil"/>
              <w:bottom w:val="nil"/>
              <w:right w:val="nil"/>
            </w:tcBorders>
            <w:shd w:val="clear" w:color="000000" w:fill="FFFFFF"/>
            <w:noWrap/>
            <w:vAlign w:val="bottom"/>
            <w:hideMark/>
          </w:tcPr>
          <w:p w14:paraId="7542FD3B" w14:textId="77777777" w:rsidR="007C40AC" w:rsidRPr="007C40AC" w:rsidRDefault="007C40AC" w:rsidP="007C40AC">
            <w:pPr>
              <w:spacing w:before="0" w:after="0"/>
              <w:ind w:left="-105"/>
              <w:jc w:val="right"/>
              <w:rPr>
                <w:rFonts w:eastAsia="Times New Roman" w:cs="Arial"/>
                <w:sz w:val="20"/>
                <w:szCs w:val="20"/>
                <w:lang w:eastAsia="en-GB"/>
              </w:rPr>
            </w:pPr>
            <w:r w:rsidRPr="007C40AC">
              <w:rPr>
                <w:rFonts w:eastAsia="Times New Roman" w:cs="Arial"/>
                <w:sz w:val="20"/>
                <w:szCs w:val="20"/>
                <w:lang w:eastAsia="en-GB"/>
              </w:rPr>
              <w:t> </w:t>
            </w:r>
          </w:p>
        </w:tc>
        <w:tc>
          <w:tcPr>
            <w:tcW w:w="1580" w:type="dxa"/>
            <w:tcBorders>
              <w:top w:val="nil"/>
              <w:left w:val="nil"/>
              <w:bottom w:val="nil"/>
              <w:right w:val="nil"/>
            </w:tcBorders>
            <w:shd w:val="clear" w:color="000000" w:fill="FFFFFF"/>
            <w:noWrap/>
            <w:vAlign w:val="center"/>
            <w:hideMark/>
          </w:tcPr>
          <w:p w14:paraId="25F9C68F" w14:textId="77777777" w:rsidR="007C40AC" w:rsidRPr="007C40AC" w:rsidRDefault="007C40AC" w:rsidP="007C40AC">
            <w:pPr>
              <w:spacing w:before="0" w:after="0"/>
              <w:ind w:left="-105"/>
              <w:jc w:val="right"/>
              <w:rPr>
                <w:rFonts w:eastAsia="Times New Roman" w:cs="Arial"/>
                <w:color w:val="000000"/>
                <w:szCs w:val="24"/>
                <w:lang w:eastAsia="en-GB"/>
              </w:rPr>
            </w:pPr>
            <w:r w:rsidRPr="007C40AC">
              <w:rPr>
                <w:rFonts w:eastAsia="Times New Roman" w:cs="Arial"/>
                <w:color w:val="000000"/>
                <w:szCs w:val="24"/>
                <w:lang w:eastAsia="en-GB"/>
              </w:rPr>
              <w:t> </w:t>
            </w:r>
          </w:p>
        </w:tc>
        <w:tc>
          <w:tcPr>
            <w:tcW w:w="1040" w:type="dxa"/>
            <w:tcBorders>
              <w:top w:val="nil"/>
              <w:left w:val="nil"/>
              <w:bottom w:val="nil"/>
              <w:right w:val="nil"/>
            </w:tcBorders>
            <w:shd w:val="clear" w:color="000000" w:fill="FFFFFF"/>
            <w:noWrap/>
            <w:vAlign w:val="bottom"/>
            <w:hideMark/>
          </w:tcPr>
          <w:p w14:paraId="7A4314D1" w14:textId="77777777" w:rsidR="007C40AC" w:rsidRPr="007C40AC" w:rsidRDefault="007C40AC" w:rsidP="007C40AC">
            <w:pPr>
              <w:spacing w:before="0" w:after="0"/>
              <w:jc w:val="right"/>
              <w:rPr>
                <w:rFonts w:eastAsia="Times New Roman" w:cs="Arial"/>
                <w:sz w:val="20"/>
                <w:szCs w:val="20"/>
                <w:lang w:eastAsia="en-GB"/>
              </w:rPr>
            </w:pPr>
            <w:r w:rsidRPr="007C40AC">
              <w:rPr>
                <w:rFonts w:eastAsia="Times New Roman" w:cs="Arial"/>
                <w:sz w:val="20"/>
                <w:szCs w:val="20"/>
                <w:lang w:eastAsia="en-GB"/>
              </w:rPr>
              <w:t> </w:t>
            </w:r>
          </w:p>
        </w:tc>
        <w:tc>
          <w:tcPr>
            <w:tcW w:w="1260" w:type="dxa"/>
            <w:tcBorders>
              <w:top w:val="nil"/>
              <w:left w:val="nil"/>
              <w:bottom w:val="nil"/>
              <w:right w:val="nil"/>
            </w:tcBorders>
            <w:shd w:val="clear" w:color="000000" w:fill="FFFFFF"/>
            <w:noWrap/>
            <w:vAlign w:val="bottom"/>
            <w:hideMark/>
          </w:tcPr>
          <w:p w14:paraId="7A8290F4" w14:textId="77777777" w:rsidR="007C40AC" w:rsidRPr="007C40AC" w:rsidRDefault="007C40AC" w:rsidP="007C40AC">
            <w:pPr>
              <w:spacing w:before="0" w:after="0"/>
              <w:jc w:val="right"/>
              <w:rPr>
                <w:rFonts w:eastAsia="Times New Roman" w:cs="Arial"/>
                <w:sz w:val="20"/>
                <w:szCs w:val="20"/>
                <w:lang w:eastAsia="en-GB"/>
              </w:rPr>
            </w:pPr>
            <w:r w:rsidRPr="007C40AC">
              <w:rPr>
                <w:rFonts w:eastAsia="Times New Roman" w:cs="Arial"/>
                <w:sz w:val="20"/>
                <w:szCs w:val="20"/>
                <w:lang w:eastAsia="en-GB"/>
              </w:rPr>
              <w:t> </w:t>
            </w:r>
          </w:p>
        </w:tc>
        <w:tc>
          <w:tcPr>
            <w:tcW w:w="1040" w:type="dxa"/>
            <w:tcBorders>
              <w:top w:val="nil"/>
              <w:left w:val="nil"/>
              <w:bottom w:val="nil"/>
              <w:right w:val="nil"/>
            </w:tcBorders>
            <w:shd w:val="clear" w:color="000000" w:fill="FFFFFF"/>
            <w:noWrap/>
            <w:vAlign w:val="bottom"/>
            <w:hideMark/>
          </w:tcPr>
          <w:p w14:paraId="7DFFEABB" w14:textId="77777777" w:rsidR="007C40AC" w:rsidRPr="007C40AC" w:rsidRDefault="007C40AC" w:rsidP="007C40AC">
            <w:pPr>
              <w:spacing w:before="0" w:after="0"/>
              <w:jc w:val="right"/>
              <w:rPr>
                <w:rFonts w:eastAsia="Times New Roman" w:cs="Arial"/>
                <w:sz w:val="20"/>
                <w:szCs w:val="20"/>
                <w:lang w:eastAsia="en-GB"/>
              </w:rPr>
            </w:pPr>
            <w:r w:rsidRPr="007C40AC">
              <w:rPr>
                <w:rFonts w:eastAsia="Times New Roman" w:cs="Arial"/>
                <w:sz w:val="20"/>
                <w:szCs w:val="20"/>
                <w:lang w:eastAsia="en-GB"/>
              </w:rPr>
              <w:t> </w:t>
            </w:r>
          </w:p>
        </w:tc>
        <w:tc>
          <w:tcPr>
            <w:tcW w:w="1260" w:type="dxa"/>
            <w:tcBorders>
              <w:top w:val="nil"/>
              <w:left w:val="nil"/>
              <w:bottom w:val="nil"/>
              <w:right w:val="nil"/>
            </w:tcBorders>
            <w:shd w:val="clear" w:color="000000" w:fill="FFFFFF"/>
            <w:noWrap/>
            <w:vAlign w:val="bottom"/>
            <w:hideMark/>
          </w:tcPr>
          <w:p w14:paraId="5DDCFF25" w14:textId="77777777" w:rsidR="007C40AC" w:rsidRPr="007C40AC" w:rsidRDefault="007C40AC" w:rsidP="007C40AC">
            <w:pPr>
              <w:spacing w:before="0" w:after="0"/>
              <w:jc w:val="right"/>
              <w:rPr>
                <w:rFonts w:eastAsia="Times New Roman" w:cs="Arial"/>
                <w:sz w:val="20"/>
                <w:szCs w:val="20"/>
                <w:lang w:eastAsia="en-GB"/>
              </w:rPr>
            </w:pPr>
            <w:r w:rsidRPr="007C40AC">
              <w:rPr>
                <w:rFonts w:eastAsia="Times New Roman" w:cs="Arial"/>
                <w:sz w:val="20"/>
                <w:szCs w:val="20"/>
                <w:lang w:eastAsia="en-GB"/>
              </w:rPr>
              <w:t> </w:t>
            </w:r>
          </w:p>
        </w:tc>
        <w:tc>
          <w:tcPr>
            <w:tcW w:w="1040" w:type="dxa"/>
            <w:tcBorders>
              <w:top w:val="nil"/>
              <w:left w:val="nil"/>
              <w:bottom w:val="nil"/>
              <w:right w:val="nil"/>
            </w:tcBorders>
            <w:shd w:val="clear" w:color="000000" w:fill="FFFFFF"/>
            <w:noWrap/>
            <w:vAlign w:val="bottom"/>
            <w:hideMark/>
          </w:tcPr>
          <w:p w14:paraId="023507FC" w14:textId="77777777" w:rsidR="007C40AC" w:rsidRPr="007C40AC" w:rsidRDefault="007C40AC" w:rsidP="007C40AC">
            <w:pPr>
              <w:spacing w:before="0" w:after="0"/>
              <w:jc w:val="right"/>
              <w:rPr>
                <w:rFonts w:eastAsia="Times New Roman" w:cs="Arial"/>
                <w:sz w:val="20"/>
                <w:szCs w:val="20"/>
                <w:lang w:eastAsia="en-GB"/>
              </w:rPr>
            </w:pPr>
            <w:r w:rsidRPr="007C40AC">
              <w:rPr>
                <w:rFonts w:eastAsia="Times New Roman" w:cs="Arial"/>
                <w:sz w:val="20"/>
                <w:szCs w:val="20"/>
                <w:lang w:eastAsia="en-GB"/>
              </w:rPr>
              <w:t> </w:t>
            </w:r>
          </w:p>
        </w:tc>
        <w:tc>
          <w:tcPr>
            <w:tcW w:w="1260" w:type="dxa"/>
            <w:tcBorders>
              <w:top w:val="nil"/>
              <w:left w:val="nil"/>
              <w:bottom w:val="nil"/>
              <w:right w:val="nil"/>
            </w:tcBorders>
            <w:shd w:val="clear" w:color="000000" w:fill="FFFFFF"/>
            <w:noWrap/>
            <w:vAlign w:val="bottom"/>
            <w:hideMark/>
          </w:tcPr>
          <w:p w14:paraId="47800458" w14:textId="77777777" w:rsidR="007C40AC" w:rsidRPr="007C40AC" w:rsidRDefault="007C40AC" w:rsidP="007C40AC">
            <w:pPr>
              <w:spacing w:before="0" w:after="0"/>
              <w:jc w:val="right"/>
              <w:rPr>
                <w:rFonts w:eastAsia="Times New Roman" w:cs="Arial"/>
                <w:sz w:val="20"/>
                <w:szCs w:val="20"/>
                <w:lang w:eastAsia="en-GB"/>
              </w:rPr>
            </w:pPr>
            <w:r w:rsidRPr="007C40AC">
              <w:rPr>
                <w:rFonts w:eastAsia="Times New Roman" w:cs="Arial"/>
                <w:sz w:val="20"/>
                <w:szCs w:val="20"/>
                <w:lang w:eastAsia="en-GB"/>
              </w:rPr>
              <w:t> </w:t>
            </w:r>
          </w:p>
        </w:tc>
      </w:tr>
      <w:tr w:rsidR="007C40AC" w:rsidRPr="007C40AC" w14:paraId="350879AF" w14:textId="77777777" w:rsidTr="007C40AC">
        <w:trPr>
          <w:trHeight w:val="402"/>
        </w:trPr>
        <w:tc>
          <w:tcPr>
            <w:tcW w:w="3160" w:type="dxa"/>
            <w:gridSpan w:val="2"/>
            <w:tcBorders>
              <w:top w:val="single" w:sz="8" w:space="0" w:color="auto"/>
              <w:left w:val="single" w:sz="8" w:space="0" w:color="auto"/>
              <w:bottom w:val="single" w:sz="8" w:space="0" w:color="auto"/>
              <w:right w:val="single" w:sz="8" w:space="0" w:color="000000"/>
            </w:tcBorders>
            <w:shd w:val="clear" w:color="000000" w:fill="FDE9D9"/>
            <w:vAlign w:val="center"/>
            <w:hideMark/>
          </w:tcPr>
          <w:p w14:paraId="75D57B32" w14:textId="77777777" w:rsidR="007C40AC" w:rsidRPr="007C40AC" w:rsidRDefault="007C40AC" w:rsidP="007C40AC">
            <w:pPr>
              <w:spacing w:before="0" w:after="0"/>
              <w:ind w:left="-105"/>
              <w:jc w:val="right"/>
              <w:rPr>
                <w:rFonts w:eastAsia="Times New Roman" w:cs="Arial"/>
                <w:b/>
                <w:bCs/>
                <w:color w:val="404040"/>
                <w:szCs w:val="24"/>
                <w:lang w:eastAsia="en-GB"/>
              </w:rPr>
            </w:pPr>
            <w:r w:rsidRPr="007C40AC">
              <w:rPr>
                <w:rFonts w:eastAsia="Times New Roman" w:cs="Arial"/>
                <w:b/>
                <w:bCs/>
                <w:color w:val="404040"/>
                <w:szCs w:val="24"/>
                <w:lang w:eastAsia="en-GB"/>
              </w:rPr>
              <w:t>2020-21</w:t>
            </w:r>
          </w:p>
        </w:tc>
        <w:tc>
          <w:tcPr>
            <w:tcW w:w="2300" w:type="dxa"/>
            <w:gridSpan w:val="2"/>
            <w:tcBorders>
              <w:top w:val="single" w:sz="8" w:space="0" w:color="auto"/>
              <w:left w:val="nil"/>
              <w:bottom w:val="single" w:sz="8" w:space="0" w:color="auto"/>
              <w:right w:val="single" w:sz="8" w:space="0" w:color="000000"/>
            </w:tcBorders>
            <w:shd w:val="clear" w:color="000000" w:fill="FDE9D9"/>
            <w:vAlign w:val="center"/>
            <w:hideMark/>
          </w:tcPr>
          <w:p w14:paraId="19E4244D" w14:textId="77777777" w:rsidR="007C40AC" w:rsidRPr="007C40AC" w:rsidRDefault="007C40AC" w:rsidP="007C40AC">
            <w:pPr>
              <w:spacing w:before="0" w:after="0"/>
              <w:jc w:val="right"/>
              <w:rPr>
                <w:rFonts w:eastAsia="Times New Roman" w:cs="Arial"/>
                <w:b/>
                <w:bCs/>
                <w:color w:val="404040"/>
                <w:szCs w:val="24"/>
                <w:lang w:eastAsia="en-GB"/>
              </w:rPr>
            </w:pPr>
            <w:r w:rsidRPr="007C40AC">
              <w:rPr>
                <w:rFonts w:eastAsia="Times New Roman" w:cs="Arial"/>
                <w:b/>
                <w:bCs/>
                <w:color w:val="404040"/>
                <w:szCs w:val="24"/>
                <w:lang w:eastAsia="en-GB"/>
              </w:rPr>
              <w:t>25th percentile</w:t>
            </w:r>
          </w:p>
        </w:tc>
        <w:tc>
          <w:tcPr>
            <w:tcW w:w="2300" w:type="dxa"/>
            <w:gridSpan w:val="2"/>
            <w:tcBorders>
              <w:top w:val="single" w:sz="8" w:space="0" w:color="auto"/>
              <w:left w:val="nil"/>
              <w:bottom w:val="single" w:sz="8" w:space="0" w:color="auto"/>
              <w:right w:val="single" w:sz="8" w:space="0" w:color="000000"/>
            </w:tcBorders>
            <w:shd w:val="clear" w:color="000000" w:fill="FDE9D9"/>
            <w:vAlign w:val="center"/>
            <w:hideMark/>
          </w:tcPr>
          <w:p w14:paraId="6051709E" w14:textId="77777777" w:rsidR="007C40AC" w:rsidRPr="007C40AC" w:rsidRDefault="007C40AC" w:rsidP="007C40AC">
            <w:pPr>
              <w:spacing w:before="0" w:after="0"/>
              <w:jc w:val="right"/>
              <w:rPr>
                <w:rFonts w:eastAsia="Times New Roman" w:cs="Arial"/>
                <w:b/>
                <w:bCs/>
                <w:color w:val="404040"/>
                <w:szCs w:val="24"/>
                <w:lang w:eastAsia="en-GB"/>
              </w:rPr>
            </w:pPr>
            <w:r w:rsidRPr="007C40AC">
              <w:rPr>
                <w:rFonts w:eastAsia="Times New Roman" w:cs="Arial"/>
                <w:b/>
                <w:bCs/>
                <w:color w:val="404040"/>
                <w:szCs w:val="24"/>
                <w:lang w:eastAsia="en-GB"/>
              </w:rPr>
              <w:t xml:space="preserve">Median </w:t>
            </w:r>
          </w:p>
        </w:tc>
        <w:tc>
          <w:tcPr>
            <w:tcW w:w="2300" w:type="dxa"/>
            <w:gridSpan w:val="2"/>
            <w:tcBorders>
              <w:top w:val="single" w:sz="8" w:space="0" w:color="auto"/>
              <w:left w:val="nil"/>
              <w:bottom w:val="single" w:sz="8" w:space="0" w:color="auto"/>
              <w:right w:val="single" w:sz="8" w:space="0" w:color="000000"/>
            </w:tcBorders>
            <w:shd w:val="clear" w:color="000000" w:fill="FDE9D9"/>
            <w:vAlign w:val="center"/>
            <w:hideMark/>
          </w:tcPr>
          <w:p w14:paraId="2F5A44A7" w14:textId="77777777" w:rsidR="007C40AC" w:rsidRPr="007C40AC" w:rsidRDefault="007C40AC" w:rsidP="007C40AC">
            <w:pPr>
              <w:spacing w:before="0" w:after="0"/>
              <w:jc w:val="right"/>
              <w:rPr>
                <w:rFonts w:eastAsia="Times New Roman" w:cs="Arial"/>
                <w:b/>
                <w:bCs/>
                <w:color w:val="404040"/>
                <w:szCs w:val="24"/>
                <w:lang w:eastAsia="en-GB"/>
              </w:rPr>
            </w:pPr>
            <w:r w:rsidRPr="007C40AC">
              <w:rPr>
                <w:rFonts w:eastAsia="Times New Roman" w:cs="Arial"/>
                <w:b/>
                <w:bCs/>
                <w:color w:val="404040"/>
                <w:szCs w:val="24"/>
                <w:lang w:eastAsia="en-GB"/>
              </w:rPr>
              <w:t>75th percentile</w:t>
            </w:r>
          </w:p>
        </w:tc>
      </w:tr>
      <w:tr w:rsidR="007C40AC" w:rsidRPr="007C40AC" w14:paraId="76BD18AA" w14:textId="77777777" w:rsidTr="008E7B63">
        <w:trPr>
          <w:trHeight w:val="360"/>
        </w:trPr>
        <w:tc>
          <w:tcPr>
            <w:tcW w:w="3160" w:type="dxa"/>
            <w:gridSpan w:val="2"/>
            <w:tcBorders>
              <w:top w:val="nil"/>
              <w:left w:val="single" w:sz="8" w:space="0" w:color="auto"/>
              <w:bottom w:val="single" w:sz="8" w:space="0" w:color="auto"/>
              <w:right w:val="single" w:sz="8" w:space="0" w:color="000000"/>
            </w:tcBorders>
            <w:shd w:val="clear" w:color="000000" w:fill="FFFFFF"/>
            <w:vAlign w:val="center"/>
            <w:hideMark/>
          </w:tcPr>
          <w:p w14:paraId="2130FF33" w14:textId="77777777" w:rsidR="007C40AC" w:rsidRPr="007C40AC" w:rsidRDefault="007C40AC" w:rsidP="007C40AC">
            <w:pPr>
              <w:spacing w:before="0" w:after="0"/>
              <w:ind w:left="-105"/>
              <w:jc w:val="right"/>
              <w:rPr>
                <w:rFonts w:eastAsia="Times New Roman" w:cs="Arial"/>
                <w:color w:val="000000"/>
                <w:szCs w:val="24"/>
                <w:lang w:eastAsia="en-GB"/>
              </w:rPr>
            </w:pPr>
            <w:r w:rsidRPr="007C40AC">
              <w:rPr>
                <w:rFonts w:eastAsia="Times New Roman" w:cs="Arial"/>
                <w:color w:val="000000"/>
                <w:szCs w:val="24"/>
                <w:lang w:eastAsia="en-GB"/>
              </w:rPr>
              <w:t>Total remuneration (£)</w:t>
            </w:r>
          </w:p>
        </w:tc>
        <w:tc>
          <w:tcPr>
            <w:tcW w:w="2300" w:type="dxa"/>
            <w:gridSpan w:val="2"/>
            <w:tcBorders>
              <w:top w:val="single" w:sz="8" w:space="0" w:color="auto"/>
              <w:left w:val="nil"/>
              <w:bottom w:val="single" w:sz="8" w:space="0" w:color="auto"/>
              <w:right w:val="single" w:sz="8" w:space="0" w:color="000000"/>
            </w:tcBorders>
            <w:shd w:val="clear" w:color="000000" w:fill="FFFFFF"/>
            <w:vAlign w:val="center"/>
            <w:hideMark/>
          </w:tcPr>
          <w:p w14:paraId="6FBB0C16" w14:textId="77777777" w:rsidR="007C40AC" w:rsidRPr="007C40AC" w:rsidRDefault="007C40AC" w:rsidP="007C40AC">
            <w:pPr>
              <w:spacing w:before="0" w:after="0"/>
              <w:jc w:val="right"/>
              <w:rPr>
                <w:rFonts w:eastAsia="Times New Roman" w:cs="Arial"/>
                <w:color w:val="404040"/>
                <w:szCs w:val="24"/>
                <w:lang w:eastAsia="en-GB"/>
              </w:rPr>
            </w:pPr>
            <w:r w:rsidRPr="007C40AC">
              <w:rPr>
                <w:rFonts w:eastAsia="Times New Roman" w:cs="Arial"/>
                <w:color w:val="404040"/>
                <w:szCs w:val="24"/>
                <w:lang w:eastAsia="en-GB"/>
              </w:rPr>
              <w:t>£25,365</w:t>
            </w:r>
          </w:p>
        </w:tc>
        <w:tc>
          <w:tcPr>
            <w:tcW w:w="2300" w:type="dxa"/>
            <w:gridSpan w:val="2"/>
            <w:tcBorders>
              <w:top w:val="single" w:sz="8" w:space="0" w:color="auto"/>
              <w:left w:val="nil"/>
              <w:bottom w:val="single" w:sz="8" w:space="0" w:color="auto"/>
              <w:right w:val="single" w:sz="8" w:space="0" w:color="000000"/>
            </w:tcBorders>
            <w:shd w:val="clear" w:color="000000" w:fill="FFFFFF"/>
            <w:vAlign w:val="center"/>
            <w:hideMark/>
          </w:tcPr>
          <w:p w14:paraId="75CB898C" w14:textId="77777777" w:rsidR="007C40AC" w:rsidRPr="007C40AC" w:rsidRDefault="007C40AC" w:rsidP="007C40AC">
            <w:pPr>
              <w:spacing w:before="0" w:after="0"/>
              <w:jc w:val="right"/>
              <w:rPr>
                <w:rFonts w:eastAsia="Times New Roman" w:cs="Arial"/>
                <w:color w:val="404040"/>
                <w:szCs w:val="24"/>
                <w:lang w:eastAsia="en-GB"/>
              </w:rPr>
            </w:pPr>
            <w:r w:rsidRPr="007C40AC">
              <w:rPr>
                <w:rFonts w:eastAsia="Times New Roman" w:cs="Arial"/>
                <w:color w:val="404040"/>
                <w:szCs w:val="24"/>
                <w:lang w:eastAsia="en-GB"/>
              </w:rPr>
              <w:t>£36,617</w:t>
            </w:r>
          </w:p>
        </w:tc>
        <w:tc>
          <w:tcPr>
            <w:tcW w:w="2300" w:type="dxa"/>
            <w:gridSpan w:val="2"/>
            <w:tcBorders>
              <w:top w:val="single" w:sz="8" w:space="0" w:color="auto"/>
              <w:left w:val="nil"/>
              <w:bottom w:val="single" w:sz="8" w:space="0" w:color="auto"/>
              <w:right w:val="single" w:sz="8" w:space="0" w:color="000000"/>
            </w:tcBorders>
            <w:shd w:val="clear" w:color="000000" w:fill="FFFFFF"/>
            <w:vAlign w:val="center"/>
            <w:hideMark/>
          </w:tcPr>
          <w:p w14:paraId="1C68ACE2" w14:textId="77777777" w:rsidR="007C40AC" w:rsidRPr="007C40AC" w:rsidRDefault="007C40AC" w:rsidP="007C40AC">
            <w:pPr>
              <w:spacing w:before="0" w:after="0"/>
              <w:jc w:val="right"/>
              <w:rPr>
                <w:rFonts w:eastAsia="Times New Roman" w:cs="Arial"/>
                <w:color w:val="404040"/>
                <w:szCs w:val="24"/>
                <w:lang w:eastAsia="en-GB"/>
              </w:rPr>
            </w:pPr>
            <w:r w:rsidRPr="007C40AC">
              <w:rPr>
                <w:rFonts w:eastAsia="Times New Roman" w:cs="Arial"/>
                <w:color w:val="404040"/>
                <w:szCs w:val="24"/>
                <w:lang w:eastAsia="en-GB"/>
              </w:rPr>
              <w:t>£51,291</w:t>
            </w:r>
          </w:p>
        </w:tc>
      </w:tr>
      <w:tr w:rsidR="007C40AC" w:rsidRPr="007C40AC" w14:paraId="50A98594" w14:textId="77777777" w:rsidTr="008E7B63">
        <w:trPr>
          <w:trHeight w:val="678"/>
        </w:trPr>
        <w:tc>
          <w:tcPr>
            <w:tcW w:w="316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F68254C" w14:textId="77777777" w:rsidR="007C40AC" w:rsidRPr="007C40AC" w:rsidRDefault="007C40AC" w:rsidP="007C40AC">
            <w:pPr>
              <w:spacing w:before="0" w:after="0"/>
              <w:ind w:left="-105"/>
              <w:jc w:val="right"/>
              <w:rPr>
                <w:rFonts w:eastAsia="Times New Roman" w:cs="Arial"/>
                <w:color w:val="000000"/>
                <w:szCs w:val="24"/>
                <w:lang w:eastAsia="en-GB"/>
              </w:rPr>
            </w:pPr>
            <w:r w:rsidRPr="007C40AC">
              <w:rPr>
                <w:rFonts w:eastAsia="Times New Roman" w:cs="Arial"/>
                <w:color w:val="000000"/>
                <w:szCs w:val="24"/>
                <w:lang w:eastAsia="en-GB"/>
              </w:rPr>
              <w:t>*Salary component of total remuneration (£)</w:t>
            </w:r>
          </w:p>
        </w:tc>
        <w:tc>
          <w:tcPr>
            <w:tcW w:w="2300" w:type="dxa"/>
            <w:gridSpan w:val="2"/>
            <w:tcBorders>
              <w:top w:val="single" w:sz="8" w:space="0" w:color="auto"/>
              <w:left w:val="nil"/>
              <w:bottom w:val="single" w:sz="8" w:space="0" w:color="auto"/>
              <w:right w:val="single" w:sz="8" w:space="0" w:color="000000"/>
            </w:tcBorders>
            <w:shd w:val="clear" w:color="000000" w:fill="FFFFFF"/>
            <w:vAlign w:val="center"/>
            <w:hideMark/>
          </w:tcPr>
          <w:p w14:paraId="696BB20B" w14:textId="77777777" w:rsidR="007C40AC" w:rsidRPr="007C40AC" w:rsidRDefault="007C40AC" w:rsidP="007C40AC">
            <w:pPr>
              <w:spacing w:before="0" w:after="0"/>
              <w:jc w:val="right"/>
              <w:rPr>
                <w:rFonts w:eastAsia="Times New Roman" w:cs="Arial"/>
                <w:color w:val="404040"/>
                <w:szCs w:val="24"/>
                <w:lang w:eastAsia="en-GB"/>
              </w:rPr>
            </w:pPr>
            <w:r w:rsidRPr="007C40AC">
              <w:rPr>
                <w:rFonts w:eastAsia="Times New Roman" w:cs="Arial"/>
                <w:color w:val="404040"/>
                <w:szCs w:val="24"/>
                <w:lang w:eastAsia="en-GB"/>
              </w:rPr>
              <w:t>£25,365</w:t>
            </w:r>
          </w:p>
        </w:tc>
        <w:tc>
          <w:tcPr>
            <w:tcW w:w="2300" w:type="dxa"/>
            <w:gridSpan w:val="2"/>
            <w:tcBorders>
              <w:top w:val="single" w:sz="8" w:space="0" w:color="auto"/>
              <w:left w:val="nil"/>
              <w:bottom w:val="single" w:sz="8" w:space="0" w:color="auto"/>
              <w:right w:val="single" w:sz="8" w:space="0" w:color="000000"/>
            </w:tcBorders>
            <w:shd w:val="clear" w:color="000000" w:fill="FFFFFF"/>
            <w:vAlign w:val="center"/>
            <w:hideMark/>
          </w:tcPr>
          <w:p w14:paraId="639A3D3D" w14:textId="77777777" w:rsidR="007C40AC" w:rsidRPr="007C40AC" w:rsidRDefault="007C40AC" w:rsidP="007C40AC">
            <w:pPr>
              <w:spacing w:before="0" w:after="0"/>
              <w:jc w:val="right"/>
              <w:rPr>
                <w:rFonts w:eastAsia="Times New Roman" w:cs="Arial"/>
                <w:color w:val="404040"/>
                <w:szCs w:val="24"/>
                <w:lang w:eastAsia="en-GB"/>
              </w:rPr>
            </w:pPr>
            <w:r w:rsidRPr="007C40AC">
              <w:rPr>
                <w:rFonts w:eastAsia="Times New Roman" w:cs="Arial"/>
                <w:color w:val="404040"/>
                <w:szCs w:val="24"/>
                <w:lang w:eastAsia="en-GB"/>
              </w:rPr>
              <w:t>£36,617</w:t>
            </w:r>
          </w:p>
        </w:tc>
        <w:tc>
          <w:tcPr>
            <w:tcW w:w="2300" w:type="dxa"/>
            <w:gridSpan w:val="2"/>
            <w:tcBorders>
              <w:top w:val="single" w:sz="8" w:space="0" w:color="auto"/>
              <w:left w:val="nil"/>
              <w:bottom w:val="single" w:sz="8" w:space="0" w:color="auto"/>
              <w:right w:val="single" w:sz="8" w:space="0" w:color="000000"/>
            </w:tcBorders>
            <w:shd w:val="clear" w:color="000000" w:fill="FFFFFF"/>
            <w:vAlign w:val="center"/>
            <w:hideMark/>
          </w:tcPr>
          <w:p w14:paraId="2F2C46EC" w14:textId="77777777" w:rsidR="007C40AC" w:rsidRPr="007C40AC" w:rsidRDefault="007C40AC" w:rsidP="007C40AC">
            <w:pPr>
              <w:spacing w:before="0" w:after="0"/>
              <w:jc w:val="right"/>
              <w:rPr>
                <w:rFonts w:eastAsia="Times New Roman" w:cs="Arial"/>
                <w:color w:val="404040"/>
                <w:szCs w:val="24"/>
                <w:lang w:eastAsia="en-GB"/>
              </w:rPr>
            </w:pPr>
            <w:r w:rsidRPr="007C40AC">
              <w:rPr>
                <w:rFonts w:eastAsia="Times New Roman" w:cs="Arial"/>
                <w:color w:val="404040"/>
                <w:szCs w:val="24"/>
                <w:lang w:eastAsia="en-GB"/>
              </w:rPr>
              <w:t>£51,291</w:t>
            </w:r>
          </w:p>
        </w:tc>
      </w:tr>
      <w:tr w:rsidR="007C40AC" w:rsidRPr="007C40AC" w14:paraId="3A5A990C" w14:textId="77777777" w:rsidTr="008E7B63">
        <w:trPr>
          <w:trHeight w:val="418"/>
        </w:trPr>
        <w:tc>
          <w:tcPr>
            <w:tcW w:w="3160" w:type="dxa"/>
            <w:gridSpan w:val="2"/>
            <w:tcBorders>
              <w:top w:val="nil"/>
              <w:left w:val="single" w:sz="8" w:space="0" w:color="auto"/>
              <w:bottom w:val="single" w:sz="8" w:space="0" w:color="auto"/>
              <w:right w:val="single" w:sz="8" w:space="0" w:color="000000"/>
            </w:tcBorders>
            <w:shd w:val="clear" w:color="000000" w:fill="FFFFFF"/>
            <w:vAlign w:val="center"/>
            <w:hideMark/>
          </w:tcPr>
          <w:p w14:paraId="1276614D" w14:textId="77777777" w:rsidR="007C40AC" w:rsidRPr="007C40AC" w:rsidRDefault="007C40AC" w:rsidP="007C40AC">
            <w:pPr>
              <w:spacing w:before="0" w:after="0"/>
              <w:ind w:left="-105"/>
              <w:jc w:val="right"/>
              <w:rPr>
                <w:rFonts w:eastAsia="Times New Roman" w:cs="Arial"/>
                <w:color w:val="000000"/>
                <w:szCs w:val="24"/>
                <w:lang w:eastAsia="en-GB"/>
              </w:rPr>
            </w:pPr>
            <w:r w:rsidRPr="007C40AC">
              <w:rPr>
                <w:rFonts w:eastAsia="Times New Roman" w:cs="Arial"/>
                <w:color w:val="000000"/>
                <w:szCs w:val="24"/>
                <w:lang w:eastAsia="en-GB"/>
              </w:rPr>
              <w:t>Pay ratio information</w:t>
            </w:r>
          </w:p>
        </w:tc>
        <w:tc>
          <w:tcPr>
            <w:tcW w:w="2300"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627F74FA" w14:textId="77777777" w:rsidR="007C40AC" w:rsidRPr="007C40AC" w:rsidRDefault="007C40AC" w:rsidP="007C40AC">
            <w:pPr>
              <w:spacing w:before="0" w:after="0"/>
              <w:jc w:val="right"/>
              <w:rPr>
                <w:rFonts w:eastAsia="Times New Roman" w:cs="Arial"/>
                <w:szCs w:val="24"/>
                <w:lang w:eastAsia="en-GB"/>
              </w:rPr>
            </w:pPr>
            <w:r w:rsidRPr="007C40AC">
              <w:rPr>
                <w:rFonts w:eastAsia="Times New Roman" w:cs="Arial"/>
                <w:szCs w:val="24"/>
                <w:lang w:eastAsia="en-GB"/>
              </w:rPr>
              <w:t>4.6 : 1</w:t>
            </w:r>
          </w:p>
        </w:tc>
        <w:tc>
          <w:tcPr>
            <w:tcW w:w="2300"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4EB788E4" w14:textId="77777777" w:rsidR="007C40AC" w:rsidRPr="007C40AC" w:rsidRDefault="007C40AC" w:rsidP="007C40AC">
            <w:pPr>
              <w:spacing w:before="0" w:after="0"/>
              <w:jc w:val="right"/>
              <w:rPr>
                <w:rFonts w:eastAsia="Times New Roman" w:cs="Arial"/>
                <w:szCs w:val="24"/>
                <w:lang w:eastAsia="en-GB"/>
              </w:rPr>
            </w:pPr>
            <w:r w:rsidRPr="007C40AC">
              <w:rPr>
                <w:rFonts w:eastAsia="Times New Roman" w:cs="Arial"/>
                <w:szCs w:val="24"/>
                <w:lang w:eastAsia="en-GB"/>
              </w:rPr>
              <w:t>3.2 : 1</w:t>
            </w:r>
          </w:p>
        </w:tc>
        <w:tc>
          <w:tcPr>
            <w:tcW w:w="2300"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720B6625" w14:textId="77777777" w:rsidR="007C40AC" w:rsidRPr="007C40AC" w:rsidRDefault="007C40AC" w:rsidP="007C40AC">
            <w:pPr>
              <w:spacing w:before="0" w:after="0"/>
              <w:jc w:val="right"/>
              <w:rPr>
                <w:rFonts w:eastAsia="Times New Roman" w:cs="Arial"/>
                <w:szCs w:val="24"/>
                <w:lang w:eastAsia="en-GB"/>
              </w:rPr>
            </w:pPr>
            <w:r w:rsidRPr="007C40AC">
              <w:rPr>
                <w:rFonts w:eastAsia="Times New Roman" w:cs="Arial"/>
                <w:szCs w:val="24"/>
                <w:lang w:eastAsia="en-GB"/>
              </w:rPr>
              <w:t>2.3 : 1</w:t>
            </w:r>
          </w:p>
        </w:tc>
      </w:tr>
      <w:tr w:rsidR="007C40AC" w:rsidRPr="007C40AC" w14:paraId="566466E2" w14:textId="77777777" w:rsidTr="007C40AC">
        <w:trPr>
          <w:trHeight w:val="300"/>
        </w:trPr>
        <w:tc>
          <w:tcPr>
            <w:tcW w:w="1580" w:type="dxa"/>
            <w:tcBorders>
              <w:top w:val="nil"/>
              <w:left w:val="nil"/>
              <w:bottom w:val="nil"/>
              <w:right w:val="nil"/>
            </w:tcBorders>
            <w:shd w:val="clear" w:color="000000" w:fill="FFFFFF"/>
            <w:noWrap/>
            <w:vAlign w:val="bottom"/>
            <w:hideMark/>
          </w:tcPr>
          <w:p w14:paraId="40AE21B9" w14:textId="77777777" w:rsidR="007C40AC" w:rsidRPr="007C40AC" w:rsidRDefault="007C40AC" w:rsidP="007C40AC">
            <w:pPr>
              <w:spacing w:before="0" w:after="0"/>
              <w:ind w:left="-105"/>
              <w:rPr>
                <w:rFonts w:eastAsia="Times New Roman" w:cs="Arial"/>
                <w:sz w:val="20"/>
                <w:szCs w:val="20"/>
                <w:lang w:eastAsia="en-GB"/>
              </w:rPr>
            </w:pPr>
            <w:r w:rsidRPr="007C40AC">
              <w:rPr>
                <w:rFonts w:eastAsia="Times New Roman" w:cs="Arial"/>
                <w:sz w:val="20"/>
                <w:szCs w:val="20"/>
                <w:lang w:eastAsia="en-GB"/>
              </w:rPr>
              <w:t> </w:t>
            </w:r>
          </w:p>
        </w:tc>
        <w:tc>
          <w:tcPr>
            <w:tcW w:w="1580" w:type="dxa"/>
            <w:tcBorders>
              <w:top w:val="nil"/>
              <w:left w:val="nil"/>
              <w:bottom w:val="nil"/>
              <w:right w:val="nil"/>
            </w:tcBorders>
            <w:shd w:val="clear" w:color="000000" w:fill="FFFFFF"/>
            <w:noWrap/>
            <w:vAlign w:val="center"/>
            <w:hideMark/>
          </w:tcPr>
          <w:p w14:paraId="7350912B" w14:textId="77777777" w:rsidR="007C40AC" w:rsidRPr="007C40AC" w:rsidRDefault="007C40AC" w:rsidP="007C40AC">
            <w:pPr>
              <w:spacing w:before="0" w:after="0"/>
              <w:ind w:left="-105"/>
              <w:rPr>
                <w:rFonts w:eastAsia="Times New Roman" w:cs="Arial"/>
                <w:color w:val="000000"/>
                <w:szCs w:val="24"/>
                <w:lang w:eastAsia="en-GB"/>
              </w:rPr>
            </w:pPr>
            <w:r w:rsidRPr="007C40AC">
              <w:rPr>
                <w:rFonts w:eastAsia="Times New Roman" w:cs="Arial"/>
                <w:color w:val="000000"/>
                <w:szCs w:val="24"/>
                <w:lang w:eastAsia="en-GB"/>
              </w:rPr>
              <w:t> </w:t>
            </w:r>
          </w:p>
        </w:tc>
        <w:tc>
          <w:tcPr>
            <w:tcW w:w="1040" w:type="dxa"/>
            <w:tcBorders>
              <w:top w:val="nil"/>
              <w:left w:val="nil"/>
              <w:bottom w:val="nil"/>
              <w:right w:val="nil"/>
            </w:tcBorders>
            <w:shd w:val="clear" w:color="000000" w:fill="FFFFFF"/>
            <w:noWrap/>
            <w:vAlign w:val="bottom"/>
            <w:hideMark/>
          </w:tcPr>
          <w:p w14:paraId="74DE0C17"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c>
          <w:tcPr>
            <w:tcW w:w="1260" w:type="dxa"/>
            <w:tcBorders>
              <w:top w:val="nil"/>
              <w:left w:val="nil"/>
              <w:bottom w:val="nil"/>
              <w:right w:val="nil"/>
            </w:tcBorders>
            <w:shd w:val="clear" w:color="000000" w:fill="FFFFFF"/>
            <w:noWrap/>
            <w:vAlign w:val="bottom"/>
            <w:hideMark/>
          </w:tcPr>
          <w:p w14:paraId="0582B6BC"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c>
          <w:tcPr>
            <w:tcW w:w="1040" w:type="dxa"/>
            <w:tcBorders>
              <w:top w:val="nil"/>
              <w:left w:val="nil"/>
              <w:bottom w:val="nil"/>
              <w:right w:val="nil"/>
            </w:tcBorders>
            <w:shd w:val="clear" w:color="000000" w:fill="FFFFFF"/>
            <w:noWrap/>
            <w:vAlign w:val="bottom"/>
            <w:hideMark/>
          </w:tcPr>
          <w:p w14:paraId="02A8FED3"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c>
          <w:tcPr>
            <w:tcW w:w="1260" w:type="dxa"/>
            <w:tcBorders>
              <w:top w:val="nil"/>
              <w:left w:val="nil"/>
              <w:bottom w:val="nil"/>
              <w:right w:val="nil"/>
            </w:tcBorders>
            <w:shd w:val="clear" w:color="000000" w:fill="FFFFFF"/>
            <w:noWrap/>
            <w:vAlign w:val="bottom"/>
            <w:hideMark/>
          </w:tcPr>
          <w:p w14:paraId="2844A4CB"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c>
          <w:tcPr>
            <w:tcW w:w="1040" w:type="dxa"/>
            <w:tcBorders>
              <w:top w:val="nil"/>
              <w:left w:val="nil"/>
              <w:bottom w:val="nil"/>
              <w:right w:val="nil"/>
            </w:tcBorders>
            <w:shd w:val="clear" w:color="000000" w:fill="FFFFFF"/>
            <w:noWrap/>
            <w:vAlign w:val="bottom"/>
            <w:hideMark/>
          </w:tcPr>
          <w:p w14:paraId="6C72C5CE"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c>
          <w:tcPr>
            <w:tcW w:w="1260" w:type="dxa"/>
            <w:tcBorders>
              <w:top w:val="nil"/>
              <w:left w:val="nil"/>
              <w:bottom w:val="nil"/>
              <w:right w:val="nil"/>
            </w:tcBorders>
            <w:shd w:val="clear" w:color="000000" w:fill="FFFFFF"/>
            <w:noWrap/>
            <w:vAlign w:val="bottom"/>
            <w:hideMark/>
          </w:tcPr>
          <w:p w14:paraId="0A1B5A50" w14:textId="77777777" w:rsidR="007C40AC" w:rsidRPr="007C40AC" w:rsidRDefault="007C40AC" w:rsidP="007C40AC">
            <w:pPr>
              <w:spacing w:before="0" w:after="0"/>
              <w:rPr>
                <w:rFonts w:eastAsia="Times New Roman" w:cs="Arial"/>
                <w:sz w:val="20"/>
                <w:szCs w:val="20"/>
                <w:lang w:eastAsia="en-GB"/>
              </w:rPr>
            </w:pPr>
            <w:r w:rsidRPr="007C40AC">
              <w:rPr>
                <w:rFonts w:eastAsia="Times New Roman" w:cs="Arial"/>
                <w:sz w:val="20"/>
                <w:szCs w:val="20"/>
                <w:lang w:eastAsia="en-GB"/>
              </w:rPr>
              <w:t> </w:t>
            </w:r>
          </w:p>
        </w:tc>
      </w:tr>
      <w:tr w:rsidR="007C40AC" w:rsidRPr="007C40AC" w14:paraId="7A4FCAE1" w14:textId="77777777" w:rsidTr="007C40AC">
        <w:trPr>
          <w:trHeight w:val="642"/>
        </w:trPr>
        <w:tc>
          <w:tcPr>
            <w:tcW w:w="10060" w:type="dxa"/>
            <w:gridSpan w:val="8"/>
            <w:tcBorders>
              <w:top w:val="nil"/>
              <w:left w:val="nil"/>
              <w:bottom w:val="nil"/>
              <w:right w:val="nil"/>
            </w:tcBorders>
            <w:shd w:val="clear" w:color="000000" w:fill="FFFFFF"/>
            <w:vAlign w:val="center"/>
            <w:hideMark/>
          </w:tcPr>
          <w:p w14:paraId="64CBD24D" w14:textId="77777777" w:rsidR="007C40AC" w:rsidRPr="007C40AC" w:rsidRDefault="007C40AC" w:rsidP="00D32C49">
            <w:pPr>
              <w:spacing w:before="120" w:after="0"/>
              <w:ind w:left="-105"/>
              <w:rPr>
                <w:rFonts w:eastAsia="Times New Roman" w:cs="Arial"/>
                <w:color w:val="000000"/>
                <w:szCs w:val="24"/>
                <w:lang w:eastAsia="en-GB"/>
              </w:rPr>
            </w:pPr>
            <w:r w:rsidRPr="007C40AC">
              <w:rPr>
                <w:rFonts w:eastAsia="Times New Roman" w:cs="Arial"/>
                <w:color w:val="000000"/>
                <w:szCs w:val="24"/>
                <w:lang w:eastAsia="en-GB"/>
              </w:rPr>
              <w:t>*No Performance Pay and Bonus Payments are paid by the CCG, therefore both Salary component and Total Remuneration are the same.</w:t>
            </w:r>
          </w:p>
        </w:tc>
      </w:tr>
      <w:tr w:rsidR="007C40AC" w:rsidRPr="007C40AC" w14:paraId="2FA0ADC8" w14:textId="77777777" w:rsidTr="007C40AC">
        <w:trPr>
          <w:trHeight w:val="642"/>
        </w:trPr>
        <w:tc>
          <w:tcPr>
            <w:tcW w:w="10060" w:type="dxa"/>
            <w:gridSpan w:val="8"/>
            <w:tcBorders>
              <w:top w:val="nil"/>
              <w:left w:val="nil"/>
              <w:bottom w:val="nil"/>
              <w:right w:val="nil"/>
            </w:tcBorders>
            <w:shd w:val="clear" w:color="000000" w:fill="FFFFFF"/>
            <w:vAlign w:val="bottom"/>
            <w:hideMark/>
          </w:tcPr>
          <w:p w14:paraId="717BA61D" w14:textId="77777777" w:rsidR="007C40AC" w:rsidRPr="007C40AC" w:rsidRDefault="007C40AC" w:rsidP="00D32C49">
            <w:pPr>
              <w:spacing w:after="0"/>
              <w:ind w:left="-105"/>
              <w:rPr>
                <w:rFonts w:eastAsia="Times New Roman" w:cs="Arial"/>
                <w:szCs w:val="24"/>
                <w:lang w:eastAsia="en-GB"/>
              </w:rPr>
            </w:pPr>
            <w:r w:rsidRPr="007C40AC">
              <w:rPr>
                <w:rFonts w:eastAsia="Times New Roman" w:cs="Arial"/>
                <w:szCs w:val="24"/>
                <w:lang w:eastAsia="en-GB"/>
              </w:rPr>
              <w:t xml:space="preserve">In 2021/22, 0 (2020/21, 1) employee received remuneration in excess of the highest-paid director. </w:t>
            </w:r>
          </w:p>
        </w:tc>
      </w:tr>
      <w:tr w:rsidR="007C40AC" w:rsidRPr="007C40AC" w14:paraId="0CAF856C" w14:textId="77777777" w:rsidTr="007C40AC">
        <w:trPr>
          <w:trHeight w:val="1665"/>
        </w:trPr>
        <w:tc>
          <w:tcPr>
            <w:tcW w:w="10060" w:type="dxa"/>
            <w:gridSpan w:val="8"/>
            <w:tcBorders>
              <w:top w:val="nil"/>
              <w:left w:val="nil"/>
              <w:bottom w:val="nil"/>
              <w:right w:val="nil"/>
            </w:tcBorders>
            <w:shd w:val="clear" w:color="000000" w:fill="FFFFFF"/>
            <w:vAlign w:val="center"/>
            <w:hideMark/>
          </w:tcPr>
          <w:p w14:paraId="02D05091" w14:textId="77777777" w:rsidR="007C40AC" w:rsidRPr="007C40AC" w:rsidRDefault="007C40AC" w:rsidP="00D32C49">
            <w:pPr>
              <w:spacing w:after="0"/>
              <w:ind w:left="-105"/>
              <w:rPr>
                <w:rFonts w:eastAsia="Times New Roman" w:cs="Arial"/>
                <w:szCs w:val="24"/>
                <w:lang w:eastAsia="en-GB"/>
              </w:rPr>
            </w:pPr>
            <w:r w:rsidRPr="007C40AC">
              <w:rPr>
                <w:rFonts w:eastAsia="Times New Roman" w:cs="Arial"/>
                <w:szCs w:val="24"/>
                <w:lang w:eastAsia="en-GB"/>
              </w:rPr>
              <w:t xml:space="preserve">As at 31 March 2022, remuneration ranged from £3k to £109k (+2% against 2020/21: £9k to 123k) based on annualised, full-time equivalent remuneration of all staff (including temporary and agency staff). Total remuneration includes salary, non-consolidated performance-related pay, benefits-in-kind, but not severance payments.  It does not include employer pension contributions and the cash equivalent transfer value of pensions.  </w:t>
            </w:r>
          </w:p>
        </w:tc>
      </w:tr>
    </w:tbl>
    <w:p w14:paraId="6673AD01" w14:textId="77777777" w:rsidR="00D32C49" w:rsidRDefault="00D32C49" w:rsidP="00D32C49">
      <w:pPr>
        <w:pStyle w:val="Heading3"/>
        <w:spacing w:before="360"/>
      </w:pPr>
    </w:p>
    <w:p w14:paraId="4BC31EBD" w14:textId="77777777" w:rsidR="00D32C49" w:rsidRDefault="00D32C49">
      <w:pPr>
        <w:spacing w:before="0" w:after="200" w:line="276" w:lineRule="auto"/>
        <w:rPr>
          <w:rFonts w:eastAsia="Times" w:cs="Times New Roman"/>
          <w:b/>
          <w:bCs/>
          <w:color w:val="000000" w:themeColor="text1"/>
          <w:sz w:val="28"/>
          <w:szCs w:val="28"/>
        </w:rPr>
      </w:pPr>
      <w:r>
        <w:br w:type="page"/>
      </w:r>
    </w:p>
    <w:p w14:paraId="4E75DE86" w14:textId="7EC0F6A5" w:rsidR="0046533C" w:rsidRDefault="0046533C" w:rsidP="00D32C49">
      <w:pPr>
        <w:pStyle w:val="Heading3"/>
        <w:spacing w:before="360"/>
      </w:pPr>
      <w:bookmarkStart w:id="240" w:name="_Toc107389492"/>
      <w:r w:rsidRPr="007830C3">
        <w:t>Staff Report</w:t>
      </w:r>
      <w:bookmarkEnd w:id="236"/>
      <w:bookmarkEnd w:id="237"/>
      <w:bookmarkEnd w:id="240"/>
      <w:r w:rsidRPr="007830C3">
        <w:t xml:space="preserve"> </w:t>
      </w:r>
    </w:p>
    <w:bookmarkEnd w:id="238"/>
    <w:bookmarkEnd w:id="239"/>
    <w:p w14:paraId="1CD0AD7D" w14:textId="77777777" w:rsidR="0046533C" w:rsidRPr="00D72B1A" w:rsidRDefault="0046533C" w:rsidP="00D72B1A">
      <w:pPr>
        <w:pStyle w:val="BodyText"/>
        <w:rPr>
          <w:b/>
          <w:bCs/>
        </w:rPr>
      </w:pPr>
      <w:r w:rsidRPr="00D72B1A">
        <w:rPr>
          <w:b/>
          <w:bCs/>
        </w:rPr>
        <w:t>Number of senior managers</w:t>
      </w:r>
    </w:p>
    <w:tbl>
      <w:tblPr>
        <w:tblStyle w:val="TableGrid10"/>
        <w:tblW w:w="5000" w:type="pct"/>
        <w:tblLook w:val="04A0" w:firstRow="1" w:lastRow="0" w:firstColumn="1" w:lastColumn="0" w:noHBand="0" w:noVBand="1"/>
      </w:tblPr>
      <w:tblGrid>
        <w:gridCol w:w="918"/>
        <w:gridCol w:w="520"/>
        <w:gridCol w:w="520"/>
        <w:gridCol w:w="520"/>
        <w:gridCol w:w="520"/>
        <w:gridCol w:w="520"/>
        <w:gridCol w:w="521"/>
        <w:gridCol w:w="521"/>
        <w:gridCol w:w="521"/>
        <w:gridCol w:w="589"/>
        <w:gridCol w:w="589"/>
        <w:gridCol w:w="589"/>
        <w:gridCol w:w="738"/>
        <w:gridCol w:w="650"/>
        <w:gridCol w:w="780"/>
      </w:tblGrid>
      <w:tr w:rsidR="008046E9" w:rsidRPr="008046E9" w14:paraId="15B1D2F0" w14:textId="77777777" w:rsidTr="008046E9">
        <w:tc>
          <w:tcPr>
            <w:tcW w:w="521" w:type="pct"/>
          </w:tcPr>
          <w:p w14:paraId="7EC64B10"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Pay Band</w:t>
            </w:r>
          </w:p>
        </w:tc>
        <w:tc>
          <w:tcPr>
            <w:tcW w:w="300" w:type="pct"/>
          </w:tcPr>
          <w:p w14:paraId="183AA2C5"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2</w:t>
            </w:r>
          </w:p>
        </w:tc>
        <w:tc>
          <w:tcPr>
            <w:tcW w:w="300" w:type="pct"/>
          </w:tcPr>
          <w:p w14:paraId="1C832015"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3</w:t>
            </w:r>
          </w:p>
        </w:tc>
        <w:tc>
          <w:tcPr>
            <w:tcW w:w="300" w:type="pct"/>
          </w:tcPr>
          <w:p w14:paraId="6D72882A"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4</w:t>
            </w:r>
          </w:p>
        </w:tc>
        <w:tc>
          <w:tcPr>
            <w:tcW w:w="300" w:type="pct"/>
          </w:tcPr>
          <w:p w14:paraId="5DDE987C"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5</w:t>
            </w:r>
          </w:p>
        </w:tc>
        <w:tc>
          <w:tcPr>
            <w:tcW w:w="300" w:type="pct"/>
          </w:tcPr>
          <w:p w14:paraId="3F8CB62C"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6</w:t>
            </w:r>
          </w:p>
        </w:tc>
        <w:tc>
          <w:tcPr>
            <w:tcW w:w="300" w:type="pct"/>
          </w:tcPr>
          <w:p w14:paraId="143589C2"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7</w:t>
            </w:r>
          </w:p>
        </w:tc>
        <w:tc>
          <w:tcPr>
            <w:tcW w:w="300" w:type="pct"/>
            <w:tcBorders>
              <w:top w:val="single" w:sz="4" w:space="0" w:color="auto"/>
              <w:left w:val="single" w:sz="4" w:space="0" w:color="auto"/>
              <w:bottom w:val="single" w:sz="4" w:space="0" w:color="auto"/>
              <w:right w:val="single" w:sz="4" w:space="0" w:color="auto"/>
            </w:tcBorders>
            <w:shd w:val="clear" w:color="auto" w:fill="auto"/>
          </w:tcPr>
          <w:p w14:paraId="64F28DCC"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8a</w:t>
            </w:r>
          </w:p>
        </w:tc>
        <w:tc>
          <w:tcPr>
            <w:tcW w:w="300" w:type="pct"/>
            <w:tcBorders>
              <w:top w:val="single" w:sz="4" w:space="0" w:color="auto"/>
              <w:left w:val="single" w:sz="4" w:space="0" w:color="auto"/>
              <w:bottom w:val="single" w:sz="4" w:space="0" w:color="auto"/>
              <w:right w:val="single" w:sz="4" w:space="0" w:color="auto"/>
            </w:tcBorders>
            <w:shd w:val="clear" w:color="auto" w:fill="auto"/>
          </w:tcPr>
          <w:p w14:paraId="4836BF66"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8b</w:t>
            </w:r>
          </w:p>
        </w:tc>
        <w:tc>
          <w:tcPr>
            <w:tcW w:w="338" w:type="pct"/>
            <w:tcBorders>
              <w:top w:val="single" w:sz="4" w:space="0" w:color="auto"/>
              <w:left w:val="single" w:sz="4" w:space="0" w:color="auto"/>
              <w:bottom w:val="single" w:sz="4" w:space="0" w:color="auto"/>
              <w:right w:val="single" w:sz="4" w:space="0" w:color="auto"/>
            </w:tcBorders>
            <w:shd w:val="clear" w:color="auto" w:fill="D9D9D9"/>
          </w:tcPr>
          <w:p w14:paraId="7759824B"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8c</w:t>
            </w:r>
          </w:p>
        </w:tc>
        <w:tc>
          <w:tcPr>
            <w:tcW w:w="338" w:type="pct"/>
            <w:tcBorders>
              <w:top w:val="single" w:sz="4" w:space="0" w:color="auto"/>
              <w:left w:val="single" w:sz="4" w:space="0" w:color="auto"/>
              <w:bottom w:val="single" w:sz="4" w:space="0" w:color="auto"/>
              <w:right w:val="single" w:sz="4" w:space="0" w:color="auto"/>
            </w:tcBorders>
            <w:shd w:val="clear" w:color="auto" w:fill="D9D9D9"/>
          </w:tcPr>
          <w:p w14:paraId="3FE87A12"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8d</w:t>
            </w:r>
          </w:p>
        </w:tc>
        <w:tc>
          <w:tcPr>
            <w:tcW w:w="338" w:type="pct"/>
            <w:tcBorders>
              <w:top w:val="single" w:sz="4" w:space="0" w:color="auto"/>
              <w:left w:val="single" w:sz="4" w:space="0" w:color="auto"/>
              <w:bottom w:val="single" w:sz="4" w:space="0" w:color="auto"/>
              <w:right w:val="single" w:sz="4" w:space="0" w:color="auto"/>
            </w:tcBorders>
            <w:shd w:val="clear" w:color="auto" w:fill="D9D9D9"/>
          </w:tcPr>
          <w:p w14:paraId="549FE412"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9</w:t>
            </w:r>
          </w:p>
        </w:tc>
        <w:tc>
          <w:tcPr>
            <w:tcW w:w="338" w:type="pct"/>
            <w:tcBorders>
              <w:top w:val="single" w:sz="4" w:space="0" w:color="auto"/>
              <w:left w:val="single" w:sz="4" w:space="0" w:color="auto"/>
              <w:bottom w:val="single" w:sz="4" w:space="0" w:color="auto"/>
              <w:right w:val="single" w:sz="4" w:space="0" w:color="auto"/>
            </w:tcBorders>
            <w:shd w:val="clear" w:color="auto" w:fill="D9D9D9"/>
          </w:tcPr>
          <w:p w14:paraId="14FD7716"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Other</w:t>
            </w:r>
          </w:p>
        </w:tc>
        <w:tc>
          <w:tcPr>
            <w:tcW w:w="338" w:type="pct"/>
            <w:tcBorders>
              <w:top w:val="single" w:sz="4" w:space="0" w:color="auto"/>
              <w:left w:val="single" w:sz="4" w:space="0" w:color="auto"/>
              <w:bottom w:val="single" w:sz="4" w:space="0" w:color="auto"/>
              <w:right w:val="single" w:sz="4" w:space="0" w:color="auto"/>
            </w:tcBorders>
            <w:shd w:val="clear" w:color="auto" w:fill="D9D9D9"/>
          </w:tcPr>
          <w:p w14:paraId="5ACE33B9" w14:textId="77777777" w:rsidR="008046E9" w:rsidRPr="009C1E46" w:rsidRDefault="008046E9" w:rsidP="008046E9">
            <w:pPr>
              <w:keepNext/>
              <w:keepLines/>
              <w:spacing w:before="0" w:after="0"/>
              <w:rPr>
                <w:rFonts w:ascii="Calibri" w:eastAsia="Calibri" w:hAnsi="Calibri" w:cs="Times New Roman"/>
                <w:b/>
                <w:bCs/>
                <w:sz w:val="22"/>
              </w:rPr>
            </w:pPr>
            <w:r w:rsidRPr="009C1E46">
              <w:rPr>
                <w:rFonts w:ascii="Calibri" w:eastAsia="Calibri" w:hAnsi="Calibri" w:cs="Times New Roman"/>
                <w:b/>
                <w:bCs/>
                <w:sz w:val="22"/>
              </w:rPr>
              <w:t>Sub-total</w:t>
            </w:r>
          </w:p>
        </w:tc>
        <w:tc>
          <w:tcPr>
            <w:tcW w:w="391" w:type="pct"/>
            <w:tcBorders>
              <w:left w:val="single" w:sz="4" w:space="0" w:color="auto"/>
            </w:tcBorders>
          </w:tcPr>
          <w:p w14:paraId="33A32AE8" w14:textId="77777777" w:rsidR="008046E9" w:rsidRPr="008046E9" w:rsidRDefault="008046E9" w:rsidP="008046E9">
            <w:pPr>
              <w:keepNext/>
              <w:keepLines/>
              <w:spacing w:before="0" w:after="0"/>
              <w:rPr>
                <w:rFonts w:ascii="Calibri" w:eastAsia="Calibri" w:hAnsi="Calibri" w:cs="Times New Roman"/>
                <w:b/>
                <w:bCs/>
                <w:sz w:val="22"/>
              </w:rPr>
            </w:pPr>
            <w:r w:rsidRPr="008046E9">
              <w:rPr>
                <w:rFonts w:ascii="Calibri" w:eastAsia="Calibri" w:hAnsi="Calibri" w:cs="Times New Roman"/>
                <w:b/>
                <w:bCs/>
                <w:sz w:val="22"/>
              </w:rPr>
              <w:t>Grand Total</w:t>
            </w:r>
          </w:p>
        </w:tc>
      </w:tr>
      <w:tr w:rsidR="008046E9" w:rsidRPr="008046E9" w14:paraId="1DBC1AE0" w14:textId="77777777" w:rsidTr="008046E9">
        <w:tc>
          <w:tcPr>
            <w:tcW w:w="521" w:type="pct"/>
          </w:tcPr>
          <w:p w14:paraId="61F5EDB1" w14:textId="77777777" w:rsidR="008046E9" w:rsidRPr="008046E9" w:rsidRDefault="008046E9" w:rsidP="008046E9">
            <w:pPr>
              <w:keepNext/>
              <w:keepLines/>
              <w:spacing w:before="0" w:after="0"/>
              <w:rPr>
                <w:rFonts w:ascii="Calibri" w:eastAsia="Calibri" w:hAnsi="Calibri" w:cs="Times New Roman"/>
                <w:sz w:val="22"/>
              </w:rPr>
            </w:pPr>
          </w:p>
        </w:tc>
        <w:tc>
          <w:tcPr>
            <w:tcW w:w="300" w:type="pct"/>
            <w:tcBorders>
              <w:right w:val="single" w:sz="4" w:space="0" w:color="auto"/>
            </w:tcBorders>
          </w:tcPr>
          <w:p w14:paraId="32AC9B75" w14:textId="77777777" w:rsidR="008046E9" w:rsidRPr="008046E9" w:rsidRDefault="008046E9" w:rsidP="008046E9">
            <w:pPr>
              <w:keepNext/>
              <w:keepLines/>
              <w:spacing w:before="0" w:after="0"/>
              <w:jc w:val="center"/>
              <w:rPr>
                <w:rFonts w:ascii="Calibri" w:eastAsia="Calibri" w:hAnsi="Calibri" w:cs="Times New Roman"/>
                <w:color w:val="808080"/>
                <w:sz w:val="22"/>
              </w:rPr>
            </w:pPr>
          </w:p>
        </w:tc>
        <w:tc>
          <w:tcPr>
            <w:tcW w:w="300" w:type="pct"/>
            <w:tcBorders>
              <w:right w:val="single" w:sz="4" w:space="0" w:color="auto"/>
            </w:tcBorders>
          </w:tcPr>
          <w:p w14:paraId="22D4B085" w14:textId="77777777" w:rsidR="008046E9" w:rsidRPr="008046E9" w:rsidRDefault="008046E9" w:rsidP="008046E9">
            <w:pPr>
              <w:keepNext/>
              <w:keepLines/>
              <w:spacing w:before="0" w:after="0"/>
              <w:jc w:val="center"/>
              <w:rPr>
                <w:rFonts w:ascii="Calibri" w:eastAsia="Calibri" w:hAnsi="Calibri" w:cs="Times New Roman"/>
                <w:color w:val="808080"/>
                <w:sz w:val="22"/>
              </w:rPr>
            </w:pPr>
          </w:p>
        </w:tc>
        <w:tc>
          <w:tcPr>
            <w:tcW w:w="300" w:type="pct"/>
            <w:tcBorders>
              <w:right w:val="single" w:sz="4" w:space="0" w:color="auto"/>
            </w:tcBorders>
          </w:tcPr>
          <w:p w14:paraId="5484B010" w14:textId="77777777" w:rsidR="008046E9" w:rsidRPr="008046E9" w:rsidRDefault="008046E9" w:rsidP="008046E9">
            <w:pPr>
              <w:keepNext/>
              <w:keepLines/>
              <w:spacing w:before="0" w:after="0"/>
              <w:jc w:val="center"/>
              <w:rPr>
                <w:rFonts w:ascii="Calibri" w:eastAsia="Calibri" w:hAnsi="Calibri" w:cs="Times New Roman"/>
                <w:color w:val="808080"/>
                <w:sz w:val="22"/>
              </w:rPr>
            </w:pPr>
          </w:p>
        </w:tc>
        <w:tc>
          <w:tcPr>
            <w:tcW w:w="300" w:type="pct"/>
            <w:tcBorders>
              <w:right w:val="single" w:sz="4" w:space="0" w:color="auto"/>
            </w:tcBorders>
          </w:tcPr>
          <w:p w14:paraId="0163362D" w14:textId="77777777" w:rsidR="008046E9" w:rsidRPr="008046E9" w:rsidRDefault="008046E9" w:rsidP="008046E9">
            <w:pPr>
              <w:keepNext/>
              <w:keepLines/>
              <w:spacing w:before="0" w:after="0"/>
              <w:jc w:val="center"/>
              <w:rPr>
                <w:rFonts w:ascii="Calibri" w:eastAsia="Calibri" w:hAnsi="Calibri" w:cs="Times New Roman"/>
                <w:color w:val="808080"/>
                <w:sz w:val="22"/>
              </w:rPr>
            </w:pPr>
          </w:p>
        </w:tc>
        <w:tc>
          <w:tcPr>
            <w:tcW w:w="300" w:type="pct"/>
            <w:tcBorders>
              <w:right w:val="single" w:sz="4" w:space="0" w:color="auto"/>
            </w:tcBorders>
          </w:tcPr>
          <w:p w14:paraId="56220016" w14:textId="77777777" w:rsidR="008046E9" w:rsidRPr="008046E9" w:rsidRDefault="008046E9" w:rsidP="008046E9">
            <w:pPr>
              <w:keepNext/>
              <w:keepLines/>
              <w:spacing w:before="0" w:after="0"/>
              <w:jc w:val="center"/>
              <w:rPr>
                <w:rFonts w:ascii="Calibri" w:eastAsia="Calibri" w:hAnsi="Calibri" w:cs="Times New Roman"/>
                <w:color w:val="808080"/>
                <w:sz w:val="22"/>
              </w:rPr>
            </w:pPr>
          </w:p>
        </w:tc>
        <w:tc>
          <w:tcPr>
            <w:tcW w:w="300" w:type="pct"/>
            <w:tcBorders>
              <w:right w:val="single" w:sz="4" w:space="0" w:color="auto"/>
            </w:tcBorders>
          </w:tcPr>
          <w:p w14:paraId="716A3E7B" w14:textId="77777777" w:rsidR="008046E9" w:rsidRPr="008046E9" w:rsidRDefault="008046E9" w:rsidP="008046E9">
            <w:pPr>
              <w:keepNext/>
              <w:keepLines/>
              <w:spacing w:before="0" w:after="0"/>
              <w:jc w:val="center"/>
              <w:rPr>
                <w:rFonts w:ascii="Calibri" w:eastAsia="Calibri" w:hAnsi="Calibri" w:cs="Times New Roman"/>
                <w:color w:val="808080"/>
                <w:sz w:val="22"/>
              </w:rPr>
            </w:pPr>
          </w:p>
        </w:tc>
        <w:tc>
          <w:tcPr>
            <w:tcW w:w="300" w:type="pct"/>
            <w:tcBorders>
              <w:top w:val="single" w:sz="4" w:space="0" w:color="auto"/>
              <w:left w:val="single" w:sz="4" w:space="0" w:color="auto"/>
              <w:bottom w:val="single" w:sz="4" w:space="0" w:color="auto"/>
              <w:right w:val="single" w:sz="4" w:space="0" w:color="auto"/>
            </w:tcBorders>
            <w:shd w:val="clear" w:color="auto" w:fill="auto"/>
          </w:tcPr>
          <w:p w14:paraId="13EBEEF8" w14:textId="77777777" w:rsidR="008046E9" w:rsidRPr="008046E9" w:rsidRDefault="008046E9" w:rsidP="008046E9">
            <w:pPr>
              <w:keepNext/>
              <w:keepLines/>
              <w:spacing w:before="0" w:after="0"/>
              <w:jc w:val="center"/>
              <w:rPr>
                <w:rFonts w:ascii="Calibri" w:eastAsia="Calibri" w:hAnsi="Calibri" w:cs="Times New Roman"/>
                <w:sz w:val="22"/>
              </w:rPr>
            </w:pPr>
          </w:p>
        </w:tc>
        <w:tc>
          <w:tcPr>
            <w:tcW w:w="300" w:type="pct"/>
            <w:tcBorders>
              <w:top w:val="single" w:sz="4" w:space="0" w:color="auto"/>
              <w:left w:val="single" w:sz="4" w:space="0" w:color="auto"/>
              <w:bottom w:val="single" w:sz="4" w:space="0" w:color="auto"/>
              <w:right w:val="single" w:sz="4" w:space="0" w:color="auto"/>
            </w:tcBorders>
            <w:shd w:val="clear" w:color="auto" w:fill="auto"/>
          </w:tcPr>
          <w:p w14:paraId="5D3B645A" w14:textId="77777777" w:rsidR="008046E9" w:rsidRPr="008046E9" w:rsidRDefault="008046E9" w:rsidP="008046E9">
            <w:pPr>
              <w:keepNext/>
              <w:keepLines/>
              <w:spacing w:before="0" w:after="0"/>
              <w:jc w:val="center"/>
              <w:rPr>
                <w:rFonts w:ascii="Calibri" w:eastAsia="Calibri" w:hAnsi="Calibri" w:cs="Times New Roman"/>
                <w:sz w:val="22"/>
              </w:rPr>
            </w:pPr>
          </w:p>
        </w:tc>
        <w:tc>
          <w:tcPr>
            <w:tcW w:w="1688" w:type="pct"/>
            <w:gridSpan w:val="5"/>
            <w:tcBorders>
              <w:top w:val="single" w:sz="4" w:space="0" w:color="auto"/>
              <w:left w:val="single" w:sz="4" w:space="0" w:color="auto"/>
              <w:bottom w:val="single" w:sz="4" w:space="0" w:color="auto"/>
              <w:right w:val="single" w:sz="4" w:space="0" w:color="auto"/>
            </w:tcBorders>
            <w:shd w:val="clear" w:color="auto" w:fill="D9D9D9"/>
          </w:tcPr>
          <w:p w14:paraId="4A85BCBE" w14:textId="77777777" w:rsidR="008046E9" w:rsidRPr="009C1E46" w:rsidRDefault="008046E9" w:rsidP="008046E9">
            <w:pPr>
              <w:keepNext/>
              <w:keepLines/>
              <w:spacing w:before="0" w:after="0"/>
              <w:jc w:val="center"/>
              <w:rPr>
                <w:rFonts w:ascii="Calibri" w:eastAsia="Calibri" w:hAnsi="Calibri" w:cs="Times New Roman"/>
                <w:b/>
                <w:bCs/>
                <w:sz w:val="22"/>
              </w:rPr>
            </w:pPr>
            <w:r w:rsidRPr="009C1E46">
              <w:rPr>
                <w:rFonts w:ascii="Calibri" w:eastAsia="Calibri" w:hAnsi="Calibri" w:cs="Times New Roman"/>
                <w:b/>
                <w:bCs/>
                <w:sz w:val="22"/>
              </w:rPr>
              <w:t>Senior Managers</w:t>
            </w:r>
          </w:p>
        </w:tc>
        <w:tc>
          <w:tcPr>
            <w:tcW w:w="391" w:type="pct"/>
            <w:tcBorders>
              <w:left w:val="single" w:sz="4" w:space="0" w:color="auto"/>
            </w:tcBorders>
          </w:tcPr>
          <w:p w14:paraId="07A69C05" w14:textId="77777777" w:rsidR="008046E9" w:rsidRPr="008046E9" w:rsidRDefault="008046E9" w:rsidP="008046E9">
            <w:pPr>
              <w:keepNext/>
              <w:keepLines/>
              <w:spacing w:before="0" w:after="0"/>
              <w:rPr>
                <w:rFonts w:ascii="Calibri" w:eastAsia="Calibri" w:hAnsi="Calibri" w:cs="Times New Roman"/>
                <w:b/>
                <w:bCs/>
                <w:sz w:val="22"/>
              </w:rPr>
            </w:pPr>
          </w:p>
        </w:tc>
      </w:tr>
      <w:tr w:rsidR="008046E9" w:rsidRPr="008046E9" w14:paraId="2A4834F8" w14:textId="77777777" w:rsidTr="008046E9">
        <w:tc>
          <w:tcPr>
            <w:tcW w:w="521" w:type="pct"/>
          </w:tcPr>
          <w:p w14:paraId="545FB98C"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Female</w:t>
            </w:r>
          </w:p>
        </w:tc>
        <w:tc>
          <w:tcPr>
            <w:tcW w:w="300" w:type="pct"/>
            <w:tcBorders>
              <w:top w:val="single" w:sz="4" w:space="0" w:color="auto"/>
              <w:left w:val="single" w:sz="4" w:space="0" w:color="auto"/>
              <w:bottom w:val="single" w:sz="4" w:space="0" w:color="auto"/>
              <w:right w:val="single" w:sz="4" w:space="0" w:color="auto"/>
            </w:tcBorders>
            <w:shd w:val="clear" w:color="000000" w:fill="FFFFFF"/>
          </w:tcPr>
          <w:p w14:paraId="775E1635"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0</w:t>
            </w:r>
          </w:p>
        </w:tc>
        <w:tc>
          <w:tcPr>
            <w:tcW w:w="300" w:type="pct"/>
            <w:tcBorders>
              <w:top w:val="single" w:sz="4" w:space="0" w:color="auto"/>
              <w:left w:val="nil"/>
              <w:bottom w:val="single" w:sz="4" w:space="0" w:color="auto"/>
              <w:right w:val="single" w:sz="4" w:space="0" w:color="auto"/>
            </w:tcBorders>
            <w:shd w:val="clear" w:color="000000" w:fill="FFFFFF"/>
          </w:tcPr>
          <w:p w14:paraId="6F86F419"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0</w:t>
            </w:r>
          </w:p>
        </w:tc>
        <w:tc>
          <w:tcPr>
            <w:tcW w:w="300" w:type="pct"/>
            <w:tcBorders>
              <w:top w:val="single" w:sz="4" w:space="0" w:color="auto"/>
              <w:left w:val="nil"/>
              <w:bottom w:val="single" w:sz="4" w:space="0" w:color="auto"/>
              <w:right w:val="single" w:sz="4" w:space="0" w:color="auto"/>
            </w:tcBorders>
            <w:shd w:val="clear" w:color="000000" w:fill="FFFFFF"/>
          </w:tcPr>
          <w:p w14:paraId="274F653C"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8</w:t>
            </w:r>
          </w:p>
        </w:tc>
        <w:tc>
          <w:tcPr>
            <w:tcW w:w="300" w:type="pct"/>
            <w:tcBorders>
              <w:top w:val="single" w:sz="4" w:space="0" w:color="auto"/>
              <w:left w:val="nil"/>
              <w:bottom w:val="single" w:sz="4" w:space="0" w:color="auto"/>
              <w:right w:val="single" w:sz="4" w:space="0" w:color="auto"/>
            </w:tcBorders>
            <w:shd w:val="clear" w:color="000000" w:fill="FFFFFF"/>
          </w:tcPr>
          <w:p w14:paraId="2BEB75E8"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9</w:t>
            </w:r>
          </w:p>
        </w:tc>
        <w:tc>
          <w:tcPr>
            <w:tcW w:w="300" w:type="pct"/>
            <w:tcBorders>
              <w:top w:val="single" w:sz="4" w:space="0" w:color="auto"/>
              <w:left w:val="nil"/>
              <w:bottom w:val="single" w:sz="4" w:space="0" w:color="auto"/>
              <w:right w:val="single" w:sz="4" w:space="0" w:color="auto"/>
            </w:tcBorders>
            <w:shd w:val="clear" w:color="000000" w:fill="FFFFFF"/>
          </w:tcPr>
          <w:p w14:paraId="03170739"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8</w:t>
            </w:r>
          </w:p>
        </w:tc>
        <w:tc>
          <w:tcPr>
            <w:tcW w:w="300" w:type="pct"/>
            <w:tcBorders>
              <w:top w:val="single" w:sz="4" w:space="0" w:color="auto"/>
              <w:left w:val="nil"/>
              <w:bottom w:val="single" w:sz="4" w:space="0" w:color="auto"/>
              <w:right w:val="single" w:sz="4" w:space="0" w:color="auto"/>
            </w:tcBorders>
            <w:shd w:val="clear" w:color="000000" w:fill="FFFFFF"/>
          </w:tcPr>
          <w:p w14:paraId="257CC331"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14</w:t>
            </w:r>
          </w:p>
        </w:tc>
        <w:tc>
          <w:tcPr>
            <w:tcW w:w="300" w:type="pct"/>
            <w:tcBorders>
              <w:top w:val="single" w:sz="4" w:space="0" w:color="auto"/>
              <w:left w:val="single" w:sz="4" w:space="0" w:color="auto"/>
              <w:bottom w:val="single" w:sz="4" w:space="0" w:color="auto"/>
              <w:right w:val="single" w:sz="4" w:space="0" w:color="auto"/>
            </w:tcBorders>
            <w:shd w:val="clear" w:color="auto" w:fill="auto"/>
          </w:tcPr>
          <w:p w14:paraId="3E58EC18"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4</w:t>
            </w:r>
          </w:p>
        </w:tc>
        <w:tc>
          <w:tcPr>
            <w:tcW w:w="300" w:type="pct"/>
            <w:tcBorders>
              <w:top w:val="single" w:sz="4" w:space="0" w:color="auto"/>
              <w:left w:val="single" w:sz="4" w:space="0" w:color="auto"/>
              <w:bottom w:val="single" w:sz="4" w:space="0" w:color="auto"/>
              <w:right w:val="single" w:sz="4" w:space="0" w:color="auto"/>
            </w:tcBorders>
            <w:shd w:val="clear" w:color="auto" w:fill="auto"/>
          </w:tcPr>
          <w:p w14:paraId="74663586"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4</w:t>
            </w:r>
          </w:p>
        </w:tc>
        <w:tc>
          <w:tcPr>
            <w:tcW w:w="338" w:type="pct"/>
            <w:tcBorders>
              <w:top w:val="single" w:sz="4" w:space="0" w:color="auto"/>
              <w:left w:val="single" w:sz="4" w:space="0" w:color="auto"/>
              <w:bottom w:val="single" w:sz="4" w:space="0" w:color="auto"/>
              <w:right w:val="single" w:sz="4" w:space="0" w:color="auto"/>
            </w:tcBorders>
            <w:shd w:val="clear" w:color="auto" w:fill="D9D9D9"/>
          </w:tcPr>
          <w:p w14:paraId="10204999"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1</w:t>
            </w:r>
          </w:p>
        </w:tc>
        <w:tc>
          <w:tcPr>
            <w:tcW w:w="338" w:type="pct"/>
            <w:tcBorders>
              <w:top w:val="single" w:sz="4" w:space="0" w:color="auto"/>
              <w:left w:val="single" w:sz="4" w:space="0" w:color="auto"/>
              <w:bottom w:val="single" w:sz="4" w:space="0" w:color="auto"/>
              <w:right w:val="single" w:sz="4" w:space="0" w:color="auto"/>
            </w:tcBorders>
            <w:shd w:val="clear" w:color="auto" w:fill="D9D9D9"/>
          </w:tcPr>
          <w:p w14:paraId="41B4260F"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4</w:t>
            </w:r>
          </w:p>
        </w:tc>
        <w:tc>
          <w:tcPr>
            <w:tcW w:w="338" w:type="pct"/>
            <w:tcBorders>
              <w:top w:val="single" w:sz="4" w:space="0" w:color="auto"/>
              <w:left w:val="single" w:sz="4" w:space="0" w:color="auto"/>
              <w:bottom w:val="single" w:sz="4" w:space="0" w:color="auto"/>
              <w:right w:val="single" w:sz="4" w:space="0" w:color="auto"/>
            </w:tcBorders>
            <w:shd w:val="clear" w:color="auto" w:fill="D9D9D9"/>
          </w:tcPr>
          <w:p w14:paraId="3724DF1F"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2</w:t>
            </w:r>
          </w:p>
        </w:tc>
        <w:tc>
          <w:tcPr>
            <w:tcW w:w="338" w:type="pct"/>
            <w:tcBorders>
              <w:top w:val="single" w:sz="4" w:space="0" w:color="auto"/>
              <w:left w:val="single" w:sz="4" w:space="0" w:color="auto"/>
              <w:bottom w:val="single" w:sz="4" w:space="0" w:color="auto"/>
              <w:right w:val="single" w:sz="4" w:space="0" w:color="auto"/>
            </w:tcBorders>
            <w:shd w:val="clear" w:color="auto" w:fill="D9D9D9"/>
          </w:tcPr>
          <w:p w14:paraId="1C9081A7"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1</w:t>
            </w:r>
          </w:p>
        </w:tc>
        <w:tc>
          <w:tcPr>
            <w:tcW w:w="338" w:type="pct"/>
            <w:tcBorders>
              <w:top w:val="single" w:sz="4" w:space="0" w:color="auto"/>
              <w:left w:val="single" w:sz="4" w:space="0" w:color="auto"/>
              <w:bottom w:val="single" w:sz="4" w:space="0" w:color="auto"/>
              <w:right w:val="single" w:sz="4" w:space="0" w:color="auto"/>
            </w:tcBorders>
            <w:shd w:val="clear" w:color="auto" w:fill="D9D9D9"/>
          </w:tcPr>
          <w:p w14:paraId="6ECAB1E4" w14:textId="77777777" w:rsidR="008046E9" w:rsidRPr="009C1E46" w:rsidRDefault="008046E9" w:rsidP="008046E9">
            <w:pPr>
              <w:keepNext/>
              <w:keepLines/>
              <w:spacing w:before="0" w:after="0"/>
              <w:jc w:val="right"/>
              <w:rPr>
                <w:rFonts w:ascii="Calibri" w:eastAsia="Calibri" w:hAnsi="Calibri" w:cs="Times New Roman"/>
                <w:b/>
                <w:bCs/>
                <w:sz w:val="22"/>
              </w:rPr>
            </w:pPr>
            <w:r w:rsidRPr="009C1E46">
              <w:rPr>
                <w:rFonts w:ascii="Calibri" w:eastAsia="Calibri" w:hAnsi="Calibri" w:cs="Times New Roman"/>
                <w:b/>
                <w:bCs/>
                <w:sz w:val="22"/>
              </w:rPr>
              <w:t>8</w:t>
            </w: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711769F1"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Calibri"/>
                <w:b/>
                <w:bCs/>
                <w:color w:val="000000"/>
                <w:sz w:val="22"/>
              </w:rPr>
              <w:t>55</w:t>
            </w:r>
          </w:p>
        </w:tc>
      </w:tr>
      <w:tr w:rsidR="008046E9" w:rsidRPr="008046E9" w14:paraId="7C3551A8" w14:textId="77777777" w:rsidTr="008046E9">
        <w:tc>
          <w:tcPr>
            <w:tcW w:w="521" w:type="pct"/>
          </w:tcPr>
          <w:p w14:paraId="2F24CFA8"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Male</w:t>
            </w:r>
          </w:p>
        </w:tc>
        <w:tc>
          <w:tcPr>
            <w:tcW w:w="300" w:type="pct"/>
            <w:tcBorders>
              <w:top w:val="nil"/>
              <w:left w:val="single" w:sz="4" w:space="0" w:color="auto"/>
              <w:bottom w:val="single" w:sz="4" w:space="0" w:color="auto"/>
              <w:right w:val="single" w:sz="4" w:space="0" w:color="auto"/>
            </w:tcBorders>
            <w:shd w:val="clear" w:color="000000" w:fill="FFFFFF"/>
          </w:tcPr>
          <w:p w14:paraId="323F3766"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1</w:t>
            </w:r>
          </w:p>
        </w:tc>
        <w:tc>
          <w:tcPr>
            <w:tcW w:w="300" w:type="pct"/>
            <w:tcBorders>
              <w:top w:val="nil"/>
              <w:left w:val="nil"/>
              <w:bottom w:val="single" w:sz="4" w:space="0" w:color="auto"/>
              <w:right w:val="single" w:sz="4" w:space="0" w:color="auto"/>
            </w:tcBorders>
            <w:shd w:val="clear" w:color="000000" w:fill="FFFFFF"/>
          </w:tcPr>
          <w:p w14:paraId="3E3D15F4"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0</w:t>
            </w:r>
          </w:p>
        </w:tc>
        <w:tc>
          <w:tcPr>
            <w:tcW w:w="300" w:type="pct"/>
            <w:tcBorders>
              <w:top w:val="nil"/>
              <w:left w:val="nil"/>
              <w:bottom w:val="single" w:sz="4" w:space="0" w:color="auto"/>
              <w:right w:val="single" w:sz="4" w:space="0" w:color="auto"/>
            </w:tcBorders>
            <w:shd w:val="clear" w:color="000000" w:fill="FFFFFF"/>
          </w:tcPr>
          <w:p w14:paraId="487FF992"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2</w:t>
            </w:r>
          </w:p>
        </w:tc>
        <w:tc>
          <w:tcPr>
            <w:tcW w:w="300" w:type="pct"/>
            <w:tcBorders>
              <w:top w:val="nil"/>
              <w:left w:val="nil"/>
              <w:bottom w:val="single" w:sz="4" w:space="0" w:color="auto"/>
              <w:right w:val="single" w:sz="4" w:space="0" w:color="auto"/>
            </w:tcBorders>
            <w:shd w:val="clear" w:color="000000" w:fill="FFFFFF"/>
          </w:tcPr>
          <w:p w14:paraId="70963E43"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1</w:t>
            </w:r>
          </w:p>
        </w:tc>
        <w:tc>
          <w:tcPr>
            <w:tcW w:w="300" w:type="pct"/>
            <w:tcBorders>
              <w:top w:val="nil"/>
              <w:left w:val="nil"/>
              <w:bottom w:val="single" w:sz="4" w:space="0" w:color="auto"/>
              <w:right w:val="single" w:sz="4" w:space="0" w:color="auto"/>
            </w:tcBorders>
            <w:shd w:val="clear" w:color="000000" w:fill="FFFFFF"/>
          </w:tcPr>
          <w:p w14:paraId="4EDF8394"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2</w:t>
            </w:r>
          </w:p>
        </w:tc>
        <w:tc>
          <w:tcPr>
            <w:tcW w:w="300" w:type="pct"/>
            <w:tcBorders>
              <w:top w:val="nil"/>
              <w:left w:val="nil"/>
              <w:bottom w:val="single" w:sz="4" w:space="0" w:color="auto"/>
              <w:right w:val="single" w:sz="4" w:space="0" w:color="auto"/>
            </w:tcBorders>
            <w:shd w:val="clear" w:color="000000" w:fill="FFFFFF"/>
          </w:tcPr>
          <w:p w14:paraId="6FC7ACB0"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2</w:t>
            </w:r>
          </w:p>
        </w:tc>
        <w:tc>
          <w:tcPr>
            <w:tcW w:w="300" w:type="pct"/>
            <w:tcBorders>
              <w:top w:val="single" w:sz="4" w:space="0" w:color="auto"/>
              <w:left w:val="single" w:sz="4" w:space="0" w:color="auto"/>
              <w:bottom w:val="single" w:sz="4" w:space="0" w:color="auto"/>
              <w:right w:val="single" w:sz="4" w:space="0" w:color="auto"/>
            </w:tcBorders>
            <w:shd w:val="clear" w:color="auto" w:fill="auto"/>
          </w:tcPr>
          <w:p w14:paraId="5A38D9AA"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3</w:t>
            </w:r>
          </w:p>
        </w:tc>
        <w:tc>
          <w:tcPr>
            <w:tcW w:w="300" w:type="pct"/>
            <w:tcBorders>
              <w:top w:val="single" w:sz="4" w:space="0" w:color="auto"/>
              <w:left w:val="single" w:sz="4" w:space="0" w:color="auto"/>
              <w:bottom w:val="single" w:sz="4" w:space="0" w:color="auto"/>
              <w:right w:val="single" w:sz="4" w:space="0" w:color="auto"/>
            </w:tcBorders>
            <w:shd w:val="clear" w:color="auto" w:fill="auto"/>
          </w:tcPr>
          <w:p w14:paraId="5203472B"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3</w:t>
            </w:r>
          </w:p>
        </w:tc>
        <w:tc>
          <w:tcPr>
            <w:tcW w:w="338" w:type="pct"/>
            <w:tcBorders>
              <w:top w:val="single" w:sz="4" w:space="0" w:color="auto"/>
              <w:left w:val="single" w:sz="4" w:space="0" w:color="auto"/>
              <w:bottom w:val="single" w:sz="4" w:space="0" w:color="auto"/>
              <w:right w:val="single" w:sz="4" w:space="0" w:color="auto"/>
            </w:tcBorders>
            <w:shd w:val="clear" w:color="auto" w:fill="D9D9D9"/>
          </w:tcPr>
          <w:p w14:paraId="62CE127D"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2</w:t>
            </w:r>
          </w:p>
        </w:tc>
        <w:tc>
          <w:tcPr>
            <w:tcW w:w="338" w:type="pct"/>
            <w:tcBorders>
              <w:top w:val="single" w:sz="4" w:space="0" w:color="auto"/>
              <w:left w:val="single" w:sz="4" w:space="0" w:color="auto"/>
              <w:bottom w:val="single" w:sz="4" w:space="0" w:color="auto"/>
              <w:right w:val="single" w:sz="4" w:space="0" w:color="auto"/>
            </w:tcBorders>
            <w:shd w:val="clear" w:color="auto" w:fill="D9D9D9"/>
          </w:tcPr>
          <w:p w14:paraId="16A82565"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2</w:t>
            </w:r>
          </w:p>
        </w:tc>
        <w:tc>
          <w:tcPr>
            <w:tcW w:w="338" w:type="pct"/>
            <w:tcBorders>
              <w:top w:val="single" w:sz="4" w:space="0" w:color="auto"/>
              <w:left w:val="single" w:sz="4" w:space="0" w:color="auto"/>
              <w:bottom w:val="single" w:sz="4" w:space="0" w:color="auto"/>
              <w:right w:val="single" w:sz="4" w:space="0" w:color="auto"/>
            </w:tcBorders>
            <w:shd w:val="clear" w:color="auto" w:fill="D9D9D9"/>
          </w:tcPr>
          <w:p w14:paraId="4BAF6151"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0</w:t>
            </w:r>
          </w:p>
        </w:tc>
        <w:tc>
          <w:tcPr>
            <w:tcW w:w="338" w:type="pct"/>
            <w:tcBorders>
              <w:top w:val="single" w:sz="4" w:space="0" w:color="auto"/>
              <w:left w:val="single" w:sz="4" w:space="0" w:color="auto"/>
              <w:bottom w:val="single" w:sz="4" w:space="0" w:color="auto"/>
              <w:right w:val="single" w:sz="4" w:space="0" w:color="auto"/>
            </w:tcBorders>
            <w:shd w:val="clear" w:color="auto" w:fill="D9D9D9"/>
          </w:tcPr>
          <w:p w14:paraId="22354129"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4</w:t>
            </w:r>
          </w:p>
        </w:tc>
        <w:tc>
          <w:tcPr>
            <w:tcW w:w="338" w:type="pct"/>
            <w:tcBorders>
              <w:top w:val="single" w:sz="4" w:space="0" w:color="auto"/>
              <w:left w:val="single" w:sz="4" w:space="0" w:color="auto"/>
              <w:bottom w:val="single" w:sz="4" w:space="0" w:color="auto"/>
              <w:right w:val="single" w:sz="4" w:space="0" w:color="auto"/>
            </w:tcBorders>
            <w:shd w:val="clear" w:color="auto" w:fill="D9D9D9"/>
          </w:tcPr>
          <w:p w14:paraId="70118879" w14:textId="77777777" w:rsidR="008046E9" w:rsidRPr="009C1E46" w:rsidRDefault="008046E9" w:rsidP="008046E9">
            <w:pPr>
              <w:keepNext/>
              <w:keepLines/>
              <w:spacing w:before="0" w:after="0"/>
              <w:jc w:val="right"/>
              <w:rPr>
                <w:rFonts w:ascii="Calibri" w:eastAsia="Calibri" w:hAnsi="Calibri" w:cs="Times New Roman"/>
                <w:b/>
                <w:bCs/>
                <w:sz w:val="22"/>
              </w:rPr>
            </w:pPr>
            <w:r w:rsidRPr="009C1E46">
              <w:rPr>
                <w:rFonts w:ascii="Calibri" w:eastAsia="Calibri" w:hAnsi="Calibri" w:cs="Times New Roman"/>
                <w:b/>
                <w:bCs/>
                <w:sz w:val="22"/>
              </w:rPr>
              <w:t>8</w:t>
            </w:r>
          </w:p>
        </w:tc>
        <w:tc>
          <w:tcPr>
            <w:tcW w:w="391" w:type="pct"/>
            <w:tcBorders>
              <w:top w:val="nil"/>
              <w:left w:val="single" w:sz="4" w:space="0" w:color="auto"/>
              <w:bottom w:val="single" w:sz="4" w:space="0" w:color="auto"/>
              <w:right w:val="single" w:sz="4" w:space="0" w:color="auto"/>
            </w:tcBorders>
            <w:shd w:val="clear" w:color="auto" w:fill="auto"/>
          </w:tcPr>
          <w:p w14:paraId="6BAD8E34"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Calibri"/>
                <w:b/>
                <w:bCs/>
                <w:color w:val="000000"/>
                <w:sz w:val="22"/>
              </w:rPr>
              <w:t>22</w:t>
            </w:r>
          </w:p>
        </w:tc>
      </w:tr>
      <w:tr w:rsidR="008046E9" w:rsidRPr="008046E9" w14:paraId="088BC730" w14:textId="77777777" w:rsidTr="008046E9">
        <w:tc>
          <w:tcPr>
            <w:tcW w:w="521" w:type="pct"/>
          </w:tcPr>
          <w:p w14:paraId="248A821C" w14:textId="77777777" w:rsidR="008046E9" w:rsidRPr="008046E9" w:rsidRDefault="008046E9" w:rsidP="008046E9">
            <w:pPr>
              <w:keepNext/>
              <w:keepLines/>
              <w:spacing w:before="0" w:after="0"/>
              <w:rPr>
                <w:rFonts w:ascii="Calibri" w:eastAsia="Calibri" w:hAnsi="Calibri" w:cs="Times New Roman"/>
                <w:b/>
                <w:bCs/>
                <w:sz w:val="22"/>
              </w:rPr>
            </w:pPr>
            <w:r w:rsidRPr="008046E9">
              <w:rPr>
                <w:rFonts w:ascii="Calibri" w:eastAsia="Calibri" w:hAnsi="Calibri" w:cs="Times New Roman"/>
                <w:b/>
                <w:bCs/>
                <w:sz w:val="22"/>
              </w:rPr>
              <w:t>TOTAL</w:t>
            </w:r>
          </w:p>
        </w:tc>
        <w:tc>
          <w:tcPr>
            <w:tcW w:w="300" w:type="pct"/>
            <w:tcBorders>
              <w:top w:val="nil"/>
              <w:left w:val="single" w:sz="4" w:space="0" w:color="auto"/>
              <w:bottom w:val="single" w:sz="4" w:space="0" w:color="auto"/>
              <w:right w:val="single" w:sz="4" w:space="0" w:color="auto"/>
            </w:tcBorders>
            <w:shd w:val="clear" w:color="auto" w:fill="auto"/>
          </w:tcPr>
          <w:p w14:paraId="70AE2B2F"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Calibri"/>
                <w:b/>
                <w:bCs/>
                <w:color w:val="000000"/>
                <w:sz w:val="22"/>
              </w:rPr>
              <w:t>1</w:t>
            </w:r>
          </w:p>
        </w:tc>
        <w:tc>
          <w:tcPr>
            <w:tcW w:w="300" w:type="pct"/>
            <w:tcBorders>
              <w:top w:val="nil"/>
              <w:left w:val="nil"/>
              <w:bottom w:val="single" w:sz="4" w:space="0" w:color="auto"/>
              <w:right w:val="single" w:sz="4" w:space="0" w:color="auto"/>
            </w:tcBorders>
            <w:shd w:val="clear" w:color="auto" w:fill="auto"/>
          </w:tcPr>
          <w:p w14:paraId="64BBA10F"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Calibri"/>
                <w:b/>
                <w:bCs/>
                <w:color w:val="000000"/>
                <w:sz w:val="22"/>
              </w:rPr>
              <w:t>0</w:t>
            </w:r>
          </w:p>
        </w:tc>
        <w:tc>
          <w:tcPr>
            <w:tcW w:w="300" w:type="pct"/>
            <w:tcBorders>
              <w:top w:val="nil"/>
              <w:left w:val="nil"/>
              <w:bottom w:val="single" w:sz="4" w:space="0" w:color="auto"/>
              <w:right w:val="single" w:sz="4" w:space="0" w:color="auto"/>
            </w:tcBorders>
            <w:shd w:val="clear" w:color="auto" w:fill="auto"/>
          </w:tcPr>
          <w:p w14:paraId="0D1EA760"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Calibri"/>
                <w:b/>
                <w:bCs/>
                <w:color w:val="000000"/>
                <w:sz w:val="22"/>
              </w:rPr>
              <w:t>10</w:t>
            </w:r>
          </w:p>
        </w:tc>
        <w:tc>
          <w:tcPr>
            <w:tcW w:w="300" w:type="pct"/>
            <w:tcBorders>
              <w:top w:val="nil"/>
              <w:left w:val="nil"/>
              <w:bottom w:val="single" w:sz="4" w:space="0" w:color="auto"/>
              <w:right w:val="single" w:sz="4" w:space="0" w:color="auto"/>
            </w:tcBorders>
            <w:shd w:val="clear" w:color="auto" w:fill="auto"/>
          </w:tcPr>
          <w:p w14:paraId="6C07C911"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Calibri"/>
                <w:b/>
                <w:bCs/>
                <w:color w:val="000000"/>
                <w:sz w:val="22"/>
              </w:rPr>
              <w:t>10</w:t>
            </w:r>
          </w:p>
        </w:tc>
        <w:tc>
          <w:tcPr>
            <w:tcW w:w="300" w:type="pct"/>
            <w:tcBorders>
              <w:top w:val="nil"/>
              <w:left w:val="nil"/>
              <w:bottom w:val="single" w:sz="4" w:space="0" w:color="auto"/>
              <w:right w:val="single" w:sz="4" w:space="0" w:color="auto"/>
            </w:tcBorders>
            <w:shd w:val="clear" w:color="auto" w:fill="auto"/>
          </w:tcPr>
          <w:p w14:paraId="01B97E0D"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Calibri"/>
                <w:b/>
                <w:bCs/>
                <w:color w:val="000000"/>
                <w:sz w:val="22"/>
              </w:rPr>
              <w:t>10</w:t>
            </w:r>
          </w:p>
        </w:tc>
        <w:tc>
          <w:tcPr>
            <w:tcW w:w="300" w:type="pct"/>
            <w:tcBorders>
              <w:top w:val="nil"/>
              <w:left w:val="nil"/>
              <w:bottom w:val="single" w:sz="4" w:space="0" w:color="auto"/>
              <w:right w:val="single" w:sz="4" w:space="0" w:color="auto"/>
            </w:tcBorders>
            <w:shd w:val="clear" w:color="auto" w:fill="auto"/>
          </w:tcPr>
          <w:p w14:paraId="4425695A"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Calibri"/>
                <w:b/>
                <w:bCs/>
                <w:color w:val="000000"/>
                <w:sz w:val="22"/>
              </w:rPr>
              <w:t>16</w:t>
            </w:r>
          </w:p>
        </w:tc>
        <w:tc>
          <w:tcPr>
            <w:tcW w:w="300" w:type="pct"/>
            <w:tcBorders>
              <w:top w:val="single" w:sz="4" w:space="0" w:color="auto"/>
              <w:left w:val="single" w:sz="4" w:space="0" w:color="auto"/>
              <w:bottom w:val="single" w:sz="4" w:space="0" w:color="auto"/>
              <w:right w:val="single" w:sz="4" w:space="0" w:color="auto"/>
            </w:tcBorders>
            <w:shd w:val="clear" w:color="auto" w:fill="auto"/>
          </w:tcPr>
          <w:p w14:paraId="6A47771D"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Calibri"/>
                <w:b/>
                <w:bCs/>
                <w:color w:val="000000"/>
                <w:sz w:val="22"/>
              </w:rPr>
              <w:t>7</w:t>
            </w:r>
          </w:p>
        </w:tc>
        <w:tc>
          <w:tcPr>
            <w:tcW w:w="300" w:type="pct"/>
            <w:tcBorders>
              <w:top w:val="single" w:sz="4" w:space="0" w:color="auto"/>
              <w:left w:val="single" w:sz="4" w:space="0" w:color="auto"/>
              <w:bottom w:val="single" w:sz="4" w:space="0" w:color="auto"/>
              <w:right w:val="single" w:sz="4" w:space="0" w:color="auto"/>
            </w:tcBorders>
            <w:shd w:val="clear" w:color="auto" w:fill="auto"/>
          </w:tcPr>
          <w:p w14:paraId="52B18713"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Calibri"/>
                <w:b/>
                <w:bCs/>
                <w:color w:val="000000"/>
                <w:sz w:val="22"/>
              </w:rPr>
              <w:t>7</w:t>
            </w:r>
          </w:p>
        </w:tc>
        <w:tc>
          <w:tcPr>
            <w:tcW w:w="338" w:type="pct"/>
            <w:tcBorders>
              <w:top w:val="single" w:sz="4" w:space="0" w:color="auto"/>
              <w:left w:val="single" w:sz="4" w:space="0" w:color="auto"/>
              <w:bottom w:val="single" w:sz="4" w:space="0" w:color="auto"/>
              <w:right w:val="single" w:sz="4" w:space="0" w:color="auto"/>
            </w:tcBorders>
            <w:shd w:val="clear" w:color="auto" w:fill="D9D9D9"/>
          </w:tcPr>
          <w:p w14:paraId="7F97C12F"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Calibri"/>
                <w:b/>
                <w:bCs/>
                <w:color w:val="000000"/>
                <w:sz w:val="22"/>
              </w:rPr>
              <w:t>3</w:t>
            </w:r>
          </w:p>
        </w:tc>
        <w:tc>
          <w:tcPr>
            <w:tcW w:w="338" w:type="pct"/>
            <w:tcBorders>
              <w:top w:val="single" w:sz="4" w:space="0" w:color="auto"/>
              <w:left w:val="single" w:sz="4" w:space="0" w:color="auto"/>
              <w:bottom w:val="single" w:sz="4" w:space="0" w:color="auto"/>
              <w:right w:val="single" w:sz="4" w:space="0" w:color="auto"/>
            </w:tcBorders>
            <w:shd w:val="clear" w:color="auto" w:fill="D9D9D9"/>
          </w:tcPr>
          <w:p w14:paraId="7BDB2DBE"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Calibri"/>
                <w:b/>
                <w:bCs/>
                <w:color w:val="000000"/>
                <w:sz w:val="22"/>
              </w:rPr>
              <w:t>6</w:t>
            </w:r>
          </w:p>
        </w:tc>
        <w:tc>
          <w:tcPr>
            <w:tcW w:w="338" w:type="pct"/>
            <w:tcBorders>
              <w:top w:val="single" w:sz="4" w:space="0" w:color="auto"/>
              <w:left w:val="single" w:sz="4" w:space="0" w:color="auto"/>
              <w:bottom w:val="single" w:sz="4" w:space="0" w:color="auto"/>
              <w:right w:val="single" w:sz="4" w:space="0" w:color="auto"/>
            </w:tcBorders>
            <w:shd w:val="clear" w:color="auto" w:fill="D9D9D9"/>
          </w:tcPr>
          <w:p w14:paraId="2276D407"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Calibri"/>
                <w:b/>
                <w:bCs/>
                <w:color w:val="000000"/>
                <w:sz w:val="22"/>
              </w:rPr>
              <w:t>2</w:t>
            </w:r>
          </w:p>
        </w:tc>
        <w:tc>
          <w:tcPr>
            <w:tcW w:w="338" w:type="pct"/>
            <w:tcBorders>
              <w:top w:val="single" w:sz="4" w:space="0" w:color="auto"/>
              <w:left w:val="single" w:sz="4" w:space="0" w:color="auto"/>
              <w:bottom w:val="single" w:sz="4" w:space="0" w:color="auto"/>
              <w:right w:val="single" w:sz="4" w:space="0" w:color="auto"/>
            </w:tcBorders>
            <w:shd w:val="clear" w:color="auto" w:fill="D9D9D9"/>
          </w:tcPr>
          <w:p w14:paraId="43B0C9B7"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Times New Roman"/>
                <w:b/>
                <w:bCs/>
                <w:sz w:val="22"/>
              </w:rPr>
              <w:t>5</w:t>
            </w:r>
          </w:p>
        </w:tc>
        <w:tc>
          <w:tcPr>
            <w:tcW w:w="338" w:type="pct"/>
            <w:tcBorders>
              <w:top w:val="single" w:sz="4" w:space="0" w:color="auto"/>
              <w:left w:val="single" w:sz="4" w:space="0" w:color="auto"/>
              <w:bottom w:val="single" w:sz="4" w:space="0" w:color="auto"/>
              <w:right w:val="single" w:sz="4" w:space="0" w:color="auto"/>
            </w:tcBorders>
            <w:shd w:val="clear" w:color="auto" w:fill="D9D9D9"/>
          </w:tcPr>
          <w:p w14:paraId="70373BA8" w14:textId="77777777" w:rsidR="008046E9" w:rsidRPr="009C1E46" w:rsidRDefault="008046E9" w:rsidP="008046E9">
            <w:pPr>
              <w:keepNext/>
              <w:keepLines/>
              <w:spacing w:before="0" w:after="0"/>
              <w:jc w:val="right"/>
              <w:rPr>
                <w:rFonts w:ascii="Calibri" w:eastAsia="Calibri" w:hAnsi="Calibri" w:cs="Times New Roman"/>
                <w:b/>
                <w:bCs/>
                <w:sz w:val="22"/>
              </w:rPr>
            </w:pPr>
            <w:r w:rsidRPr="009C1E46">
              <w:rPr>
                <w:rFonts w:ascii="Calibri" w:eastAsia="Calibri" w:hAnsi="Calibri" w:cs="Times New Roman"/>
                <w:b/>
                <w:bCs/>
                <w:sz w:val="22"/>
              </w:rPr>
              <w:t>15</w:t>
            </w:r>
          </w:p>
        </w:tc>
        <w:tc>
          <w:tcPr>
            <w:tcW w:w="391" w:type="pct"/>
            <w:tcBorders>
              <w:top w:val="nil"/>
              <w:left w:val="single" w:sz="4" w:space="0" w:color="auto"/>
              <w:bottom w:val="single" w:sz="4" w:space="0" w:color="auto"/>
              <w:right w:val="single" w:sz="4" w:space="0" w:color="auto"/>
            </w:tcBorders>
            <w:shd w:val="clear" w:color="auto" w:fill="auto"/>
          </w:tcPr>
          <w:p w14:paraId="11F8957E"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Times New Roman"/>
                <w:b/>
                <w:bCs/>
                <w:sz w:val="22"/>
              </w:rPr>
              <w:t>77</w:t>
            </w:r>
          </w:p>
        </w:tc>
      </w:tr>
    </w:tbl>
    <w:p w14:paraId="6D7F5DFC" w14:textId="7374A0C0" w:rsidR="00635C4B" w:rsidRDefault="0046533C" w:rsidP="00D32C49">
      <w:pPr>
        <w:spacing w:before="480"/>
      </w:pPr>
      <w:r w:rsidRPr="00D72B1A">
        <w:rPr>
          <w:b/>
          <w:bCs/>
        </w:rPr>
        <w:t>Staff numbers and costs</w:t>
      </w:r>
      <w:r w:rsidR="00635C4B" w:rsidRPr="00635C4B">
        <w:t xml:space="preserve"> </w:t>
      </w:r>
    </w:p>
    <w:p w14:paraId="4B513262" w14:textId="08F0F65A" w:rsidR="00635C4B" w:rsidRDefault="00635C4B" w:rsidP="00635C4B">
      <w:r w:rsidRPr="000E0838">
        <w:t>Staffing numbers, split by WTE and headcount are given below and are based on information recorded in the Electronic Staff Record (ESR) as of 31</w:t>
      </w:r>
      <w:r w:rsidR="000E0838">
        <w:t xml:space="preserve"> </w:t>
      </w:r>
      <w:r w:rsidRPr="000E0838">
        <w:t>March 202</w:t>
      </w:r>
      <w:r w:rsidR="000E0838">
        <w:t>2</w:t>
      </w:r>
      <w:r w:rsidRPr="000E0838">
        <w:t>.</w:t>
      </w:r>
    </w:p>
    <w:tbl>
      <w:tblPr>
        <w:tblStyle w:val="TableGrid14"/>
        <w:tblW w:w="0" w:type="auto"/>
        <w:tblLook w:val="04A0" w:firstRow="1" w:lastRow="0" w:firstColumn="1" w:lastColumn="0" w:noHBand="0" w:noVBand="1"/>
      </w:tblPr>
      <w:tblGrid>
        <w:gridCol w:w="1927"/>
        <w:gridCol w:w="1198"/>
        <w:gridCol w:w="721"/>
      </w:tblGrid>
      <w:tr w:rsidR="008046E9" w:rsidRPr="008046E9" w14:paraId="57618A0B" w14:textId="77777777" w:rsidTr="008046E9">
        <w:tc>
          <w:tcPr>
            <w:tcW w:w="0" w:type="auto"/>
            <w:gridSpan w:val="3"/>
          </w:tcPr>
          <w:p w14:paraId="629709D8" w14:textId="77777777" w:rsidR="008046E9" w:rsidRPr="008046E9" w:rsidRDefault="008046E9" w:rsidP="008046E9">
            <w:pPr>
              <w:keepNext/>
              <w:keepLines/>
              <w:spacing w:before="0" w:after="0"/>
              <w:rPr>
                <w:rFonts w:ascii="Calibri" w:eastAsia="Calibri" w:hAnsi="Calibri" w:cs="Times New Roman"/>
                <w:sz w:val="22"/>
                <w:u w:val="single"/>
              </w:rPr>
            </w:pPr>
            <w:r w:rsidRPr="008046E9">
              <w:rPr>
                <w:rFonts w:ascii="Calibri" w:eastAsia="Calibri" w:hAnsi="Calibri" w:cs="Times New Roman"/>
                <w:sz w:val="22"/>
                <w:u w:val="single"/>
              </w:rPr>
              <w:t>EMPLOYED STAFF</w:t>
            </w:r>
          </w:p>
        </w:tc>
      </w:tr>
      <w:tr w:rsidR="008046E9" w:rsidRPr="008046E9" w14:paraId="508569EC" w14:textId="77777777" w:rsidTr="008046E9">
        <w:tc>
          <w:tcPr>
            <w:tcW w:w="0" w:type="auto"/>
          </w:tcPr>
          <w:p w14:paraId="53F9BB63"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Employee category</w:t>
            </w:r>
          </w:p>
        </w:tc>
        <w:tc>
          <w:tcPr>
            <w:tcW w:w="0" w:type="auto"/>
          </w:tcPr>
          <w:p w14:paraId="2E969451"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Headcount</w:t>
            </w:r>
          </w:p>
        </w:tc>
        <w:tc>
          <w:tcPr>
            <w:tcW w:w="0" w:type="auto"/>
          </w:tcPr>
          <w:p w14:paraId="61C4A89D"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WTE</w:t>
            </w:r>
          </w:p>
        </w:tc>
      </w:tr>
      <w:tr w:rsidR="008046E9" w:rsidRPr="008046E9" w14:paraId="733CD4BC" w14:textId="77777777" w:rsidTr="008046E9">
        <w:tc>
          <w:tcPr>
            <w:tcW w:w="0" w:type="auto"/>
          </w:tcPr>
          <w:p w14:paraId="293D693D"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Permanent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FB0F38"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64</w:t>
            </w:r>
          </w:p>
        </w:tc>
        <w:tc>
          <w:tcPr>
            <w:tcW w:w="0" w:type="auto"/>
            <w:tcBorders>
              <w:top w:val="single" w:sz="4" w:space="0" w:color="auto"/>
              <w:left w:val="nil"/>
              <w:bottom w:val="single" w:sz="4" w:space="0" w:color="auto"/>
              <w:right w:val="single" w:sz="4" w:space="0" w:color="auto"/>
            </w:tcBorders>
            <w:shd w:val="clear" w:color="auto" w:fill="auto"/>
            <w:vAlign w:val="center"/>
          </w:tcPr>
          <w:p w14:paraId="4183AAD0"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58.37</w:t>
            </w:r>
          </w:p>
        </w:tc>
      </w:tr>
      <w:tr w:rsidR="008046E9" w:rsidRPr="008046E9" w14:paraId="0D662A58" w14:textId="77777777" w:rsidTr="008046E9">
        <w:tc>
          <w:tcPr>
            <w:tcW w:w="0" w:type="auto"/>
          </w:tcPr>
          <w:p w14:paraId="7FBA3511"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Fixed-term</w:t>
            </w:r>
          </w:p>
        </w:tc>
        <w:tc>
          <w:tcPr>
            <w:tcW w:w="0" w:type="auto"/>
            <w:tcBorders>
              <w:top w:val="nil"/>
              <w:left w:val="single" w:sz="4" w:space="0" w:color="auto"/>
              <w:bottom w:val="single" w:sz="4" w:space="0" w:color="auto"/>
              <w:right w:val="single" w:sz="4" w:space="0" w:color="auto"/>
            </w:tcBorders>
            <w:shd w:val="clear" w:color="auto" w:fill="auto"/>
            <w:vAlign w:val="center"/>
          </w:tcPr>
          <w:p w14:paraId="2592C849"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10</w:t>
            </w:r>
          </w:p>
        </w:tc>
        <w:tc>
          <w:tcPr>
            <w:tcW w:w="0" w:type="auto"/>
            <w:tcBorders>
              <w:top w:val="nil"/>
              <w:left w:val="nil"/>
              <w:bottom w:val="single" w:sz="4" w:space="0" w:color="auto"/>
              <w:right w:val="single" w:sz="4" w:space="0" w:color="auto"/>
            </w:tcBorders>
            <w:shd w:val="clear" w:color="auto" w:fill="auto"/>
            <w:vAlign w:val="center"/>
          </w:tcPr>
          <w:p w14:paraId="0B1A5CC8"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10.00</w:t>
            </w:r>
          </w:p>
        </w:tc>
      </w:tr>
      <w:tr w:rsidR="008046E9" w:rsidRPr="008046E9" w14:paraId="34501F1F" w14:textId="77777777" w:rsidTr="008046E9">
        <w:tc>
          <w:tcPr>
            <w:tcW w:w="0" w:type="auto"/>
          </w:tcPr>
          <w:p w14:paraId="23732299"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031D01"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74</w:t>
            </w:r>
          </w:p>
        </w:tc>
        <w:tc>
          <w:tcPr>
            <w:tcW w:w="0" w:type="auto"/>
            <w:tcBorders>
              <w:top w:val="single" w:sz="4" w:space="0" w:color="auto"/>
              <w:left w:val="nil"/>
              <w:bottom w:val="single" w:sz="4" w:space="0" w:color="auto"/>
              <w:right w:val="single" w:sz="4" w:space="0" w:color="auto"/>
            </w:tcBorders>
            <w:shd w:val="clear" w:color="auto" w:fill="auto"/>
            <w:vAlign w:val="center"/>
          </w:tcPr>
          <w:p w14:paraId="797C6589"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68.37</w:t>
            </w:r>
          </w:p>
        </w:tc>
      </w:tr>
      <w:tr w:rsidR="008046E9" w:rsidRPr="008046E9" w14:paraId="64C928D7" w14:textId="77777777" w:rsidTr="008046E9">
        <w:tc>
          <w:tcPr>
            <w:tcW w:w="0" w:type="auto"/>
            <w:gridSpan w:val="3"/>
          </w:tcPr>
          <w:p w14:paraId="00C6C6E6" w14:textId="77777777" w:rsidR="008046E9" w:rsidRPr="008046E9" w:rsidRDefault="008046E9" w:rsidP="008046E9">
            <w:pPr>
              <w:keepNext/>
              <w:keepLines/>
              <w:spacing w:before="0" w:after="0"/>
              <w:rPr>
                <w:rFonts w:ascii="Calibri" w:eastAsia="Calibri" w:hAnsi="Calibri" w:cs="Times New Roman"/>
                <w:sz w:val="22"/>
                <w:u w:val="single"/>
              </w:rPr>
            </w:pPr>
            <w:r w:rsidRPr="008046E9">
              <w:rPr>
                <w:rFonts w:ascii="Calibri" w:eastAsia="Calibri" w:hAnsi="Calibri" w:cs="Times New Roman"/>
                <w:sz w:val="22"/>
                <w:u w:val="single"/>
              </w:rPr>
              <w:t>AGENCY &amp; INTERIM</w:t>
            </w:r>
          </w:p>
        </w:tc>
      </w:tr>
      <w:tr w:rsidR="008046E9" w:rsidRPr="008046E9" w14:paraId="153AC25D" w14:textId="77777777" w:rsidTr="008046E9">
        <w:tc>
          <w:tcPr>
            <w:tcW w:w="0" w:type="auto"/>
          </w:tcPr>
          <w:p w14:paraId="14309E4B"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356E8D"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24DEDFC1"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Calibri"/>
                <w:color w:val="000000"/>
                <w:sz w:val="22"/>
              </w:rPr>
              <w:t>0.86</w:t>
            </w:r>
          </w:p>
        </w:tc>
      </w:tr>
      <w:tr w:rsidR="008046E9" w:rsidRPr="008046E9" w14:paraId="4D62816E" w14:textId="77777777" w:rsidTr="008046E9">
        <w:tc>
          <w:tcPr>
            <w:tcW w:w="0" w:type="auto"/>
          </w:tcPr>
          <w:p w14:paraId="0A3F15B2" w14:textId="77777777" w:rsidR="008046E9" w:rsidRPr="008046E9" w:rsidRDefault="008046E9" w:rsidP="008046E9">
            <w:pPr>
              <w:keepNext/>
              <w:keepLines/>
              <w:spacing w:before="0" w:after="0"/>
              <w:rPr>
                <w:rFonts w:ascii="Calibri" w:eastAsia="Calibri" w:hAnsi="Calibri" w:cs="Times New Roman"/>
                <w:b/>
                <w:bCs/>
                <w:sz w:val="22"/>
              </w:rPr>
            </w:pPr>
            <w:r w:rsidRPr="008046E9">
              <w:rPr>
                <w:rFonts w:ascii="Calibri" w:eastAsia="Calibri" w:hAnsi="Calibri" w:cs="Times New Roman"/>
                <w:b/>
                <w:bCs/>
                <w:sz w:val="22"/>
              </w:rPr>
              <w:t>GRAND TOTAL</w:t>
            </w:r>
          </w:p>
        </w:tc>
        <w:tc>
          <w:tcPr>
            <w:tcW w:w="0" w:type="auto"/>
            <w:tcBorders>
              <w:top w:val="nil"/>
              <w:left w:val="single" w:sz="4" w:space="0" w:color="auto"/>
              <w:bottom w:val="single" w:sz="4" w:space="0" w:color="auto"/>
              <w:right w:val="single" w:sz="4" w:space="0" w:color="auto"/>
            </w:tcBorders>
            <w:shd w:val="clear" w:color="auto" w:fill="auto"/>
            <w:vAlign w:val="center"/>
          </w:tcPr>
          <w:p w14:paraId="31301213"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Times New Roman"/>
                <w:b/>
                <w:bCs/>
                <w:sz w:val="22"/>
              </w:rPr>
              <w:t>77</w:t>
            </w:r>
          </w:p>
        </w:tc>
        <w:tc>
          <w:tcPr>
            <w:tcW w:w="0" w:type="auto"/>
            <w:tcBorders>
              <w:top w:val="nil"/>
              <w:left w:val="nil"/>
              <w:bottom w:val="single" w:sz="4" w:space="0" w:color="auto"/>
              <w:right w:val="single" w:sz="4" w:space="0" w:color="auto"/>
            </w:tcBorders>
            <w:shd w:val="clear" w:color="auto" w:fill="auto"/>
            <w:vAlign w:val="center"/>
          </w:tcPr>
          <w:p w14:paraId="1C323686"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Times New Roman"/>
                <w:b/>
                <w:bCs/>
                <w:sz w:val="22"/>
              </w:rPr>
              <w:t>69.23</w:t>
            </w:r>
          </w:p>
        </w:tc>
      </w:tr>
    </w:tbl>
    <w:p w14:paraId="250851CA" w14:textId="59E55DBF" w:rsidR="0064370C" w:rsidRPr="0064370C" w:rsidRDefault="0064370C" w:rsidP="0064370C">
      <w:pPr>
        <w:pStyle w:val="BodyText"/>
      </w:pPr>
      <w:bookmarkStart w:id="241" w:name="_Toc94188223"/>
      <w:bookmarkStart w:id="242" w:name="_Toc97218375"/>
      <w:r>
        <w:t>The number of staff employed by the CCG and related costs are disclosed in Notes 4.1.1 of the Annual Accounts on page 104.</w:t>
      </w:r>
    </w:p>
    <w:p w14:paraId="1C10C257" w14:textId="4B367EBC" w:rsidR="008046E9" w:rsidRPr="008046E9" w:rsidRDefault="0046533C" w:rsidP="00D32C49">
      <w:pPr>
        <w:pStyle w:val="Heading3"/>
        <w:spacing w:before="480"/>
      </w:pPr>
      <w:bookmarkStart w:id="243" w:name="_Toc107389493"/>
      <w:r w:rsidRPr="0046533C">
        <w:t>Staff composition</w:t>
      </w:r>
      <w:bookmarkEnd w:id="241"/>
      <w:bookmarkEnd w:id="242"/>
      <w:bookmarkEnd w:id="243"/>
    </w:p>
    <w:tbl>
      <w:tblPr>
        <w:tblStyle w:val="TableGrid16"/>
        <w:tblW w:w="0" w:type="auto"/>
        <w:tblLook w:val="04A0" w:firstRow="1" w:lastRow="0" w:firstColumn="1" w:lastColumn="0" w:noHBand="0" w:noVBand="1"/>
      </w:tblPr>
      <w:tblGrid>
        <w:gridCol w:w="1643"/>
        <w:gridCol w:w="868"/>
        <w:gridCol w:w="670"/>
        <w:gridCol w:w="1295"/>
      </w:tblGrid>
      <w:tr w:rsidR="008046E9" w:rsidRPr="008046E9" w14:paraId="34153FD2" w14:textId="77777777" w:rsidTr="008046E9">
        <w:tc>
          <w:tcPr>
            <w:tcW w:w="0" w:type="auto"/>
          </w:tcPr>
          <w:p w14:paraId="00D332BF" w14:textId="77777777" w:rsidR="008046E9" w:rsidRPr="008046E9" w:rsidRDefault="008046E9" w:rsidP="008046E9">
            <w:pPr>
              <w:keepNext/>
              <w:keepLines/>
              <w:spacing w:before="0" w:after="0"/>
              <w:rPr>
                <w:rFonts w:ascii="Calibri" w:eastAsia="Calibri" w:hAnsi="Calibri" w:cs="Times New Roman"/>
                <w:sz w:val="22"/>
              </w:rPr>
            </w:pPr>
          </w:p>
        </w:tc>
        <w:tc>
          <w:tcPr>
            <w:tcW w:w="0" w:type="auto"/>
          </w:tcPr>
          <w:p w14:paraId="414E82A2"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Female</w:t>
            </w:r>
          </w:p>
        </w:tc>
        <w:tc>
          <w:tcPr>
            <w:tcW w:w="0" w:type="auto"/>
          </w:tcPr>
          <w:p w14:paraId="7BF651FF"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Male</w:t>
            </w:r>
          </w:p>
        </w:tc>
        <w:tc>
          <w:tcPr>
            <w:tcW w:w="0" w:type="auto"/>
          </w:tcPr>
          <w:p w14:paraId="33B4A471" w14:textId="77777777" w:rsidR="008046E9" w:rsidRPr="008046E9" w:rsidRDefault="008046E9" w:rsidP="008046E9">
            <w:pPr>
              <w:keepNext/>
              <w:keepLines/>
              <w:spacing w:before="0" w:after="0"/>
              <w:rPr>
                <w:rFonts w:ascii="Calibri" w:eastAsia="Calibri" w:hAnsi="Calibri" w:cs="Times New Roman"/>
                <w:b/>
                <w:bCs/>
                <w:sz w:val="22"/>
              </w:rPr>
            </w:pPr>
            <w:r w:rsidRPr="008046E9">
              <w:rPr>
                <w:rFonts w:ascii="Calibri" w:eastAsia="Calibri" w:hAnsi="Calibri" w:cs="Times New Roman"/>
                <w:b/>
                <w:bCs/>
                <w:sz w:val="22"/>
              </w:rPr>
              <w:t>Grand Total</w:t>
            </w:r>
          </w:p>
        </w:tc>
      </w:tr>
      <w:tr w:rsidR="008046E9" w:rsidRPr="008046E9" w14:paraId="1154FC63" w14:textId="77777777" w:rsidTr="008046E9">
        <w:tc>
          <w:tcPr>
            <w:tcW w:w="0" w:type="auto"/>
          </w:tcPr>
          <w:p w14:paraId="2E3E1AAE"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Governing Body</w:t>
            </w:r>
          </w:p>
        </w:tc>
        <w:tc>
          <w:tcPr>
            <w:tcW w:w="0" w:type="auto"/>
          </w:tcPr>
          <w:p w14:paraId="1F925251"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Times New Roman"/>
                <w:sz w:val="22"/>
              </w:rPr>
              <w:t>0</w:t>
            </w:r>
          </w:p>
        </w:tc>
        <w:tc>
          <w:tcPr>
            <w:tcW w:w="0" w:type="auto"/>
          </w:tcPr>
          <w:p w14:paraId="4B6C9D61"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Times New Roman"/>
                <w:sz w:val="22"/>
              </w:rPr>
              <w:t>1</w:t>
            </w:r>
          </w:p>
        </w:tc>
        <w:tc>
          <w:tcPr>
            <w:tcW w:w="0" w:type="auto"/>
          </w:tcPr>
          <w:p w14:paraId="20DE75AC"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Times New Roman"/>
                <w:b/>
                <w:bCs/>
                <w:sz w:val="22"/>
              </w:rPr>
              <w:t>1</w:t>
            </w:r>
          </w:p>
        </w:tc>
      </w:tr>
      <w:tr w:rsidR="008046E9" w:rsidRPr="008046E9" w14:paraId="3A1FE9F8" w14:textId="77777777" w:rsidTr="008046E9">
        <w:tc>
          <w:tcPr>
            <w:tcW w:w="0" w:type="auto"/>
          </w:tcPr>
          <w:p w14:paraId="04631E96" w14:textId="77777777" w:rsidR="008046E9" w:rsidRPr="008046E9" w:rsidRDefault="008046E9" w:rsidP="008046E9">
            <w:pPr>
              <w:keepNext/>
              <w:keepLines/>
              <w:spacing w:before="0" w:after="0"/>
              <w:rPr>
                <w:rFonts w:ascii="Calibri" w:eastAsia="Calibri" w:hAnsi="Calibri" w:cs="Times New Roman"/>
                <w:sz w:val="22"/>
              </w:rPr>
            </w:pPr>
            <w:r w:rsidRPr="008046E9">
              <w:rPr>
                <w:rFonts w:ascii="Calibri" w:eastAsia="Calibri" w:hAnsi="Calibri" w:cs="Times New Roman"/>
                <w:sz w:val="22"/>
              </w:rPr>
              <w:t>All other staff</w:t>
            </w:r>
          </w:p>
        </w:tc>
        <w:tc>
          <w:tcPr>
            <w:tcW w:w="0" w:type="auto"/>
          </w:tcPr>
          <w:p w14:paraId="699911F1"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Times New Roman"/>
                <w:sz w:val="22"/>
              </w:rPr>
              <w:t>55</w:t>
            </w:r>
          </w:p>
        </w:tc>
        <w:tc>
          <w:tcPr>
            <w:tcW w:w="0" w:type="auto"/>
          </w:tcPr>
          <w:p w14:paraId="30524642" w14:textId="77777777" w:rsidR="008046E9" w:rsidRPr="008046E9" w:rsidRDefault="008046E9" w:rsidP="008046E9">
            <w:pPr>
              <w:keepNext/>
              <w:keepLines/>
              <w:spacing w:before="0" w:after="0"/>
              <w:jc w:val="right"/>
              <w:rPr>
                <w:rFonts w:ascii="Calibri" w:eastAsia="Calibri" w:hAnsi="Calibri" w:cs="Times New Roman"/>
                <w:sz w:val="22"/>
              </w:rPr>
            </w:pPr>
            <w:r w:rsidRPr="008046E9">
              <w:rPr>
                <w:rFonts w:ascii="Calibri" w:eastAsia="Calibri" w:hAnsi="Calibri" w:cs="Times New Roman"/>
                <w:sz w:val="22"/>
              </w:rPr>
              <w:t>21</w:t>
            </w:r>
          </w:p>
        </w:tc>
        <w:tc>
          <w:tcPr>
            <w:tcW w:w="0" w:type="auto"/>
          </w:tcPr>
          <w:p w14:paraId="5F5E278B"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Times New Roman"/>
                <w:b/>
                <w:bCs/>
                <w:sz w:val="22"/>
              </w:rPr>
              <w:t>76</w:t>
            </w:r>
          </w:p>
        </w:tc>
      </w:tr>
      <w:tr w:rsidR="008046E9" w:rsidRPr="008046E9" w14:paraId="55DEA09D" w14:textId="77777777" w:rsidTr="008046E9">
        <w:tc>
          <w:tcPr>
            <w:tcW w:w="0" w:type="auto"/>
          </w:tcPr>
          <w:p w14:paraId="755FAD33" w14:textId="77777777" w:rsidR="008046E9" w:rsidRPr="008046E9" w:rsidRDefault="008046E9" w:rsidP="008046E9">
            <w:pPr>
              <w:keepNext/>
              <w:keepLines/>
              <w:spacing w:before="0" w:after="0"/>
              <w:rPr>
                <w:rFonts w:ascii="Calibri" w:eastAsia="Calibri" w:hAnsi="Calibri" w:cs="Times New Roman"/>
                <w:b/>
                <w:bCs/>
                <w:sz w:val="22"/>
              </w:rPr>
            </w:pPr>
            <w:r w:rsidRPr="008046E9">
              <w:rPr>
                <w:rFonts w:ascii="Calibri" w:eastAsia="Calibri" w:hAnsi="Calibri" w:cs="Times New Roman"/>
                <w:b/>
                <w:bCs/>
                <w:sz w:val="22"/>
              </w:rPr>
              <w:t>TOTAL</w:t>
            </w:r>
          </w:p>
        </w:tc>
        <w:tc>
          <w:tcPr>
            <w:tcW w:w="0" w:type="auto"/>
          </w:tcPr>
          <w:p w14:paraId="7284831F"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Times New Roman"/>
                <w:b/>
                <w:bCs/>
                <w:sz w:val="22"/>
              </w:rPr>
              <w:t>55</w:t>
            </w:r>
          </w:p>
        </w:tc>
        <w:tc>
          <w:tcPr>
            <w:tcW w:w="0" w:type="auto"/>
          </w:tcPr>
          <w:p w14:paraId="60A7375E"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Times New Roman"/>
                <w:b/>
                <w:bCs/>
                <w:sz w:val="22"/>
              </w:rPr>
              <w:t>22</w:t>
            </w:r>
          </w:p>
        </w:tc>
        <w:tc>
          <w:tcPr>
            <w:tcW w:w="0" w:type="auto"/>
          </w:tcPr>
          <w:p w14:paraId="0A03FBC6" w14:textId="77777777" w:rsidR="008046E9" w:rsidRPr="008046E9" w:rsidRDefault="008046E9" w:rsidP="008046E9">
            <w:pPr>
              <w:keepNext/>
              <w:keepLines/>
              <w:spacing w:before="0" w:after="0"/>
              <w:jc w:val="right"/>
              <w:rPr>
                <w:rFonts w:ascii="Calibri" w:eastAsia="Calibri" w:hAnsi="Calibri" w:cs="Times New Roman"/>
                <w:b/>
                <w:bCs/>
                <w:sz w:val="22"/>
              </w:rPr>
            </w:pPr>
            <w:r w:rsidRPr="008046E9">
              <w:rPr>
                <w:rFonts w:ascii="Calibri" w:eastAsia="Calibri" w:hAnsi="Calibri" w:cs="Times New Roman"/>
                <w:b/>
                <w:bCs/>
                <w:sz w:val="22"/>
              </w:rPr>
              <w:t>77</w:t>
            </w:r>
          </w:p>
        </w:tc>
      </w:tr>
    </w:tbl>
    <w:p w14:paraId="194FE2A4" w14:textId="516D6205" w:rsidR="008046E9" w:rsidRDefault="0046533C" w:rsidP="00D32C49">
      <w:pPr>
        <w:pStyle w:val="Heading3"/>
        <w:spacing w:before="480"/>
      </w:pPr>
      <w:bookmarkStart w:id="244" w:name="_Toc94188224"/>
      <w:bookmarkStart w:id="245" w:name="_Toc97218376"/>
      <w:bookmarkStart w:id="246" w:name="_Toc107389494"/>
      <w:r w:rsidRPr="0046533C">
        <w:t>Sickness absence data</w:t>
      </w:r>
      <w:bookmarkStart w:id="247" w:name="_Toc94188225"/>
      <w:bookmarkStart w:id="248" w:name="_Toc97218377"/>
      <w:bookmarkEnd w:id="244"/>
      <w:bookmarkEnd w:id="245"/>
      <w:bookmarkEnd w:id="246"/>
    </w:p>
    <w:p w14:paraId="5976D224" w14:textId="09A93B11" w:rsidR="00986B22" w:rsidRPr="00986B22" w:rsidRDefault="00986B22" w:rsidP="0064370C">
      <w:pPr>
        <w:rPr>
          <w:rStyle w:val="Hyperlink"/>
        </w:rPr>
      </w:pPr>
      <w:r>
        <w:rPr>
          <w:lang w:eastAsia="en-GB"/>
        </w:rPr>
        <w:t xml:space="preserve">Details of the CCG’s sickness absence can be found at </w:t>
      </w:r>
      <w:r>
        <w:rPr>
          <w:lang w:eastAsia="en-GB"/>
        </w:rPr>
        <w:fldChar w:fldCharType="begin"/>
      </w:r>
      <w:r>
        <w:rPr>
          <w:lang w:eastAsia="en-GB"/>
        </w:rPr>
        <w:instrText xml:space="preserve"> HYPERLINK "https://digital.nhs.uk/data-and-information/publications/statistical/nhs-sickness-absence-rates" </w:instrText>
      </w:r>
      <w:r>
        <w:rPr>
          <w:lang w:eastAsia="en-GB"/>
        </w:rPr>
        <w:fldChar w:fldCharType="separate"/>
      </w:r>
      <w:r w:rsidRPr="00986B22">
        <w:rPr>
          <w:rStyle w:val="Hyperlink"/>
          <w:lang w:eastAsia="en-GB"/>
        </w:rPr>
        <w:t>NHS Digital publication series (Hyperlinks).</w:t>
      </w:r>
    </w:p>
    <w:p w14:paraId="7FA8192C" w14:textId="77777777" w:rsidR="00D32C49" w:rsidRDefault="00986B22" w:rsidP="00D32C49">
      <w:pPr>
        <w:pStyle w:val="BodyText"/>
        <w:rPr>
          <w:lang w:eastAsia="en-GB"/>
        </w:rPr>
      </w:pPr>
      <w:r>
        <w:rPr>
          <w:lang w:eastAsia="en-GB"/>
        </w:rPr>
        <w:fldChar w:fldCharType="end"/>
      </w:r>
    </w:p>
    <w:p w14:paraId="530840A7" w14:textId="77777777" w:rsidR="00D32C49" w:rsidRDefault="00D32C49" w:rsidP="00D32C49">
      <w:pPr>
        <w:pStyle w:val="BodyText"/>
        <w:rPr>
          <w:lang w:eastAsia="en-GB"/>
        </w:rPr>
      </w:pPr>
    </w:p>
    <w:p w14:paraId="22890E1F" w14:textId="77777777" w:rsidR="00D32C49" w:rsidRDefault="00D32C49" w:rsidP="00D32C49">
      <w:pPr>
        <w:pStyle w:val="BodyText"/>
        <w:rPr>
          <w:lang w:eastAsia="en-GB"/>
        </w:rPr>
      </w:pPr>
    </w:p>
    <w:p w14:paraId="44E4FE66" w14:textId="77777777" w:rsidR="00D32C49" w:rsidRDefault="00D32C49" w:rsidP="00D32C49">
      <w:pPr>
        <w:pStyle w:val="BodyText"/>
        <w:rPr>
          <w:lang w:eastAsia="en-GB"/>
        </w:rPr>
      </w:pPr>
    </w:p>
    <w:p w14:paraId="3F17145A" w14:textId="7EEF7EEB" w:rsidR="008E7B63" w:rsidRDefault="0046533C" w:rsidP="00853548">
      <w:pPr>
        <w:pStyle w:val="Heading3"/>
        <w:spacing w:before="0" w:after="240"/>
        <w:rPr>
          <w:lang w:eastAsia="en-GB"/>
        </w:rPr>
      </w:pPr>
      <w:bookmarkStart w:id="249" w:name="_Toc107389495"/>
      <w:r w:rsidRPr="0046533C">
        <w:t>Staff turnover percentages</w:t>
      </w:r>
      <w:bookmarkEnd w:id="247"/>
      <w:bookmarkEnd w:id="248"/>
      <w:bookmarkEnd w:id="249"/>
    </w:p>
    <w:p w14:paraId="152DEE30" w14:textId="667C6DC5" w:rsidR="002A0A42" w:rsidRDefault="008046E9" w:rsidP="00853548">
      <w:pPr>
        <w:pStyle w:val="BodyText"/>
      </w:pPr>
      <w:r>
        <w:rPr>
          <w:noProof/>
        </w:rPr>
        <w:drawing>
          <wp:inline distT="0" distB="0" distL="0" distR="0" wp14:anchorId="0F5F20C4" wp14:editId="531EB8D7">
            <wp:extent cx="4968240" cy="3317405"/>
            <wp:effectExtent l="0" t="0" r="3810" b="0"/>
            <wp:docPr id="1" name="Picture 1" descr="Chart showing staff sickness absenc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howing staff sickness absence dat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4096" cy="3368056"/>
                    </a:xfrm>
                    <a:prstGeom prst="rect">
                      <a:avLst/>
                    </a:prstGeom>
                    <a:noFill/>
                  </pic:spPr>
                </pic:pic>
              </a:graphicData>
            </a:graphic>
          </wp:inline>
        </w:drawing>
      </w:r>
      <w:bookmarkStart w:id="250" w:name="_Toc94188226"/>
      <w:bookmarkStart w:id="251" w:name="_Toc97218378"/>
    </w:p>
    <w:p w14:paraId="7E373F41" w14:textId="1E177358" w:rsidR="0046533C" w:rsidRPr="0046533C" w:rsidRDefault="0046533C" w:rsidP="00853548">
      <w:pPr>
        <w:pStyle w:val="Heading3"/>
        <w:spacing w:before="360"/>
      </w:pPr>
      <w:bookmarkStart w:id="252" w:name="_Toc107389496"/>
      <w:r w:rsidRPr="0046533C">
        <w:t>Staff engagement</w:t>
      </w:r>
      <w:bookmarkEnd w:id="252"/>
      <w:r w:rsidRPr="0046533C">
        <w:t xml:space="preserve"> </w:t>
      </w:r>
      <w:bookmarkEnd w:id="250"/>
      <w:bookmarkEnd w:id="251"/>
    </w:p>
    <w:p w14:paraId="258F40E9" w14:textId="77777777" w:rsidR="008046E9" w:rsidRDefault="008046E9" w:rsidP="008046E9">
      <w:bookmarkStart w:id="253" w:name="_Toc94188227"/>
      <w:bookmarkStart w:id="254" w:name="_Toc97218379"/>
      <w:r>
        <w:t>For the first year, all of the 5 CCGs in Mid and South Essex have participated in the NHS Staff Survey on a combined basis and the results have been presented across joint Directorates and teams. The CCGs chose Picker to run the survey and results were published nationally on 30</w:t>
      </w:r>
      <w:r w:rsidRPr="00205A40">
        <w:rPr>
          <w:vertAlign w:val="superscript"/>
        </w:rPr>
        <w:t>th</w:t>
      </w:r>
      <w:r>
        <w:t xml:space="preserve"> March. </w:t>
      </w:r>
    </w:p>
    <w:p w14:paraId="03B9FB1F" w14:textId="77777777" w:rsidR="008046E9" w:rsidRDefault="008046E9" w:rsidP="008046E9">
      <w:r>
        <w:t xml:space="preserve">The CCGs had an excellent response rate of 78%. Key themes have been shared with the CCGs Executive Team and they have been asked to work with their teams to write action plans in response to the staff survey results. In addition to this, the 5 CCGs formed a staff engagement group in January 2022 and this group is also developing an organisational action plan to look at key themes such as health and wellbeing and diversity and inclusion. This group has representation of staff from across the 5 CCGs and will be tasked with feeding into the organisational development work required as the CCGs transition into an ICB. </w:t>
      </w:r>
    </w:p>
    <w:p w14:paraId="10E38AE3" w14:textId="77777777" w:rsidR="008046E9" w:rsidRDefault="008046E9" w:rsidP="008046E9">
      <w:r>
        <w:t xml:space="preserve">There are regular all-staff briefings across the 5 CCGs to communicate key messages around organisational change, as well as operational updates and regular updates on system priorities, for example Covid response updates. </w:t>
      </w:r>
    </w:p>
    <w:p w14:paraId="0453E9E7" w14:textId="14AF5A2D" w:rsidR="008046E9" w:rsidRDefault="008046E9" w:rsidP="008046E9">
      <w:r>
        <w:t xml:space="preserve">There are also opportunities for staff to meet at a more local level through Alliance briefings as well as team briefings and regular one to one meetings with their manager. </w:t>
      </w:r>
    </w:p>
    <w:p w14:paraId="262338CE" w14:textId="523A0247" w:rsidR="00D32C49" w:rsidRDefault="00D32C49" w:rsidP="008046E9"/>
    <w:p w14:paraId="16764127" w14:textId="77777777" w:rsidR="00D32C49" w:rsidRDefault="00D32C49" w:rsidP="008046E9"/>
    <w:p w14:paraId="07958517" w14:textId="5D7B5269" w:rsidR="00293377" w:rsidRPr="0046533C" w:rsidRDefault="00293377" w:rsidP="00293377">
      <w:pPr>
        <w:pStyle w:val="Heading3"/>
      </w:pPr>
      <w:bookmarkStart w:id="255" w:name="_Toc105662357"/>
      <w:bookmarkStart w:id="256" w:name="_Toc107389497"/>
      <w:bookmarkEnd w:id="253"/>
      <w:bookmarkEnd w:id="254"/>
      <w:r w:rsidRPr="00FA4CA1">
        <w:t>Staff policies</w:t>
      </w:r>
      <w:bookmarkEnd w:id="255"/>
      <w:bookmarkEnd w:id="256"/>
    </w:p>
    <w:p w14:paraId="0E1F697F" w14:textId="77777777" w:rsidR="00293377" w:rsidRPr="00FA4CA1" w:rsidRDefault="00293377" w:rsidP="00293377">
      <w:pPr>
        <w:autoSpaceDE w:val="0"/>
        <w:autoSpaceDN w:val="0"/>
        <w:spacing w:after="0"/>
        <w:rPr>
          <w:rFonts w:eastAsia="Calibri"/>
          <w:color w:val="000000"/>
          <w:szCs w:val="24"/>
          <w:lang w:eastAsia="en-GB"/>
        </w:rPr>
      </w:pPr>
      <w:r w:rsidRPr="00FA4CA1">
        <w:rPr>
          <w:rFonts w:eastAsia="Calibri"/>
          <w:color w:val="000000"/>
          <w:szCs w:val="24"/>
          <w:lang w:eastAsia="en-GB"/>
        </w:rPr>
        <w:t xml:space="preserve">The CCG has given full and fair consideration to applications for employment made by disabled persons, having regard to their particular aptitudes and abilities.  </w:t>
      </w:r>
    </w:p>
    <w:p w14:paraId="661EF212" w14:textId="77777777" w:rsidR="00293377" w:rsidRPr="00FA4CA1" w:rsidRDefault="00293377" w:rsidP="00293377">
      <w:pPr>
        <w:autoSpaceDE w:val="0"/>
        <w:autoSpaceDN w:val="0"/>
        <w:spacing w:after="0"/>
        <w:rPr>
          <w:rFonts w:eastAsia="Calibri"/>
          <w:color w:val="000000"/>
          <w:szCs w:val="24"/>
          <w:lang w:eastAsia="en-GB"/>
        </w:rPr>
      </w:pPr>
      <w:r w:rsidRPr="00FA4CA1">
        <w:rPr>
          <w:rFonts w:eastAsia="Calibri"/>
          <w:color w:val="000000"/>
          <w:szCs w:val="24"/>
          <w:lang w:eastAsia="en-GB"/>
        </w:rPr>
        <w:t xml:space="preserve">The CCG has continued the employment of and arranged appropriate training for employees who have become disabled persons during their period of employment.  </w:t>
      </w:r>
    </w:p>
    <w:p w14:paraId="4C397A93" w14:textId="77777777" w:rsidR="00293377" w:rsidRPr="00FA4CA1" w:rsidRDefault="00293377" w:rsidP="00293377">
      <w:pPr>
        <w:autoSpaceDE w:val="0"/>
        <w:autoSpaceDN w:val="0"/>
        <w:adjustRightInd w:val="0"/>
        <w:spacing w:after="0"/>
        <w:rPr>
          <w:rFonts w:eastAsia="Calibri"/>
          <w:color w:val="000000"/>
          <w:szCs w:val="24"/>
        </w:rPr>
      </w:pPr>
      <w:r w:rsidRPr="00FA4CA1">
        <w:rPr>
          <w:rFonts w:eastAsia="Calibri"/>
          <w:color w:val="000000"/>
          <w:szCs w:val="24"/>
        </w:rPr>
        <w:t>It is the policy of the CCG to ensure that any member of the CCG Board, its staff and its member practices are able to raise concerns about unlawful conduct, financial malpractice/fraud and risks to the environment and to patient care in line with legislation and good practice.  This is covered under our whistleblowing policy.</w:t>
      </w:r>
    </w:p>
    <w:p w14:paraId="4090B51E" w14:textId="77777777" w:rsidR="00F53FF5" w:rsidRPr="0001509C" w:rsidRDefault="00F53FF5" w:rsidP="00F53FF5">
      <w:pPr>
        <w:rPr>
          <w:rFonts w:cs="Arial"/>
          <w:b/>
          <w:bCs/>
          <w:szCs w:val="24"/>
        </w:rPr>
      </w:pPr>
      <w:r w:rsidRPr="0001509C">
        <w:rPr>
          <w:rFonts w:cs="Arial"/>
          <w:b/>
          <w:bCs/>
          <w:szCs w:val="24"/>
        </w:rPr>
        <w:t>Health and Wellbeing</w:t>
      </w:r>
    </w:p>
    <w:p w14:paraId="68E570E9" w14:textId="77777777" w:rsidR="008046E9" w:rsidRDefault="008046E9" w:rsidP="008046E9">
      <w:r>
        <w:t xml:space="preserve">The CCGs have benefitted from a comprehensive staff health and wellbeing offer through the Live Life Connected programme, which offers a vast array of health and wellbeing interventions, such as online talks around health topics, online exercise classes, mindfulness and gratitude practice. </w:t>
      </w:r>
    </w:p>
    <w:p w14:paraId="45297C6D" w14:textId="77777777" w:rsidR="008046E9" w:rsidRDefault="008046E9" w:rsidP="008046E9">
      <w:r>
        <w:t xml:space="preserve">In addition, there is also an employee assistance programme available to all staff which provides a telephone support line and counselling, as well as a comprehensive occupational health provision. </w:t>
      </w:r>
    </w:p>
    <w:p w14:paraId="63973D02" w14:textId="77777777" w:rsidR="008046E9" w:rsidRDefault="008046E9" w:rsidP="008046E9">
      <w:r>
        <w:t xml:space="preserve">During the Covid pandemic, there have also been enhanced national, regional and local offers available to staff, including the regional mental health hubs and the Here For You service is available to all CCG employees. </w:t>
      </w:r>
    </w:p>
    <w:p w14:paraId="3C0C66A5" w14:textId="77777777" w:rsidR="008046E9" w:rsidRDefault="008046E9" w:rsidP="008046E9">
      <w:r>
        <w:t xml:space="preserve">The CCGs also have a trained network of mental health first aiders and have also provided bespoke Change and Resilience workshops for staff, as well as benefitting from ICS offers such as Kindness masterclasses. </w:t>
      </w:r>
    </w:p>
    <w:p w14:paraId="42CA9784" w14:textId="229C2AF8" w:rsidR="008046E9" w:rsidRDefault="008046E9" w:rsidP="008046E9">
      <w:r>
        <w:t xml:space="preserve">The CCGs are committed to supporting disabled colleagues within the workplace through making reasonable adjustments as well as the use of regular risk assessments and also supporting colleagues’ mental health through the use of stress risk assessments and other support tools. </w:t>
      </w:r>
    </w:p>
    <w:p w14:paraId="268B8701" w14:textId="77777777" w:rsidR="00F53FF5" w:rsidRPr="0001509C" w:rsidRDefault="00F53FF5" w:rsidP="00F53FF5">
      <w:pPr>
        <w:rPr>
          <w:rFonts w:cs="Arial"/>
          <w:b/>
          <w:bCs/>
          <w:szCs w:val="24"/>
        </w:rPr>
      </w:pPr>
      <w:r w:rsidRPr="0001509C">
        <w:rPr>
          <w:rFonts w:cs="Arial"/>
          <w:b/>
          <w:bCs/>
          <w:szCs w:val="24"/>
        </w:rPr>
        <w:t xml:space="preserve">Equality, Diversity and Inclusion </w:t>
      </w:r>
    </w:p>
    <w:p w14:paraId="0CCC55BB" w14:textId="77777777" w:rsidR="008046E9" w:rsidRPr="006902C3" w:rsidRDefault="008046E9" w:rsidP="008046E9">
      <w:pPr>
        <w:autoSpaceDE w:val="0"/>
        <w:autoSpaceDN w:val="0"/>
        <w:adjustRightInd w:val="0"/>
        <w:spacing w:after="0"/>
      </w:pPr>
      <w:r w:rsidRPr="006902C3">
        <w:t xml:space="preserve">The CCGs are committed to providing equal opportunities and to avoiding unlawful discrimination and the </w:t>
      </w:r>
      <w:r>
        <w:t xml:space="preserve">Recruitment and </w:t>
      </w:r>
      <w:r w:rsidRPr="005C3D3B">
        <w:t>Selection Policy is</w:t>
      </w:r>
      <w:r w:rsidRPr="006902C3">
        <w:t xml:space="preserve"> designed to assist the CCGs in putting this commitment into practice. The policy is compliant with the Equality Act 2010 and sets out specific actions undertaken by the CCGs, in the context of employment and people management, in order to fulfil its Public Sector Equality Duty.</w:t>
      </w:r>
    </w:p>
    <w:p w14:paraId="559EEA8D" w14:textId="77777777" w:rsidR="008046E9" w:rsidRPr="00DA29A5" w:rsidRDefault="008046E9" w:rsidP="008046E9">
      <w:r w:rsidRPr="00DA29A5">
        <w:t xml:space="preserve">All CCG staff will be offered further equality, diversity and inclusion training as part of the transition into the ICB  - the offering will include unconscious bias training, awareness of protected characteristics, allyship and also a complete review of policies, procedures and practices to eliminate bias. This will be offered in line with the recommendations of the No More Tick boxes report. </w:t>
      </w:r>
    </w:p>
    <w:p w14:paraId="4C98F964" w14:textId="77777777" w:rsidR="008046E9" w:rsidRPr="00DA29A5" w:rsidRDefault="008046E9" w:rsidP="008046E9">
      <w:r w:rsidRPr="00DA29A5">
        <w:t xml:space="preserve">The CCGs will also be working with the Mid and South Essex Health and Care Partnership to develop an organisational and system response to the regional Anti Racism Strategy and this will be implemented through the Equality, Diversity and Inclusion Sub Group that is accountable to the Mid and South Essex People Board. In addition, an EDI dashboard is also in development for the MSE Partnerships, which the CCGs will feed into. </w:t>
      </w:r>
    </w:p>
    <w:p w14:paraId="23A446D3" w14:textId="77777777" w:rsidR="008046E9" w:rsidRPr="00DA29A5" w:rsidRDefault="008046E9" w:rsidP="008046E9">
      <w:r w:rsidRPr="00DA29A5">
        <w:t xml:space="preserve">As the CCGs transition into an ICB, there will be single WRES and WDES reports and action plans that will be co-produced and regularly monitored to ensure progress against agreed objectives. </w:t>
      </w:r>
    </w:p>
    <w:p w14:paraId="703DC9CB" w14:textId="77777777" w:rsidR="008046E9" w:rsidRPr="00DA29A5" w:rsidRDefault="008046E9" w:rsidP="008046E9">
      <w:r w:rsidRPr="00DA29A5">
        <w:t xml:space="preserve">The CCGs will also participate in the MSE reciprocal mentoring programme through the NHS Leadership academy, a commitment that has been made by the Executive teams from across the system. </w:t>
      </w:r>
    </w:p>
    <w:p w14:paraId="26364E63" w14:textId="77777777" w:rsidR="00F53FF5" w:rsidRPr="00D32C49" w:rsidRDefault="00F53FF5" w:rsidP="00D32C49">
      <w:pPr>
        <w:autoSpaceDE w:val="0"/>
        <w:autoSpaceDN w:val="0"/>
        <w:adjustRightInd w:val="0"/>
        <w:spacing w:before="360" w:after="0"/>
        <w:rPr>
          <w:rFonts w:cs="Arial"/>
          <w:b/>
          <w:bCs/>
          <w:sz w:val="28"/>
          <w:szCs w:val="28"/>
        </w:rPr>
      </w:pPr>
      <w:r w:rsidRPr="00D32C49">
        <w:rPr>
          <w:rFonts w:cs="Arial"/>
          <w:b/>
          <w:bCs/>
          <w:sz w:val="28"/>
          <w:szCs w:val="28"/>
        </w:rPr>
        <w:t>Health and Safety</w:t>
      </w:r>
    </w:p>
    <w:p w14:paraId="7E3BE612" w14:textId="77777777" w:rsidR="008046E9" w:rsidRPr="008046E9" w:rsidRDefault="008046E9" w:rsidP="008046E9">
      <w:pPr>
        <w:autoSpaceDE w:val="0"/>
        <w:autoSpaceDN w:val="0"/>
        <w:adjustRightInd w:val="0"/>
        <w:spacing w:after="0"/>
        <w:rPr>
          <w:rFonts w:eastAsia="Times New Roman" w:cs="Arial"/>
          <w:szCs w:val="24"/>
        </w:rPr>
      </w:pPr>
      <w:bookmarkStart w:id="257" w:name="_Toc94188228"/>
      <w:bookmarkStart w:id="258" w:name="_Toc97218380"/>
      <w:r w:rsidRPr="008046E9">
        <w:rPr>
          <w:rFonts w:eastAsia="Times New Roman" w:cs="Arial"/>
          <w:szCs w:val="24"/>
        </w:rPr>
        <w:t>The CCG’s Health and Safety Policy sets out our responsibilities and those of employees under the Health and Safety Work Act 1974. Health and safety, fire safety and manual handling are included in the mandatory training programme for all CCG staff.</w:t>
      </w:r>
    </w:p>
    <w:p w14:paraId="5AF64370" w14:textId="77777777" w:rsidR="008046E9" w:rsidRPr="008046E9" w:rsidRDefault="008046E9" w:rsidP="00D32C49">
      <w:pPr>
        <w:autoSpaceDE w:val="0"/>
        <w:autoSpaceDN w:val="0"/>
        <w:adjustRightInd w:val="0"/>
        <w:spacing w:before="360" w:after="0"/>
        <w:rPr>
          <w:rFonts w:eastAsia="Times New Roman" w:cs="Arial"/>
          <w:szCs w:val="24"/>
        </w:rPr>
      </w:pPr>
      <w:r w:rsidRPr="008046E9">
        <w:rPr>
          <w:rFonts w:eastAsia="Times New Roman" w:cs="Arial"/>
          <w:szCs w:val="24"/>
        </w:rPr>
        <w:t>Risk assessment and inspections identify health and safety issues to enable appropriate action to be taken to reduce risks to staff and other users of CCG premises. Although CCG staff have worked from home since the beginning of the pandemic, regular health and safety inspections, building system tests and maintenance continued throughout the year.</w:t>
      </w:r>
    </w:p>
    <w:p w14:paraId="3486061E" w14:textId="7511817F" w:rsidR="008046E9" w:rsidRDefault="008046E9" w:rsidP="00D32C49">
      <w:pPr>
        <w:autoSpaceDE w:val="0"/>
        <w:autoSpaceDN w:val="0"/>
        <w:adjustRightInd w:val="0"/>
        <w:spacing w:before="360" w:after="0"/>
        <w:rPr>
          <w:rFonts w:eastAsia="Times New Roman" w:cs="Arial"/>
          <w:szCs w:val="24"/>
        </w:rPr>
      </w:pPr>
      <w:r w:rsidRPr="008046E9">
        <w:rPr>
          <w:rFonts w:eastAsia="Times New Roman" w:cs="Arial"/>
          <w:szCs w:val="24"/>
        </w:rPr>
        <w:t>All CCG staff were asked to complete an individual risk assessment to identify their personal level of risk in relation to COVID-19. In addition, the CCG undertook a COVID-19 risk assessment of its premises and developed an associated procedure based on Government, NHS England and Health and Safety Executive guidance and advice from CCG Infection Prevention and Control staff, to ensure that the building was COVID-19 secure. These documents also received input from staff and union representatives. During the pandemic access to the CCG’s premises was restricted by application of a strict criteria and approval process. A number of CCG staff were redeployed to provider organisations to assist with the frontline response to COVID-19. Where this was the case, a formal cross-organisational agreement was in place to ensure that all health, safety and wellbeing needs of employees were met throughout their period of redeployment.</w:t>
      </w:r>
    </w:p>
    <w:p w14:paraId="3BA1ED6F" w14:textId="404DB7C8" w:rsidR="00D32C49" w:rsidRDefault="00D32C49" w:rsidP="008046E9">
      <w:pPr>
        <w:autoSpaceDE w:val="0"/>
        <w:autoSpaceDN w:val="0"/>
        <w:adjustRightInd w:val="0"/>
        <w:spacing w:after="0"/>
        <w:rPr>
          <w:rFonts w:eastAsia="Times New Roman" w:cs="Arial"/>
          <w:szCs w:val="24"/>
        </w:rPr>
      </w:pPr>
    </w:p>
    <w:p w14:paraId="009052D2" w14:textId="536140F1" w:rsidR="00D32C49" w:rsidRDefault="00D32C49" w:rsidP="008046E9">
      <w:pPr>
        <w:autoSpaceDE w:val="0"/>
        <w:autoSpaceDN w:val="0"/>
        <w:adjustRightInd w:val="0"/>
        <w:spacing w:after="0"/>
        <w:rPr>
          <w:rFonts w:eastAsia="Times New Roman" w:cs="Arial"/>
          <w:szCs w:val="24"/>
        </w:rPr>
      </w:pPr>
    </w:p>
    <w:p w14:paraId="550533CB" w14:textId="77777777" w:rsidR="00D32C49" w:rsidRPr="008046E9" w:rsidRDefault="00D32C49" w:rsidP="008046E9">
      <w:pPr>
        <w:autoSpaceDE w:val="0"/>
        <w:autoSpaceDN w:val="0"/>
        <w:adjustRightInd w:val="0"/>
        <w:spacing w:after="0"/>
        <w:rPr>
          <w:rFonts w:eastAsia="Times New Roman" w:cs="Arial"/>
          <w:szCs w:val="24"/>
        </w:rPr>
      </w:pPr>
    </w:p>
    <w:p w14:paraId="79874BE8" w14:textId="439A3552" w:rsidR="0046533C" w:rsidRPr="0046533C" w:rsidRDefault="0046533C" w:rsidP="00797528">
      <w:pPr>
        <w:pStyle w:val="Heading3"/>
      </w:pPr>
      <w:bookmarkStart w:id="259" w:name="_Toc107389498"/>
      <w:r w:rsidRPr="0046533C">
        <w:t>Trade Union Facility Time Reporting Requirements</w:t>
      </w:r>
      <w:bookmarkEnd w:id="257"/>
      <w:bookmarkEnd w:id="258"/>
      <w:bookmarkEnd w:id="259"/>
      <w:r w:rsidRPr="0046533C">
        <w:t xml:space="preserve"> </w:t>
      </w:r>
    </w:p>
    <w:p w14:paraId="3BCF9565" w14:textId="3754AB84" w:rsidR="00F53FF5" w:rsidRDefault="00F53FF5" w:rsidP="00F53FF5">
      <w:pPr>
        <w:autoSpaceDE w:val="0"/>
        <w:autoSpaceDN w:val="0"/>
        <w:adjustRightInd w:val="0"/>
        <w:spacing w:after="0"/>
        <w:rPr>
          <w:rFonts w:eastAsia="Times New Roman" w:cs="Arial"/>
          <w:szCs w:val="24"/>
        </w:rPr>
      </w:pPr>
      <w:r w:rsidRPr="00852FE9">
        <w:rPr>
          <w:rFonts w:eastAsia="Times New Roman" w:cs="Arial"/>
          <w:szCs w:val="24"/>
        </w:rPr>
        <w:t>There was no Trade Union Facility Time in 202</w:t>
      </w:r>
      <w:r w:rsidR="00852FE9">
        <w:rPr>
          <w:rFonts w:eastAsia="Times New Roman" w:cs="Arial"/>
          <w:szCs w:val="24"/>
        </w:rPr>
        <w:t>1/22.</w:t>
      </w:r>
    </w:p>
    <w:p w14:paraId="7BEE209B" w14:textId="7CD45B6D" w:rsidR="0046533C" w:rsidRDefault="0046533C" w:rsidP="00D32C49">
      <w:pPr>
        <w:pStyle w:val="Heading3"/>
        <w:spacing w:before="480"/>
      </w:pPr>
      <w:bookmarkStart w:id="260" w:name="_Toc94188229"/>
      <w:bookmarkStart w:id="261" w:name="_Toc97218381"/>
      <w:bookmarkStart w:id="262" w:name="_Toc107389499"/>
      <w:r w:rsidRPr="00731F4E">
        <w:t>Expenditure on consultancy</w:t>
      </w:r>
      <w:bookmarkEnd w:id="260"/>
      <w:bookmarkEnd w:id="261"/>
      <w:bookmarkEnd w:id="262"/>
    </w:p>
    <w:p w14:paraId="19380C84" w14:textId="527E5A50" w:rsidR="00731F4E" w:rsidRDefault="00731F4E" w:rsidP="00731F4E">
      <w:pPr>
        <w:rPr>
          <w:rFonts w:cs="Arial"/>
          <w:color w:val="000000"/>
          <w:lang w:eastAsia="en-GB"/>
        </w:rPr>
      </w:pPr>
      <w:r>
        <w:rPr>
          <w:rFonts w:cs="Arial"/>
          <w:color w:val="000000"/>
          <w:lang w:eastAsia="en-GB"/>
        </w:rPr>
        <w:t>The expenditure on consultancy was £124</w:t>
      </w:r>
      <w:r w:rsidR="001148A5">
        <w:rPr>
          <w:rFonts w:cs="Arial"/>
          <w:color w:val="000000"/>
          <w:lang w:eastAsia="en-GB"/>
        </w:rPr>
        <w:t>k</w:t>
      </w:r>
      <w:r>
        <w:rPr>
          <w:rFonts w:cs="Arial"/>
          <w:color w:val="000000"/>
          <w:lang w:eastAsia="en-GB"/>
        </w:rPr>
        <w:t xml:space="preserve"> during the course of the year.</w:t>
      </w:r>
    </w:p>
    <w:p w14:paraId="52013668" w14:textId="520D3859" w:rsidR="0046533C" w:rsidRPr="0046533C" w:rsidRDefault="0046533C" w:rsidP="00D32C49">
      <w:pPr>
        <w:pStyle w:val="Heading3"/>
        <w:spacing w:before="480"/>
      </w:pPr>
      <w:bookmarkStart w:id="263" w:name="_Toc94188230"/>
      <w:bookmarkStart w:id="264" w:name="_Toc97218382"/>
      <w:bookmarkStart w:id="265" w:name="_Toc107389500"/>
      <w:r w:rsidRPr="00230165">
        <w:t>Off-payroll engagements</w:t>
      </w:r>
      <w:bookmarkEnd w:id="263"/>
      <w:bookmarkEnd w:id="264"/>
      <w:bookmarkEnd w:id="265"/>
      <w:r w:rsidRPr="0046533C">
        <w:t xml:space="preserve"> </w:t>
      </w:r>
    </w:p>
    <w:p w14:paraId="0B2BEAE5" w14:textId="45440279" w:rsidR="00230165" w:rsidRDefault="00230165" w:rsidP="00D32C49">
      <w:pPr>
        <w:spacing w:before="360"/>
      </w:pPr>
      <w:bookmarkStart w:id="266" w:name="_Toc94188231"/>
      <w:bookmarkStart w:id="267" w:name="_Toc97218383"/>
      <w:r>
        <w:rPr>
          <w:b/>
          <w:bCs/>
        </w:rPr>
        <w:t xml:space="preserve">Table 1: Off-payroll engagements longer than 6 months </w:t>
      </w:r>
      <w:r>
        <w:t xml:space="preserve">see updated guidance Para 3.119 (k), and Chapter 3 Annex 4 – “Off-payroll” engagements Para 3.181 to 3.208  noting 3.194 to 3.200 and </w:t>
      </w:r>
      <w:r w:rsidRPr="00466505">
        <w:t xml:space="preserve">are </w:t>
      </w:r>
      <w:r w:rsidRPr="00466505">
        <w:rPr>
          <w:i/>
          <w:iCs/>
        </w:rPr>
        <w:t>new</w:t>
      </w:r>
      <w:r w:rsidR="00466505">
        <w:t>.</w:t>
      </w:r>
    </w:p>
    <w:p w14:paraId="2EDF1847" w14:textId="17A0EF65" w:rsidR="00230165" w:rsidRDefault="00230165" w:rsidP="00D32C49">
      <w:pPr>
        <w:spacing w:before="360" w:after="120"/>
      </w:pPr>
      <w:r>
        <w:t>For all off-payroll engagements as at 31 March 2022 for more than £245* per day</w:t>
      </w:r>
      <w:r w:rsidR="00466505">
        <w:t>:</w:t>
      </w:r>
    </w:p>
    <w:p w14:paraId="140CAC8B" w14:textId="77777777" w:rsidR="00D32C49" w:rsidRDefault="00D32C49" w:rsidP="007676B8">
      <w:pPr>
        <w:spacing w:before="120" w:after="120"/>
      </w:pPr>
    </w:p>
    <w:tbl>
      <w:tblPr>
        <w:tblW w:w="8931" w:type="dxa"/>
        <w:tblCellMar>
          <w:left w:w="0" w:type="dxa"/>
          <w:right w:w="0" w:type="dxa"/>
        </w:tblCellMar>
        <w:tblLook w:val="04A0" w:firstRow="1" w:lastRow="0" w:firstColumn="1" w:lastColumn="0" w:noHBand="0" w:noVBand="1"/>
      </w:tblPr>
      <w:tblGrid>
        <w:gridCol w:w="7516"/>
        <w:gridCol w:w="1415"/>
      </w:tblGrid>
      <w:tr w:rsidR="00D32C49" w14:paraId="07BC9498" w14:textId="1285284E" w:rsidTr="00D32C49">
        <w:trPr>
          <w:trHeight w:val="409"/>
        </w:trPr>
        <w:tc>
          <w:tcPr>
            <w:tcW w:w="75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B32167" w14:textId="77777777" w:rsidR="00D32C49" w:rsidRDefault="00D32C49" w:rsidP="008E7B63">
            <w:pPr>
              <w:spacing w:before="0" w:after="0" w:line="276" w:lineRule="auto"/>
              <w:rPr>
                <w:lang w:eastAsia="en-GB"/>
              </w:rPr>
            </w:pPr>
            <w:r>
              <w:rPr>
                <w:lang w:eastAsia="en-GB"/>
              </w:rPr>
              <w:t> </w:t>
            </w:r>
          </w:p>
        </w:tc>
        <w:tc>
          <w:tcPr>
            <w:tcW w:w="1415" w:type="dxa"/>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center"/>
            <w:hideMark/>
          </w:tcPr>
          <w:p w14:paraId="56153C71" w14:textId="77777777" w:rsidR="00D32C49" w:rsidRDefault="00D32C49" w:rsidP="008E7B63">
            <w:pPr>
              <w:spacing w:before="0" w:after="0" w:line="276" w:lineRule="auto"/>
              <w:rPr>
                <w:lang w:eastAsia="en-GB"/>
              </w:rPr>
            </w:pPr>
            <w:r>
              <w:rPr>
                <w:lang w:eastAsia="en-GB"/>
              </w:rPr>
              <w:t>Number</w:t>
            </w:r>
          </w:p>
        </w:tc>
      </w:tr>
      <w:tr w:rsidR="00D32C49" w14:paraId="2BE9033E" w14:textId="41A369AF" w:rsidTr="00D32C49">
        <w:trPr>
          <w:trHeight w:val="409"/>
        </w:trPr>
        <w:tc>
          <w:tcPr>
            <w:tcW w:w="75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9D4104" w14:textId="77777777" w:rsidR="00D32C49" w:rsidRDefault="00D32C49" w:rsidP="007676B8">
            <w:pPr>
              <w:spacing w:before="0" w:after="0" w:line="276" w:lineRule="auto"/>
              <w:rPr>
                <w:lang w:eastAsia="en-GB"/>
              </w:rPr>
            </w:pPr>
            <w:r>
              <w:rPr>
                <w:lang w:eastAsia="en-GB"/>
              </w:rPr>
              <w:t>Number of existing engagements as of 31 March 2022</w:t>
            </w:r>
          </w:p>
        </w:tc>
        <w:tc>
          <w:tcPr>
            <w:tcW w:w="1415" w:type="dxa"/>
            <w:tcBorders>
              <w:top w:val="nil"/>
              <w:left w:val="nil"/>
              <w:bottom w:val="single" w:sz="8" w:space="0" w:color="auto"/>
              <w:right w:val="single" w:sz="8" w:space="0" w:color="000000"/>
            </w:tcBorders>
            <w:noWrap/>
            <w:tcMar>
              <w:top w:w="0" w:type="dxa"/>
              <w:left w:w="108" w:type="dxa"/>
              <w:bottom w:w="0" w:type="dxa"/>
              <w:right w:w="108" w:type="dxa"/>
            </w:tcMar>
            <w:vAlign w:val="center"/>
            <w:hideMark/>
          </w:tcPr>
          <w:p w14:paraId="73D42053" w14:textId="77777777" w:rsidR="00D32C49" w:rsidRDefault="00D32C49" w:rsidP="007676B8">
            <w:pPr>
              <w:spacing w:before="0" w:after="0"/>
              <w:rPr>
                <w:lang w:eastAsia="en-GB"/>
              </w:rPr>
            </w:pPr>
            <w:r>
              <w:rPr>
                <w:lang w:eastAsia="en-GB"/>
              </w:rPr>
              <w:t>2</w:t>
            </w:r>
          </w:p>
        </w:tc>
      </w:tr>
      <w:tr w:rsidR="00D32C49" w14:paraId="79A83074" w14:textId="4ADEC193" w:rsidTr="00D32C49">
        <w:trPr>
          <w:trHeight w:val="409"/>
        </w:trPr>
        <w:tc>
          <w:tcPr>
            <w:tcW w:w="8931" w:type="dxa"/>
            <w:gridSpan w:val="2"/>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252E3B5D" w14:textId="77777777" w:rsidR="00D32C49" w:rsidRDefault="00D32C49" w:rsidP="007676B8">
            <w:pPr>
              <w:spacing w:before="0" w:after="0" w:line="276" w:lineRule="auto"/>
              <w:rPr>
                <w:rFonts w:cs="Arial"/>
                <w:szCs w:val="24"/>
                <w:lang w:eastAsia="en-GB"/>
              </w:rPr>
            </w:pPr>
            <w:r>
              <w:rPr>
                <w:lang w:eastAsia="en-GB"/>
              </w:rPr>
              <w:t>Of which, the number that have existed: </w:t>
            </w:r>
          </w:p>
        </w:tc>
      </w:tr>
      <w:tr w:rsidR="00D32C49" w14:paraId="6718107E" w14:textId="6192D64C" w:rsidTr="00D32C49">
        <w:trPr>
          <w:trHeight w:val="409"/>
        </w:trPr>
        <w:tc>
          <w:tcPr>
            <w:tcW w:w="75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57D1E5" w14:textId="77777777" w:rsidR="00D32C49" w:rsidRDefault="00D32C49" w:rsidP="007676B8">
            <w:pPr>
              <w:spacing w:before="0" w:after="0" w:line="276" w:lineRule="auto"/>
              <w:rPr>
                <w:rFonts w:ascii="Calibri" w:hAnsi="Calibri" w:cs="Calibri"/>
                <w:sz w:val="22"/>
                <w:lang w:eastAsia="en-GB"/>
              </w:rPr>
            </w:pPr>
            <w:r>
              <w:rPr>
                <w:lang w:eastAsia="en-GB"/>
              </w:rPr>
              <w:t>for less than one year at the time of reporting</w:t>
            </w:r>
          </w:p>
        </w:tc>
        <w:tc>
          <w:tcPr>
            <w:tcW w:w="1415" w:type="dxa"/>
            <w:tcBorders>
              <w:top w:val="nil"/>
              <w:left w:val="nil"/>
              <w:bottom w:val="single" w:sz="8" w:space="0" w:color="auto"/>
              <w:right w:val="single" w:sz="8" w:space="0" w:color="000000"/>
            </w:tcBorders>
            <w:noWrap/>
            <w:tcMar>
              <w:top w:w="0" w:type="dxa"/>
              <w:left w:w="108" w:type="dxa"/>
              <w:bottom w:w="0" w:type="dxa"/>
              <w:right w:w="108" w:type="dxa"/>
            </w:tcMar>
            <w:vAlign w:val="center"/>
            <w:hideMark/>
          </w:tcPr>
          <w:p w14:paraId="781C0C7D" w14:textId="77777777" w:rsidR="00D32C49" w:rsidRDefault="00D32C49" w:rsidP="007676B8">
            <w:pPr>
              <w:spacing w:before="0" w:after="0"/>
              <w:rPr>
                <w:lang w:eastAsia="en-GB"/>
              </w:rPr>
            </w:pPr>
            <w:r>
              <w:rPr>
                <w:lang w:eastAsia="en-GB"/>
              </w:rPr>
              <w:t>1</w:t>
            </w:r>
          </w:p>
        </w:tc>
      </w:tr>
      <w:tr w:rsidR="00D32C49" w14:paraId="452D9667" w14:textId="3ADD7577" w:rsidTr="00D32C49">
        <w:trPr>
          <w:trHeight w:val="409"/>
        </w:trPr>
        <w:tc>
          <w:tcPr>
            <w:tcW w:w="75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3D9FFF" w14:textId="77777777" w:rsidR="00D32C49" w:rsidRDefault="00D32C49" w:rsidP="007676B8">
            <w:pPr>
              <w:spacing w:before="0" w:after="0" w:line="276" w:lineRule="auto"/>
              <w:rPr>
                <w:rFonts w:cs="Arial"/>
                <w:szCs w:val="24"/>
                <w:lang w:eastAsia="en-GB"/>
              </w:rPr>
            </w:pPr>
            <w:r>
              <w:rPr>
                <w:lang w:eastAsia="en-GB"/>
              </w:rPr>
              <w:t>for between one and two years at the time of reporting</w:t>
            </w:r>
          </w:p>
        </w:tc>
        <w:tc>
          <w:tcPr>
            <w:tcW w:w="1415" w:type="dxa"/>
            <w:tcBorders>
              <w:top w:val="nil"/>
              <w:left w:val="nil"/>
              <w:bottom w:val="single" w:sz="8" w:space="0" w:color="auto"/>
              <w:right w:val="single" w:sz="8" w:space="0" w:color="000000"/>
            </w:tcBorders>
            <w:noWrap/>
            <w:tcMar>
              <w:top w:w="0" w:type="dxa"/>
              <w:left w:w="108" w:type="dxa"/>
              <w:bottom w:w="0" w:type="dxa"/>
              <w:right w:w="108" w:type="dxa"/>
            </w:tcMar>
            <w:vAlign w:val="center"/>
          </w:tcPr>
          <w:p w14:paraId="542FB488" w14:textId="77777777" w:rsidR="00D32C49" w:rsidRDefault="00D32C49" w:rsidP="007676B8">
            <w:pPr>
              <w:spacing w:before="0" w:after="0" w:line="276" w:lineRule="auto"/>
              <w:rPr>
                <w:rFonts w:ascii="Calibri" w:hAnsi="Calibri" w:cs="Calibri"/>
                <w:sz w:val="22"/>
                <w:lang w:eastAsia="en-GB"/>
              </w:rPr>
            </w:pPr>
          </w:p>
        </w:tc>
      </w:tr>
      <w:tr w:rsidR="00D32C49" w14:paraId="043A97E9" w14:textId="0684E7CD" w:rsidTr="00D32C49">
        <w:trPr>
          <w:trHeight w:val="409"/>
        </w:trPr>
        <w:tc>
          <w:tcPr>
            <w:tcW w:w="75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0EFD4D3" w14:textId="77777777" w:rsidR="00D32C49" w:rsidRDefault="00D32C49" w:rsidP="007676B8">
            <w:pPr>
              <w:spacing w:before="0" w:after="0" w:line="276" w:lineRule="auto"/>
              <w:rPr>
                <w:lang w:eastAsia="en-GB"/>
              </w:rPr>
            </w:pPr>
            <w:r>
              <w:rPr>
                <w:lang w:eastAsia="en-GB"/>
              </w:rPr>
              <w:t>for between 2 and 3 years at the time of reporting</w:t>
            </w:r>
          </w:p>
        </w:tc>
        <w:tc>
          <w:tcPr>
            <w:tcW w:w="1415" w:type="dxa"/>
            <w:tcBorders>
              <w:top w:val="nil"/>
              <w:left w:val="nil"/>
              <w:bottom w:val="single" w:sz="8" w:space="0" w:color="auto"/>
              <w:right w:val="single" w:sz="8" w:space="0" w:color="000000"/>
            </w:tcBorders>
            <w:noWrap/>
            <w:tcMar>
              <w:top w:w="0" w:type="dxa"/>
              <w:left w:w="108" w:type="dxa"/>
              <w:bottom w:w="0" w:type="dxa"/>
              <w:right w:w="108" w:type="dxa"/>
            </w:tcMar>
            <w:vAlign w:val="center"/>
            <w:hideMark/>
          </w:tcPr>
          <w:p w14:paraId="0BC4493E" w14:textId="77777777" w:rsidR="00D32C49" w:rsidRDefault="00D32C49" w:rsidP="007676B8">
            <w:pPr>
              <w:spacing w:before="0" w:after="0" w:line="276" w:lineRule="auto"/>
              <w:rPr>
                <w:lang w:eastAsia="en-GB"/>
              </w:rPr>
            </w:pPr>
            <w:r>
              <w:rPr>
                <w:lang w:eastAsia="en-GB"/>
              </w:rPr>
              <w:t>1</w:t>
            </w:r>
          </w:p>
        </w:tc>
      </w:tr>
      <w:tr w:rsidR="00D32C49" w14:paraId="520DB15A" w14:textId="7FE04F6A" w:rsidTr="00D32C49">
        <w:trPr>
          <w:trHeight w:val="409"/>
        </w:trPr>
        <w:tc>
          <w:tcPr>
            <w:tcW w:w="75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E27017" w14:textId="77777777" w:rsidR="00D32C49" w:rsidRDefault="00D32C49" w:rsidP="007676B8">
            <w:pPr>
              <w:spacing w:before="0" w:after="0" w:line="276" w:lineRule="auto"/>
              <w:rPr>
                <w:lang w:eastAsia="en-GB"/>
              </w:rPr>
            </w:pPr>
            <w:r>
              <w:rPr>
                <w:lang w:eastAsia="en-GB"/>
              </w:rPr>
              <w:t>for between 3 and 4 years at the time of reporting</w:t>
            </w:r>
          </w:p>
        </w:tc>
        <w:tc>
          <w:tcPr>
            <w:tcW w:w="1415" w:type="dxa"/>
            <w:tcBorders>
              <w:top w:val="nil"/>
              <w:left w:val="nil"/>
              <w:bottom w:val="single" w:sz="8" w:space="0" w:color="auto"/>
              <w:right w:val="single" w:sz="8" w:space="0" w:color="000000"/>
            </w:tcBorders>
            <w:noWrap/>
            <w:tcMar>
              <w:top w:w="0" w:type="dxa"/>
              <w:left w:w="108" w:type="dxa"/>
              <w:bottom w:w="0" w:type="dxa"/>
              <w:right w:w="108" w:type="dxa"/>
            </w:tcMar>
            <w:vAlign w:val="center"/>
          </w:tcPr>
          <w:p w14:paraId="47F30B84" w14:textId="77777777" w:rsidR="00D32C49" w:rsidRDefault="00D32C49" w:rsidP="007676B8">
            <w:pPr>
              <w:spacing w:before="0" w:after="0" w:line="276" w:lineRule="auto"/>
              <w:rPr>
                <w:lang w:eastAsia="en-GB"/>
              </w:rPr>
            </w:pPr>
          </w:p>
        </w:tc>
      </w:tr>
      <w:tr w:rsidR="00D32C49" w14:paraId="7A423486" w14:textId="2F9AC4C3" w:rsidTr="00D32C49">
        <w:trPr>
          <w:trHeight w:val="409"/>
        </w:trPr>
        <w:tc>
          <w:tcPr>
            <w:tcW w:w="75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259A0D6" w14:textId="77777777" w:rsidR="00D32C49" w:rsidRDefault="00D32C49" w:rsidP="007676B8">
            <w:pPr>
              <w:spacing w:before="0" w:after="0" w:line="276" w:lineRule="auto"/>
              <w:rPr>
                <w:lang w:eastAsia="en-GB"/>
              </w:rPr>
            </w:pPr>
            <w:r>
              <w:rPr>
                <w:lang w:eastAsia="en-GB"/>
              </w:rPr>
              <w:t>for 4 or more years at the time of reporting</w:t>
            </w:r>
          </w:p>
        </w:tc>
        <w:tc>
          <w:tcPr>
            <w:tcW w:w="1415" w:type="dxa"/>
            <w:tcBorders>
              <w:top w:val="nil"/>
              <w:left w:val="nil"/>
              <w:bottom w:val="single" w:sz="8" w:space="0" w:color="auto"/>
              <w:right w:val="single" w:sz="8" w:space="0" w:color="000000"/>
            </w:tcBorders>
            <w:noWrap/>
            <w:tcMar>
              <w:top w:w="0" w:type="dxa"/>
              <w:left w:w="108" w:type="dxa"/>
              <w:bottom w:w="0" w:type="dxa"/>
              <w:right w:w="108" w:type="dxa"/>
            </w:tcMar>
            <w:vAlign w:val="center"/>
          </w:tcPr>
          <w:p w14:paraId="737C1518" w14:textId="77777777" w:rsidR="00D32C49" w:rsidRDefault="00D32C49" w:rsidP="007676B8">
            <w:pPr>
              <w:spacing w:before="0" w:after="0" w:line="276" w:lineRule="auto"/>
              <w:rPr>
                <w:lang w:eastAsia="en-GB"/>
              </w:rPr>
            </w:pPr>
          </w:p>
        </w:tc>
      </w:tr>
    </w:tbl>
    <w:p w14:paraId="58E5EDCB" w14:textId="77777777" w:rsidR="00230165" w:rsidRPr="007676B8" w:rsidRDefault="00230165" w:rsidP="00230165">
      <w:pPr>
        <w:rPr>
          <w:rFonts w:cs="Arial"/>
          <w:i/>
          <w:iCs/>
          <w:sz w:val="20"/>
          <w:szCs w:val="20"/>
          <w:highlight w:val="yellow"/>
        </w:rPr>
      </w:pPr>
      <w:r w:rsidRPr="007676B8">
        <w:rPr>
          <w:i/>
          <w:iCs/>
          <w:sz w:val="20"/>
          <w:szCs w:val="20"/>
        </w:rPr>
        <w:t xml:space="preserve">*The £245 threshold is set to approximate the minimum point of the pay scale for a Senior Civil Servant.      </w:t>
      </w:r>
    </w:p>
    <w:p w14:paraId="07E05AFE" w14:textId="3AF778FA" w:rsidR="00230165" w:rsidRDefault="00230165" w:rsidP="00D32C49">
      <w:pPr>
        <w:spacing w:before="360" w:after="120"/>
      </w:pPr>
      <w:r>
        <w:t xml:space="preserve">CCG to confirm that all existing off-payroll engagements have at some point been subject to a risk-based assessment as to whether assurance is required that the individual is paying the right amount of tax and, where necessary, that assurance has been sought. </w:t>
      </w:r>
    </w:p>
    <w:p w14:paraId="24F9ABBF" w14:textId="43BD0E5B" w:rsidR="00853548" w:rsidRDefault="00230165" w:rsidP="00D32C49">
      <w:pPr>
        <w:pStyle w:val="BodyText"/>
        <w:spacing w:before="360" w:after="120"/>
      </w:pPr>
      <w:r>
        <w:rPr>
          <w:b/>
          <w:bCs/>
        </w:rPr>
        <w:t xml:space="preserve">Table 2: </w:t>
      </w:r>
      <w:r>
        <w:t>Off-payroll workers engaged at any point during the financial year</w:t>
      </w:r>
    </w:p>
    <w:p w14:paraId="65FB0E1A" w14:textId="0531FB95" w:rsidR="00853548" w:rsidRDefault="00230165" w:rsidP="00D32C49">
      <w:pPr>
        <w:pStyle w:val="BodyText"/>
        <w:spacing w:before="360" w:after="0"/>
      </w:pPr>
      <w:r>
        <w:t>For all off-payroll engagements between 1 April 2021 and 31 March 2022, for more than £245(1) per day:</w:t>
      </w:r>
    </w:p>
    <w:p w14:paraId="698D4357" w14:textId="6B5D53FE" w:rsidR="00D32C49" w:rsidRDefault="00D32C49" w:rsidP="007676B8">
      <w:pPr>
        <w:pStyle w:val="BodyText"/>
        <w:spacing w:before="120" w:after="0"/>
      </w:pPr>
    </w:p>
    <w:p w14:paraId="766C2CFC" w14:textId="2F06A72D" w:rsidR="00D32C49" w:rsidRDefault="00D32C49" w:rsidP="007676B8">
      <w:pPr>
        <w:pStyle w:val="BodyText"/>
        <w:spacing w:before="120" w:after="0"/>
      </w:pPr>
    </w:p>
    <w:p w14:paraId="2D4824EB" w14:textId="77777777" w:rsidR="00D32C49" w:rsidRDefault="00D32C49" w:rsidP="007676B8">
      <w:pPr>
        <w:pStyle w:val="BodyText"/>
        <w:spacing w:before="120" w:after="0"/>
      </w:pPr>
    </w:p>
    <w:tbl>
      <w:tblPr>
        <w:tblW w:w="9072" w:type="dxa"/>
        <w:tblCellMar>
          <w:left w:w="0" w:type="dxa"/>
          <w:right w:w="0" w:type="dxa"/>
        </w:tblCellMar>
        <w:tblLook w:val="04A0" w:firstRow="1" w:lastRow="0" w:firstColumn="1" w:lastColumn="0" w:noHBand="0" w:noVBand="1"/>
      </w:tblPr>
      <w:tblGrid>
        <w:gridCol w:w="8505"/>
        <w:gridCol w:w="1070"/>
      </w:tblGrid>
      <w:tr w:rsidR="00230165" w14:paraId="3A51225D" w14:textId="77777777" w:rsidTr="008E7B63">
        <w:trPr>
          <w:trHeight w:val="424"/>
        </w:trPr>
        <w:tc>
          <w:tcPr>
            <w:tcW w:w="8505" w:type="dxa"/>
            <w:tcBorders>
              <w:top w:val="nil"/>
              <w:left w:val="nil"/>
              <w:bottom w:val="single" w:sz="8" w:space="0" w:color="auto"/>
              <w:right w:val="single" w:sz="8" w:space="0" w:color="000000"/>
            </w:tcBorders>
            <w:noWrap/>
            <w:tcMar>
              <w:top w:w="0" w:type="dxa"/>
              <w:left w:w="108" w:type="dxa"/>
              <w:bottom w:w="0" w:type="dxa"/>
              <w:right w:w="108" w:type="dxa"/>
            </w:tcMar>
            <w:vAlign w:val="bottom"/>
            <w:hideMark/>
          </w:tcPr>
          <w:p w14:paraId="26C73ACD" w14:textId="77777777" w:rsidR="00230165" w:rsidRDefault="00230165" w:rsidP="007676B8">
            <w:pPr>
              <w:spacing w:before="0" w:after="0" w:line="276" w:lineRule="auto"/>
              <w:rPr>
                <w:lang w:eastAsia="en-GB"/>
              </w:rPr>
            </w:pPr>
            <w:r>
              <w:rPr>
                <w:lang w:eastAsia="en-GB"/>
              </w:rPr>
              <w:t> </w:t>
            </w:r>
          </w:p>
        </w:tc>
        <w:tc>
          <w:tcPr>
            <w:tcW w:w="567" w:type="dxa"/>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center"/>
            <w:hideMark/>
          </w:tcPr>
          <w:p w14:paraId="44277F72" w14:textId="77777777" w:rsidR="00230165" w:rsidRDefault="00230165" w:rsidP="007676B8">
            <w:pPr>
              <w:spacing w:before="0" w:after="0" w:line="276" w:lineRule="auto"/>
              <w:rPr>
                <w:lang w:eastAsia="en-GB"/>
              </w:rPr>
            </w:pPr>
            <w:r>
              <w:rPr>
                <w:lang w:eastAsia="en-GB"/>
              </w:rPr>
              <w:t>Number</w:t>
            </w:r>
          </w:p>
        </w:tc>
      </w:tr>
      <w:tr w:rsidR="00230165" w14:paraId="2CAFBA77" w14:textId="77777777" w:rsidTr="008E7B63">
        <w:trPr>
          <w:trHeight w:val="480"/>
        </w:trPr>
        <w:tc>
          <w:tcPr>
            <w:tcW w:w="85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A01D7B" w14:textId="77777777" w:rsidR="00230165" w:rsidRDefault="00230165" w:rsidP="007676B8">
            <w:pPr>
              <w:spacing w:before="0" w:after="0" w:line="276" w:lineRule="auto"/>
              <w:rPr>
                <w:lang w:eastAsia="en-GB"/>
              </w:rPr>
            </w:pPr>
            <w:r>
              <w:rPr>
                <w:lang w:eastAsia="en-GB"/>
              </w:rPr>
              <w:t>No. of temporary off-payroll workers engaged between 1 April 2021 and 31 March 2022</w:t>
            </w:r>
          </w:p>
        </w:tc>
        <w:tc>
          <w:tcPr>
            <w:tcW w:w="567" w:type="dxa"/>
            <w:tcBorders>
              <w:top w:val="nil"/>
              <w:left w:val="nil"/>
              <w:bottom w:val="single" w:sz="8" w:space="0" w:color="auto"/>
              <w:right w:val="single" w:sz="8" w:space="0" w:color="000000"/>
            </w:tcBorders>
            <w:noWrap/>
            <w:tcMar>
              <w:top w:w="0" w:type="dxa"/>
              <w:left w:w="108" w:type="dxa"/>
              <w:bottom w:w="0" w:type="dxa"/>
              <w:right w:w="108" w:type="dxa"/>
            </w:tcMar>
            <w:vAlign w:val="center"/>
            <w:hideMark/>
          </w:tcPr>
          <w:p w14:paraId="7A97CD66" w14:textId="77777777" w:rsidR="00230165" w:rsidRDefault="00230165" w:rsidP="007676B8">
            <w:pPr>
              <w:spacing w:before="0" w:after="0" w:line="276" w:lineRule="auto"/>
              <w:rPr>
                <w:lang w:eastAsia="en-GB"/>
              </w:rPr>
            </w:pPr>
            <w:r>
              <w:rPr>
                <w:lang w:eastAsia="en-GB"/>
              </w:rPr>
              <w:t>3</w:t>
            </w:r>
          </w:p>
        </w:tc>
      </w:tr>
      <w:tr w:rsidR="00230165" w14:paraId="1AE4A7F0" w14:textId="77777777" w:rsidTr="008E7B63">
        <w:trPr>
          <w:trHeight w:val="424"/>
        </w:trPr>
        <w:tc>
          <w:tcPr>
            <w:tcW w:w="9072" w:type="dxa"/>
            <w:gridSpan w:val="2"/>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6C913D2C" w14:textId="77777777" w:rsidR="00230165" w:rsidRDefault="00230165" w:rsidP="007676B8">
            <w:pPr>
              <w:spacing w:before="0" w:after="0" w:line="276" w:lineRule="auto"/>
              <w:rPr>
                <w:lang w:eastAsia="en-GB"/>
              </w:rPr>
            </w:pPr>
            <w:r>
              <w:rPr>
                <w:lang w:eastAsia="en-GB"/>
              </w:rPr>
              <w:t xml:space="preserve">Of which: </w:t>
            </w:r>
          </w:p>
        </w:tc>
      </w:tr>
      <w:tr w:rsidR="00230165" w14:paraId="1339C0FD" w14:textId="77777777" w:rsidTr="008E7B63">
        <w:trPr>
          <w:trHeight w:val="424"/>
        </w:trPr>
        <w:tc>
          <w:tcPr>
            <w:tcW w:w="85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10B6BD7" w14:textId="77777777" w:rsidR="00230165" w:rsidRDefault="00230165" w:rsidP="007676B8">
            <w:pPr>
              <w:spacing w:before="0" w:after="0" w:line="276" w:lineRule="auto"/>
              <w:rPr>
                <w:lang w:eastAsia="en-GB"/>
              </w:rPr>
            </w:pPr>
            <w:r>
              <w:t>No. not subject to off-payroll legislation</w:t>
            </w:r>
            <w:r>
              <w:rPr>
                <w:vertAlign w:val="superscript"/>
              </w:rPr>
              <w:t>(2)</w:t>
            </w:r>
          </w:p>
        </w:tc>
        <w:tc>
          <w:tcPr>
            <w:tcW w:w="567" w:type="dxa"/>
            <w:tcBorders>
              <w:top w:val="nil"/>
              <w:left w:val="nil"/>
              <w:bottom w:val="single" w:sz="8" w:space="0" w:color="000000"/>
              <w:right w:val="single" w:sz="8" w:space="0" w:color="000000"/>
            </w:tcBorders>
            <w:noWrap/>
            <w:tcMar>
              <w:top w:w="0" w:type="dxa"/>
              <w:left w:w="108" w:type="dxa"/>
              <w:bottom w:w="0" w:type="dxa"/>
              <w:right w:w="108" w:type="dxa"/>
            </w:tcMar>
            <w:vAlign w:val="center"/>
          </w:tcPr>
          <w:p w14:paraId="3E350626" w14:textId="77777777" w:rsidR="00230165" w:rsidRDefault="00230165" w:rsidP="007676B8">
            <w:pPr>
              <w:spacing w:before="0" w:after="0" w:line="276" w:lineRule="auto"/>
              <w:rPr>
                <w:lang w:eastAsia="en-GB"/>
              </w:rPr>
            </w:pPr>
          </w:p>
        </w:tc>
      </w:tr>
      <w:tr w:rsidR="00230165" w14:paraId="518C77B1" w14:textId="77777777" w:rsidTr="008E7B63">
        <w:trPr>
          <w:trHeight w:val="424"/>
        </w:trPr>
        <w:tc>
          <w:tcPr>
            <w:tcW w:w="85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9AD73F1" w14:textId="77777777" w:rsidR="00230165" w:rsidRDefault="00230165" w:rsidP="007676B8">
            <w:pPr>
              <w:spacing w:before="0" w:after="0" w:line="276" w:lineRule="auto"/>
              <w:rPr>
                <w:lang w:eastAsia="en-GB"/>
              </w:rPr>
            </w:pPr>
            <w:r>
              <w:t>No. subject to off-payroll legislation and determined as in-scope of IR35</w:t>
            </w:r>
            <w:r>
              <w:rPr>
                <w:vertAlign w:val="superscript"/>
              </w:rPr>
              <w:t>(2)</w:t>
            </w:r>
          </w:p>
        </w:tc>
        <w:tc>
          <w:tcPr>
            <w:tcW w:w="567" w:type="dxa"/>
            <w:tcBorders>
              <w:top w:val="nil"/>
              <w:left w:val="nil"/>
              <w:bottom w:val="single" w:sz="8" w:space="0" w:color="000000"/>
              <w:right w:val="single" w:sz="8" w:space="0" w:color="000000"/>
            </w:tcBorders>
            <w:noWrap/>
            <w:tcMar>
              <w:top w:w="0" w:type="dxa"/>
              <w:left w:w="108" w:type="dxa"/>
              <w:bottom w:w="0" w:type="dxa"/>
              <w:right w:w="108" w:type="dxa"/>
            </w:tcMar>
            <w:vAlign w:val="center"/>
          </w:tcPr>
          <w:p w14:paraId="7E45A9B5" w14:textId="77777777" w:rsidR="00230165" w:rsidRDefault="00230165" w:rsidP="007676B8">
            <w:pPr>
              <w:spacing w:before="0" w:after="0" w:line="276" w:lineRule="auto"/>
              <w:rPr>
                <w:lang w:eastAsia="en-GB"/>
              </w:rPr>
            </w:pPr>
          </w:p>
        </w:tc>
      </w:tr>
      <w:tr w:rsidR="00230165" w14:paraId="5C839C47" w14:textId="77777777" w:rsidTr="008E7B63">
        <w:trPr>
          <w:trHeight w:val="424"/>
        </w:trPr>
        <w:tc>
          <w:tcPr>
            <w:tcW w:w="85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4D8B3B8" w14:textId="77777777" w:rsidR="00230165" w:rsidRDefault="00230165" w:rsidP="007676B8">
            <w:pPr>
              <w:spacing w:before="0" w:after="0" w:line="276" w:lineRule="auto"/>
              <w:rPr>
                <w:lang w:eastAsia="en-GB"/>
              </w:rPr>
            </w:pPr>
            <w:r>
              <w:t>No. subject to off-payroll legislation and determined as out of scope of IR35</w:t>
            </w:r>
            <w:r>
              <w:rPr>
                <w:vertAlign w:val="superscript"/>
              </w:rPr>
              <w:t>(2)</w:t>
            </w:r>
          </w:p>
        </w:tc>
        <w:tc>
          <w:tcPr>
            <w:tcW w:w="567"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14:paraId="58735B54" w14:textId="77777777" w:rsidR="00230165" w:rsidRDefault="00230165" w:rsidP="007676B8">
            <w:pPr>
              <w:spacing w:before="0" w:after="0" w:line="276" w:lineRule="auto"/>
              <w:rPr>
                <w:lang w:eastAsia="en-GB"/>
              </w:rPr>
            </w:pPr>
            <w:r>
              <w:rPr>
                <w:lang w:eastAsia="en-GB"/>
              </w:rPr>
              <w:t>3</w:t>
            </w:r>
          </w:p>
        </w:tc>
      </w:tr>
      <w:tr w:rsidR="00230165" w14:paraId="154FBEA6" w14:textId="77777777" w:rsidTr="008E7B63">
        <w:trPr>
          <w:trHeight w:val="424"/>
        </w:trPr>
        <w:tc>
          <w:tcPr>
            <w:tcW w:w="85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00F25D0" w14:textId="77777777" w:rsidR="00230165" w:rsidRDefault="00230165" w:rsidP="007676B8">
            <w:pPr>
              <w:spacing w:before="0" w:after="0" w:line="276" w:lineRule="auto"/>
              <w:rPr>
                <w:lang w:eastAsia="en-GB"/>
              </w:rPr>
            </w:pPr>
            <w:r>
              <w:t>the number of engagements reassessed for compliance or assurance purposes during the year</w:t>
            </w:r>
          </w:p>
        </w:tc>
        <w:tc>
          <w:tcPr>
            <w:tcW w:w="567" w:type="dxa"/>
            <w:tcBorders>
              <w:top w:val="nil"/>
              <w:left w:val="nil"/>
              <w:bottom w:val="single" w:sz="8" w:space="0" w:color="000000"/>
              <w:right w:val="single" w:sz="8" w:space="0" w:color="000000"/>
            </w:tcBorders>
            <w:noWrap/>
            <w:tcMar>
              <w:top w:w="0" w:type="dxa"/>
              <w:left w:w="108" w:type="dxa"/>
              <w:bottom w:w="0" w:type="dxa"/>
              <w:right w:w="108" w:type="dxa"/>
            </w:tcMar>
            <w:vAlign w:val="center"/>
          </w:tcPr>
          <w:p w14:paraId="202A641F" w14:textId="77777777" w:rsidR="00230165" w:rsidRDefault="00230165" w:rsidP="007676B8">
            <w:pPr>
              <w:spacing w:before="0" w:after="0" w:line="276" w:lineRule="auto"/>
              <w:rPr>
                <w:lang w:eastAsia="en-GB"/>
              </w:rPr>
            </w:pPr>
          </w:p>
        </w:tc>
      </w:tr>
      <w:tr w:rsidR="00230165" w14:paraId="4FB523C1" w14:textId="77777777" w:rsidTr="008E7B63">
        <w:trPr>
          <w:trHeight w:val="424"/>
        </w:trPr>
        <w:tc>
          <w:tcPr>
            <w:tcW w:w="85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F51A16D" w14:textId="77777777" w:rsidR="00230165" w:rsidRDefault="00230165" w:rsidP="007676B8">
            <w:pPr>
              <w:spacing w:before="0" w:after="0" w:line="276" w:lineRule="auto"/>
              <w:rPr>
                <w:lang w:eastAsia="en-GB"/>
              </w:rPr>
            </w:pPr>
            <w:r>
              <w:t>Of which: no. of engagements that saw a change to IR35 status following review</w:t>
            </w:r>
          </w:p>
        </w:tc>
        <w:tc>
          <w:tcPr>
            <w:tcW w:w="567" w:type="dxa"/>
            <w:tcBorders>
              <w:top w:val="nil"/>
              <w:left w:val="nil"/>
              <w:bottom w:val="single" w:sz="8" w:space="0" w:color="000000"/>
              <w:right w:val="single" w:sz="8" w:space="0" w:color="000000"/>
            </w:tcBorders>
            <w:noWrap/>
            <w:tcMar>
              <w:top w:w="0" w:type="dxa"/>
              <w:left w:w="108" w:type="dxa"/>
              <w:bottom w:w="0" w:type="dxa"/>
              <w:right w:w="108" w:type="dxa"/>
            </w:tcMar>
            <w:vAlign w:val="center"/>
          </w:tcPr>
          <w:p w14:paraId="69AA9222" w14:textId="77777777" w:rsidR="00230165" w:rsidRDefault="00230165" w:rsidP="007676B8">
            <w:pPr>
              <w:spacing w:before="0" w:after="0" w:line="276" w:lineRule="auto"/>
              <w:rPr>
                <w:lang w:eastAsia="en-GB"/>
              </w:rPr>
            </w:pPr>
          </w:p>
        </w:tc>
      </w:tr>
    </w:tbl>
    <w:p w14:paraId="73297130" w14:textId="77777777" w:rsidR="00230165" w:rsidRPr="007676B8" w:rsidRDefault="00230165" w:rsidP="00230165">
      <w:pPr>
        <w:rPr>
          <w:rFonts w:cs="Arial"/>
          <w:i/>
          <w:iCs/>
          <w:sz w:val="20"/>
          <w:szCs w:val="20"/>
        </w:rPr>
      </w:pPr>
      <w:r w:rsidRPr="007676B8">
        <w:rPr>
          <w:i/>
          <w:iCs/>
          <w:sz w:val="20"/>
          <w:szCs w:val="20"/>
          <w:vertAlign w:val="superscript"/>
        </w:rPr>
        <w:t>(1)</w:t>
      </w:r>
      <w:r w:rsidRPr="007676B8">
        <w:rPr>
          <w:i/>
          <w:iCs/>
          <w:sz w:val="20"/>
          <w:szCs w:val="20"/>
        </w:rPr>
        <w:t xml:space="preserve"> The £245 threshold is set to approximate the minimum point of the pay scale for a Senior Civil Servant. </w:t>
      </w:r>
    </w:p>
    <w:p w14:paraId="17E8229F" w14:textId="220805D9" w:rsidR="00230165" w:rsidRPr="007676B8" w:rsidRDefault="00230165" w:rsidP="00230165">
      <w:pPr>
        <w:rPr>
          <w:i/>
          <w:iCs/>
          <w:sz w:val="20"/>
          <w:szCs w:val="20"/>
        </w:rPr>
      </w:pPr>
      <w:r w:rsidRPr="007676B8">
        <w:rPr>
          <w:i/>
          <w:iCs/>
          <w:sz w:val="20"/>
          <w:szCs w:val="20"/>
          <w:vertAlign w:val="superscript"/>
        </w:rPr>
        <w:t>(2)</w:t>
      </w:r>
      <w:r w:rsidRPr="007676B8">
        <w:rPr>
          <w:i/>
          <w:iCs/>
          <w:sz w:val="20"/>
          <w:szCs w:val="20"/>
        </w:rPr>
        <w:t xml:space="preserve"> A worker that provides their services through their own limited company or another type of intermediary to the client will be subject to off-payroll legislation and the Department must undertake an assessment to determine whether that worker is in-scope of Intermediaries legislation (IR35) or out-of-scope for tax purposes.</w:t>
      </w:r>
    </w:p>
    <w:p w14:paraId="3F84DBB1" w14:textId="77777777" w:rsidR="00230165" w:rsidRDefault="00230165" w:rsidP="00CA60F1">
      <w:pPr>
        <w:jc w:val="both"/>
      </w:pPr>
      <w:bookmarkStart w:id="268" w:name="_Hlk106791264"/>
      <w:r>
        <w:rPr>
          <w:b/>
          <w:bCs/>
        </w:rPr>
        <w:t>Table 3:</w:t>
      </w:r>
      <w:r>
        <w:t xml:space="preserve"> Off-payroll engagements / senior official engagements</w:t>
      </w:r>
    </w:p>
    <w:p w14:paraId="66ECFC66" w14:textId="77777777" w:rsidR="00230165" w:rsidRDefault="00230165" w:rsidP="00CA60F1">
      <w:pPr>
        <w:jc w:val="both"/>
      </w:pPr>
      <w:r>
        <w:t>For any off-payroll engagements of Board members and / or senior officials with significant financial responsibility, between 01 April 2021 and 31 March 2022:</w:t>
      </w:r>
    </w:p>
    <w:tbl>
      <w:tblPr>
        <w:tblW w:w="8381" w:type="dxa"/>
        <w:jc w:val="center"/>
        <w:tblCellMar>
          <w:left w:w="0" w:type="dxa"/>
          <w:right w:w="0" w:type="dxa"/>
        </w:tblCellMar>
        <w:tblLook w:val="04A0" w:firstRow="1" w:lastRow="0" w:firstColumn="1" w:lastColumn="0" w:noHBand="0" w:noVBand="1"/>
      </w:tblPr>
      <w:tblGrid>
        <w:gridCol w:w="6836"/>
        <w:gridCol w:w="1545"/>
      </w:tblGrid>
      <w:tr w:rsidR="00230165" w14:paraId="06117B32" w14:textId="77777777" w:rsidTr="00230165">
        <w:trPr>
          <w:trHeight w:val="709"/>
          <w:jc w:val="center"/>
        </w:trPr>
        <w:tc>
          <w:tcPr>
            <w:tcW w:w="6836" w:type="dxa"/>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C9BD2DC" w14:textId="77777777" w:rsidR="00230165" w:rsidRDefault="00230165" w:rsidP="00CA60F1">
            <w:pPr>
              <w:spacing w:before="120" w:after="120" w:line="276" w:lineRule="auto"/>
              <w:jc w:val="both"/>
              <w:rPr>
                <w:lang w:eastAsia="en-GB"/>
              </w:rPr>
            </w:pPr>
            <w:r>
              <w:rPr>
                <w:lang w:eastAsia="en-GB"/>
              </w:rPr>
              <w:t xml:space="preserve">Number of off-payroll engagements of board members, and/or senior officers with significant financial responsibility, during the financial year </w:t>
            </w:r>
            <w:r>
              <w:rPr>
                <w:vertAlign w:val="superscript"/>
                <w:lang w:eastAsia="en-GB"/>
              </w:rPr>
              <w:t>(1)</w:t>
            </w:r>
          </w:p>
        </w:tc>
        <w:tc>
          <w:tcPr>
            <w:tcW w:w="1545" w:type="dxa"/>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vAlign w:val="center"/>
            <w:hideMark/>
          </w:tcPr>
          <w:p w14:paraId="70F51AC9" w14:textId="77777777" w:rsidR="00230165" w:rsidRDefault="00230165" w:rsidP="00CA60F1">
            <w:pPr>
              <w:spacing w:before="120" w:after="120" w:line="276" w:lineRule="auto"/>
              <w:jc w:val="both"/>
              <w:rPr>
                <w:lang w:eastAsia="en-GB"/>
              </w:rPr>
            </w:pPr>
            <w:r>
              <w:rPr>
                <w:lang w:eastAsia="en-GB"/>
              </w:rPr>
              <w:t>0</w:t>
            </w:r>
          </w:p>
        </w:tc>
      </w:tr>
      <w:tr w:rsidR="00230165" w14:paraId="3096E7FE" w14:textId="77777777" w:rsidTr="00230165">
        <w:trPr>
          <w:trHeight w:val="1144"/>
          <w:jc w:val="center"/>
        </w:trPr>
        <w:tc>
          <w:tcPr>
            <w:tcW w:w="6836" w:type="dxa"/>
            <w:tcBorders>
              <w:top w:val="nil"/>
              <w:left w:val="single" w:sz="8" w:space="0" w:color="auto"/>
              <w:bottom w:val="single" w:sz="8" w:space="0" w:color="auto"/>
              <w:right w:val="nil"/>
            </w:tcBorders>
            <w:tcMar>
              <w:top w:w="0" w:type="dxa"/>
              <w:left w:w="108" w:type="dxa"/>
              <w:bottom w:w="0" w:type="dxa"/>
              <w:right w:w="108" w:type="dxa"/>
            </w:tcMar>
            <w:vAlign w:val="center"/>
            <w:hideMark/>
          </w:tcPr>
          <w:p w14:paraId="67AFEF79" w14:textId="77777777" w:rsidR="00230165" w:rsidRDefault="00230165" w:rsidP="00CA60F1">
            <w:pPr>
              <w:spacing w:before="120" w:after="120" w:line="276" w:lineRule="auto"/>
              <w:jc w:val="both"/>
              <w:rPr>
                <w:lang w:eastAsia="en-GB"/>
              </w:rPr>
            </w:pPr>
            <w:r>
              <w:rPr>
                <w:lang w:eastAsia="en-GB"/>
              </w:rPr>
              <w:t xml:space="preserve">Total no. of individuals on payroll and off-payroll that have been deemed “board members, and/or, senior officials with significant financial responsibility”, during the financial year. This figure should include both on payroll and off-payroll engagements. </w:t>
            </w:r>
            <w:r>
              <w:rPr>
                <w:vertAlign w:val="superscript"/>
                <w:lang w:eastAsia="en-GB"/>
              </w:rPr>
              <w:t>(2)</w:t>
            </w:r>
          </w:p>
        </w:tc>
        <w:tc>
          <w:tcPr>
            <w:tcW w:w="1545" w:type="dxa"/>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hideMark/>
          </w:tcPr>
          <w:p w14:paraId="6382EBA4" w14:textId="53B38D2D" w:rsidR="00230165" w:rsidRPr="00680F94" w:rsidRDefault="00680F94" w:rsidP="00CA60F1">
            <w:pPr>
              <w:spacing w:before="120" w:after="120" w:line="276" w:lineRule="auto"/>
              <w:jc w:val="both"/>
              <w:rPr>
                <w:lang w:eastAsia="en-GB"/>
              </w:rPr>
            </w:pPr>
            <w:r w:rsidRPr="00680F94">
              <w:rPr>
                <w:lang w:eastAsia="en-GB"/>
              </w:rPr>
              <w:t>24</w:t>
            </w:r>
          </w:p>
        </w:tc>
      </w:tr>
    </w:tbl>
    <w:bookmarkEnd w:id="268"/>
    <w:p w14:paraId="284EC6F4" w14:textId="77777777" w:rsidR="00230165" w:rsidRPr="007676B8" w:rsidRDefault="00230165" w:rsidP="007676B8">
      <w:pPr>
        <w:spacing w:before="120"/>
        <w:rPr>
          <w:rFonts w:cs="Arial"/>
          <w:i/>
          <w:iCs/>
          <w:sz w:val="20"/>
          <w:szCs w:val="20"/>
        </w:rPr>
      </w:pPr>
      <w:r>
        <w:rPr>
          <w:highlight w:val="yellow"/>
        </w:rPr>
        <w:br/>
      </w:r>
      <w:r w:rsidRPr="007676B8">
        <w:rPr>
          <w:i/>
          <w:iCs/>
          <w:sz w:val="20"/>
          <w:szCs w:val="20"/>
          <w:vertAlign w:val="superscript"/>
        </w:rPr>
        <w:t>1</w:t>
      </w:r>
      <w:r w:rsidRPr="007676B8">
        <w:rPr>
          <w:i/>
          <w:iCs/>
          <w:sz w:val="20"/>
          <w:szCs w:val="20"/>
        </w:rPr>
        <w:t>There should only be a very small number of off-payroll engagements of board members and/or senior officials with significant financial responsibility, permitted only in exceptional circumstances and for no more than six months</w:t>
      </w:r>
    </w:p>
    <w:p w14:paraId="713343A6" w14:textId="77777777" w:rsidR="00230165" w:rsidRPr="007676B8" w:rsidRDefault="00230165" w:rsidP="00230165">
      <w:pPr>
        <w:rPr>
          <w:rFonts w:ascii="Calibri" w:hAnsi="Calibri" w:cs="Calibri"/>
          <w:i/>
          <w:iCs/>
          <w:sz w:val="20"/>
          <w:szCs w:val="20"/>
        </w:rPr>
      </w:pPr>
      <w:r w:rsidRPr="007676B8">
        <w:rPr>
          <w:i/>
          <w:iCs/>
          <w:sz w:val="20"/>
          <w:szCs w:val="20"/>
          <w:vertAlign w:val="superscript"/>
        </w:rPr>
        <w:t>2</w:t>
      </w:r>
      <w:r w:rsidRPr="007676B8">
        <w:rPr>
          <w:i/>
          <w:iCs/>
          <w:sz w:val="20"/>
          <w:szCs w:val="20"/>
        </w:rPr>
        <w:t>As both on payroll and off-payroll engagements are included in the total figure, no entries here should be blank or zero.</w:t>
      </w:r>
    </w:p>
    <w:p w14:paraId="56B71C4F" w14:textId="77777777" w:rsidR="00230165" w:rsidRDefault="00230165" w:rsidP="00230165">
      <w:bookmarkStart w:id="269" w:name="_Hlk106114324"/>
      <w:r>
        <w:t>In any cases where individuals are included within the first row of this table the CCG should set out:</w:t>
      </w:r>
    </w:p>
    <w:p w14:paraId="49C5D6D8" w14:textId="77777777" w:rsidR="00230165" w:rsidRDefault="00230165" w:rsidP="000D3041">
      <w:pPr>
        <w:numPr>
          <w:ilvl w:val="0"/>
          <w:numId w:val="23"/>
        </w:numPr>
        <w:rPr>
          <w:rFonts w:eastAsia="Times New Roman"/>
        </w:rPr>
      </w:pPr>
      <w:r>
        <w:rPr>
          <w:rFonts w:eastAsia="Times New Roman"/>
        </w:rPr>
        <w:t>Details of the exceptional circumstances that led to each of these arrangements.</w:t>
      </w:r>
    </w:p>
    <w:p w14:paraId="45CFF5A2" w14:textId="77777777" w:rsidR="00230165" w:rsidRDefault="00230165" w:rsidP="000D3041">
      <w:pPr>
        <w:numPr>
          <w:ilvl w:val="0"/>
          <w:numId w:val="23"/>
        </w:numPr>
        <w:rPr>
          <w:rFonts w:eastAsia="Times New Roman"/>
        </w:rPr>
      </w:pPr>
      <w:r>
        <w:rPr>
          <w:rFonts w:eastAsia="Times New Roman"/>
        </w:rPr>
        <w:t>Details of the length of time each of these exceptional engagements lasted.</w:t>
      </w:r>
    </w:p>
    <w:p w14:paraId="51619D73" w14:textId="75DB0B9F" w:rsidR="0046533C" w:rsidRPr="0046533C" w:rsidRDefault="0046533C" w:rsidP="00797528">
      <w:pPr>
        <w:pStyle w:val="Heading3"/>
      </w:pPr>
      <w:bookmarkStart w:id="270" w:name="_Toc107389501"/>
      <w:bookmarkEnd w:id="269"/>
      <w:r w:rsidRPr="0046533C">
        <w:t>Exit packages, including special (non-contractual) payments</w:t>
      </w:r>
      <w:bookmarkEnd w:id="266"/>
      <w:bookmarkEnd w:id="267"/>
      <w:bookmarkEnd w:id="270"/>
      <w:r w:rsidR="00F53FF5">
        <w:t xml:space="preserve"> </w:t>
      </w:r>
    </w:p>
    <w:p w14:paraId="4C7D2E07" w14:textId="4605D0EE" w:rsidR="006B400B" w:rsidRDefault="008D592D" w:rsidP="0046533C">
      <w:r>
        <w:t>There have been no exit packages in 2021/2</w:t>
      </w:r>
      <w:r w:rsidR="00157F13">
        <w:t>2</w:t>
      </w:r>
      <w:r w:rsidR="00293377">
        <w:t>.</w:t>
      </w:r>
    </w:p>
    <w:p w14:paraId="018A2A43" w14:textId="20D0A34D" w:rsidR="006B400B" w:rsidRDefault="006B400B">
      <w:pPr>
        <w:spacing w:before="0" w:after="200" w:line="276" w:lineRule="auto"/>
      </w:pPr>
      <w:r>
        <w:br w:type="page"/>
      </w:r>
    </w:p>
    <w:p w14:paraId="6491AA65" w14:textId="77777777" w:rsidR="006B400B" w:rsidRPr="008E6732" w:rsidRDefault="006B400B" w:rsidP="006B400B">
      <w:pPr>
        <w:pStyle w:val="Heading1"/>
      </w:pPr>
      <w:bookmarkStart w:id="271" w:name="_Toc94188232"/>
      <w:bookmarkStart w:id="272" w:name="_Toc97218385"/>
      <w:bookmarkStart w:id="273" w:name="_Toc107389502"/>
      <w:r w:rsidRPr="008E6732">
        <w:t>Parliamentary Accountability and Audit Report</w:t>
      </w:r>
      <w:bookmarkEnd w:id="271"/>
      <w:bookmarkEnd w:id="272"/>
      <w:bookmarkEnd w:id="273"/>
    </w:p>
    <w:p w14:paraId="4342C5CC" w14:textId="40FE970A" w:rsidR="006B400B" w:rsidRPr="008E6732" w:rsidRDefault="006B400B" w:rsidP="006B400B">
      <w:r>
        <w:t>Basildon and Brentwood</w:t>
      </w:r>
      <w:r w:rsidRPr="006B400B">
        <w:t xml:space="preserve"> CCG</w:t>
      </w:r>
      <w:r w:rsidRPr="008E6732">
        <w:t xml:space="preserve"> is not required to produce a Parliamentary Accountability and Audit Report but has opted to include disclosures on remote contingent liabilities, losses and special payments, gifts, and fees and charges in this Accountability Report </w:t>
      </w:r>
      <w:r w:rsidRPr="00CF16BF">
        <w:t>at page</w:t>
      </w:r>
      <w:r w:rsidR="00535D6D" w:rsidRPr="00CF16BF">
        <w:t xml:space="preserve"> </w:t>
      </w:r>
      <w:r w:rsidR="00FF52FF">
        <w:t>117</w:t>
      </w:r>
      <w:r w:rsidRPr="00CF16BF">
        <w:t xml:space="preserve">. An audit certificate and report is also included in this Annual Report at page </w:t>
      </w:r>
      <w:r w:rsidR="00853548" w:rsidRPr="00CF16BF">
        <w:t>11</w:t>
      </w:r>
      <w:r w:rsidR="00D32C49">
        <w:t>8</w:t>
      </w:r>
      <w:r w:rsidRPr="00CF16BF">
        <w:t>.</w:t>
      </w:r>
    </w:p>
    <w:p w14:paraId="7F1593EA" w14:textId="5C94AED3" w:rsidR="006B400B" w:rsidRDefault="006B400B">
      <w:pPr>
        <w:spacing w:before="0" w:after="200" w:line="276" w:lineRule="auto"/>
      </w:pPr>
      <w:r>
        <w:br w:type="page"/>
      </w:r>
    </w:p>
    <w:p w14:paraId="67A427FF" w14:textId="77777777" w:rsidR="006B400B" w:rsidRPr="007B2EDF" w:rsidRDefault="006B400B" w:rsidP="006B400B">
      <w:pPr>
        <w:pStyle w:val="Heading1"/>
      </w:pPr>
      <w:bookmarkStart w:id="274" w:name="_Toc107389503"/>
      <w:r w:rsidRPr="007B2EDF">
        <w:t>ANNUAL ACCOUNTS</w:t>
      </w:r>
      <w:bookmarkEnd w:id="274"/>
      <w:r w:rsidRPr="007B2EDF">
        <w:t xml:space="preserve"> </w:t>
      </w:r>
    </w:p>
    <w:p w14:paraId="1F9F4E96" w14:textId="77777777" w:rsidR="006B400B" w:rsidRPr="00D47C41" w:rsidRDefault="006B400B" w:rsidP="006B400B"/>
    <w:p w14:paraId="3D968804" w14:textId="77777777" w:rsidR="006B400B" w:rsidRPr="00D47C41" w:rsidRDefault="006B400B" w:rsidP="006B400B">
      <w:pPr>
        <w:pStyle w:val="BodyText"/>
      </w:pPr>
    </w:p>
    <w:p w14:paraId="52ECCBC8" w14:textId="77777777" w:rsidR="006B400B" w:rsidRPr="00D47C41" w:rsidRDefault="006B400B" w:rsidP="006B400B"/>
    <w:p w14:paraId="615298B0" w14:textId="77777777" w:rsidR="006B400B" w:rsidRPr="00D47C41" w:rsidRDefault="006B400B" w:rsidP="006B400B"/>
    <w:p w14:paraId="38B87A65" w14:textId="77777777" w:rsidR="006B400B" w:rsidRPr="00D47C41" w:rsidRDefault="006B400B" w:rsidP="006B400B"/>
    <w:p w14:paraId="183C4218" w14:textId="77777777" w:rsidR="006B400B" w:rsidRPr="00D47C41" w:rsidRDefault="006B400B" w:rsidP="006B400B"/>
    <w:p w14:paraId="5AC05E8B" w14:textId="77777777" w:rsidR="006B400B" w:rsidRPr="00D47C41" w:rsidRDefault="006B400B" w:rsidP="006B400B"/>
    <w:p w14:paraId="20F7F3CF" w14:textId="77777777" w:rsidR="006B400B" w:rsidRPr="00D47C41" w:rsidRDefault="006B400B" w:rsidP="006B400B"/>
    <w:p w14:paraId="0CFD2672" w14:textId="77777777" w:rsidR="006B400B" w:rsidRDefault="006B400B" w:rsidP="006B400B"/>
    <w:p w14:paraId="66B899E3" w14:textId="77777777" w:rsidR="006B400B" w:rsidRDefault="006B400B" w:rsidP="006B400B"/>
    <w:p w14:paraId="52F47553" w14:textId="77777777" w:rsidR="006B400B" w:rsidRDefault="006B400B" w:rsidP="006B400B"/>
    <w:p w14:paraId="0745E585" w14:textId="77777777" w:rsidR="006B400B" w:rsidRDefault="006B400B" w:rsidP="006B400B"/>
    <w:p w14:paraId="1F82D62B" w14:textId="77777777" w:rsidR="006B400B" w:rsidRDefault="006B400B" w:rsidP="006B400B"/>
    <w:p w14:paraId="795EE198" w14:textId="77777777" w:rsidR="006B400B" w:rsidRDefault="006B400B" w:rsidP="006B400B"/>
    <w:p w14:paraId="48018A57" w14:textId="77777777" w:rsidR="006B400B" w:rsidRDefault="006B400B" w:rsidP="006B400B"/>
    <w:p w14:paraId="539F8818" w14:textId="77777777" w:rsidR="000D3041" w:rsidRDefault="000D3041" w:rsidP="000D3041">
      <w:pPr>
        <w:spacing w:before="120"/>
        <w:jc w:val="both"/>
      </w:pPr>
      <w:r w:rsidRPr="00677065">
        <w:t xml:space="preserve">I confirm that the </w:t>
      </w:r>
      <w:r>
        <w:t>annual accounts adhere</w:t>
      </w:r>
      <w:r w:rsidRPr="00677065">
        <w:t xml:space="preserve"> to the reporting framework.</w:t>
      </w:r>
    </w:p>
    <w:p w14:paraId="3E390AD7" w14:textId="2D61BFA2" w:rsidR="008E7B63" w:rsidRDefault="008E7B63" w:rsidP="006B400B"/>
    <w:p w14:paraId="6E1DAEC6" w14:textId="06A17291" w:rsidR="006B400B" w:rsidRPr="00D47C41" w:rsidRDefault="006F0C9C" w:rsidP="006B400B">
      <w:r w:rsidRPr="00573B5A">
        <w:rPr>
          <w:rFonts w:eastAsia="Calibri" w:cs="Arial"/>
          <w:noProof/>
          <w:color w:val="1F497D"/>
          <w:lang w:eastAsia="en-GB"/>
        </w:rPr>
        <w:drawing>
          <wp:inline distT="0" distB="0" distL="0" distR="0" wp14:anchorId="7AB4EB2E" wp14:editId="09AF40FF">
            <wp:extent cx="1617345" cy="682625"/>
            <wp:effectExtent l="0" t="0" r="1905" b="3175"/>
            <wp:docPr id="20" name="Picture 20" descr="cid:image002.jpg@01D62849.D4F1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62849.D4F1AC2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617345" cy="682625"/>
                    </a:xfrm>
                    <a:prstGeom prst="rect">
                      <a:avLst/>
                    </a:prstGeom>
                    <a:noFill/>
                    <a:ln>
                      <a:noFill/>
                    </a:ln>
                  </pic:spPr>
                </pic:pic>
              </a:graphicData>
            </a:graphic>
          </wp:inline>
        </w:drawing>
      </w:r>
    </w:p>
    <w:p w14:paraId="03C6C5AA" w14:textId="77777777" w:rsidR="006B400B" w:rsidRPr="007830C3" w:rsidRDefault="006B400B" w:rsidP="006B400B">
      <w:pPr>
        <w:spacing w:before="0" w:after="0"/>
        <w:rPr>
          <w:b/>
        </w:rPr>
      </w:pPr>
      <w:bookmarkStart w:id="275" w:name="_Hlk106264744"/>
      <w:bookmarkStart w:id="276" w:name="_Hlk95729194"/>
      <w:r w:rsidRPr="007830C3">
        <w:rPr>
          <w:b/>
        </w:rPr>
        <w:t>Anthony McKeever</w:t>
      </w:r>
    </w:p>
    <w:p w14:paraId="7B99B53D" w14:textId="77777777" w:rsidR="006B400B" w:rsidRPr="00C15CB5" w:rsidRDefault="006B400B" w:rsidP="006B400B">
      <w:pPr>
        <w:spacing w:before="0" w:after="0"/>
      </w:pPr>
      <w:r w:rsidRPr="00C15CB5">
        <w:t>Joint Accountable Officer, Mid and South Essex CCGs</w:t>
      </w:r>
    </w:p>
    <w:p w14:paraId="52CAE4FD" w14:textId="77777777" w:rsidR="006B400B" w:rsidRPr="00D1360D" w:rsidRDefault="006B400B" w:rsidP="006B400B">
      <w:pPr>
        <w:pStyle w:val="BodyText"/>
        <w:spacing w:before="0"/>
        <w:rPr>
          <w:rFonts w:eastAsia="MS Gothic"/>
          <w:b/>
          <w:bCs/>
          <w:color w:val="4F81BD"/>
        </w:rPr>
      </w:pPr>
      <w:bookmarkStart w:id="277" w:name="_Toc97218387"/>
      <w:r w:rsidRPr="00C15CB5">
        <w:t>Executive Lead, Mid and South Essex Health and Care Partnership</w:t>
      </w:r>
      <w:bookmarkEnd w:id="277"/>
    </w:p>
    <w:bookmarkEnd w:id="275"/>
    <w:p w14:paraId="4CBF9341" w14:textId="5D77C08C" w:rsidR="006B400B" w:rsidRDefault="00A42E55" w:rsidP="006B400B">
      <w:pPr>
        <w:spacing w:before="0" w:after="0"/>
        <w:rPr>
          <w:rFonts w:eastAsia="Calibri"/>
        </w:rPr>
      </w:pPr>
      <w:r>
        <w:rPr>
          <w:rFonts w:eastAsia="Calibri"/>
        </w:rPr>
        <w:t>29</w:t>
      </w:r>
      <w:r w:rsidR="006B400B" w:rsidRPr="00A42E55">
        <w:rPr>
          <w:rFonts w:eastAsia="Calibri"/>
        </w:rPr>
        <w:t xml:space="preserve"> June 2022</w:t>
      </w:r>
    </w:p>
    <w:bookmarkEnd w:id="276"/>
    <w:p w14:paraId="4F03B037" w14:textId="293BC632" w:rsidR="006B400B" w:rsidRDefault="006B400B">
      <w:pPr>
        <w:spacing w:before="0" w:after="200" w:line="276" w:lineRule="auto"/>
      </w:pPr>
    </w:p>
    <w:p w14:paraId="03227378" w14:textId="2E63E2A0" w:rsidR="009676BC" w:rsidRDefault="002D05AC" w:rsidP="0046533C">
      <w:r>
        <w:rPr>
          <w:noProof/>
        </w:rPr>
        <w:drawing>
          <wp:inline distT="0" distB="0" distL="0" distR="0" wp14:anchorId="48F9D95C" wp14:editId="1B9C8AE5">
            <wp:extent cx="5731510" cy="5975350"/>
            <wp:effectExtent l="0" t="0" r="254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5975350"/>
                    </a:xfrm>
                    <a:prstGeom prst="rect">
                      <a:avLst/>
                    </a:prstGeom>
                  </pic:spPr>
                </pic:pic>
              </a:graphicData>
            </a:graphic>
          </wp:inline>
        </w:drawing>
      </w:r>
    </w:p>
    <w:p w14:paraId="64BC7C16" w14:textId="77777777" w:rsidR="009676BC" w:rsidRDefault="009676BC">
      <w:pPr>
        <w:spacing w:before="0" w:after="200" w:line="276" w:lineRule="auto"/>
      </w:pPr>
      <w:r>
        <w:br w:type="page"/>
      </w:r>
    </w:p>
    <w:p w14:paraId="089F2193" w14:textId="77777777" w:rsidR="009676BC" w:rsidRDefault="009676BC">
      <w:pPr>
        <w:spacing w:before="0" w:after="200" w:line="276" w:lineRule="auto"/>
      </w:pPr>
      <w:r>
        <w:rPr>
          <w:noProof/>
        </w:rPr>
        <w:drawing>
          <wp:inline distT="0" distB="0" distL="0" distR="0" wp14:anchorId="49769CB2" wp14:editId="225A37F9">
            <wp:extent cx="5731510" cy="36518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651885"/>
                    </a:xfrm>
                    <a:prstGeom prst="rect">
                      <a:avLst/>
                    </a:prstGeom>
                  </pic:spPr>
                </pic:pic>
              </a:graphicData>
            </a:graphic>
          </wp:inline>
        </w:drawing>
      </w:r>
    </w:p>
    <w:p w14:paraId="24F5EE82" w14:textId="0C317D35" w:rsidR="009676BC" w:rsidRDefault="009676BC">
      <w:pPr>
        <w:spacing w:before="0" w:after="200" w:line="276" w:lineRule="auto"/>
      </w:pPr>
      <w:r>
        <w:t xml:space="preserve">  </w:t>
      </w:r>
      <w:r>
        <w:rPr>
          <w:sz w:val="20"/>
          <w:szCs w:val="20"/>
        </w:rPr>
        <w:t xml:space="preserve">The notes on pages </w:t>
      </w:r>
      <w:r w:rsidR="002D05AC" w:rsidRPr="00CF16BF">
        <w:rPr>
          <w:sz w:val="20"/>
          <w:szCs w:val="20"/>
        </w:rPr>
        <w:t>101</w:t>
      </w:r>
      <w:r w:rsidRPr="00CF16BF">
        <w:rPr>
          <w:sz w:val="20"/>
          <w:szCs w:val="20"/>
        </w:rPr>
        <w:t xml:space="preserve"> to </w:t>
      </w:r>
      <w:r w:rsidR="002D05AC" w:rsidRPr="00CF16BF">
        <w:rPr>
          <w:sz w:val="20"/>
          <w:szCs w:val="20"/>
        </w:rPr>
        <w:t>117</w:t>
      </w:r>
      <w:r>
        <w:rPr>
          <w:sz w:val="20"/>
          <w:szCs w:val="20"/>
        </w:rPr>
        <w:t xml:space="preserve"> form part of this statement</w:t>
      </w:r>
      <w:r>
        <w:br w:type="page"/>
      </w:r>
    </w:p>
    <w:p w14:paraId="22A6EFDA" w14:textId="77777777" w:rsidR="009676BC" w:rsidRDefault="009676BC">
      <w:pPr>
        <w:spacing w:before="0" w:after="200" w:line="276" w:lineRule="auto"/>
      </w:pPr>
      <w:r>
        <w:rPr>
          <w:noProof/>
        </w:rPr>
        <w:drawing>
          <wp:inline distT="0" distB="0" distL="0" distR="0" wp14:anchorId="28E35431" wp14:editId="3ECC0306">
            <wp:extent cx="5731510" cy="4948555"/>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4948555"/>
                    </a:xfrm>
                    <a:prstGeom prst="rect">
                      <a:avLst/>
                    </a:prstGeom>
                  </pic:spPr>
                </pic:pic>
              </a:graphicData>
            </a:graphic>
          </wp:inline>
        </w:drawing>
      </w:r>
    </w:p>
    <w:p w14:paraId="16B69643" w14:textId="75AF57B0" w:rsidR="002D05AC" w:rsidRPr="00CF16BF" w:rsidRDefault="009676BC" w:rsidP="002D05AC">
      <w:pPr>
        <w:spacing w:before="0" w:after="200" w:line="276" w:lineRule="auto"/>
        <w:rPr>
          <w:sz w:val="20"/>
          <w:szCs w:val="20"/>
        </w:rPr>
      </w:pPr>
      <w:r>
        <w:t xml:space="preserve">   </w:t>
      </w:r>
      <w:r w:rsidR="002D05AC">
        <w:rPr>
          <w:sz w:val="20"/>
          <w:szCs w:val="20"/>
        </w:rPr>
        <w:t xml:space="preserve">The notes on pages </w:t>
      </w:r>
      <w:r w:rsidR="002D05AC" w:rsidRPr="00CF16BF">
        <w:rPr>
          <w:sz w:val="20"/>
          <w:szCs w:val="20"/>
        </w:rPr>
        <w:t>101 to 117 form part of this statement.</w:t>
      </w:r>
    </w:p>
    <w:p w14:paraId="6012F3CB" w14:textId="77777777" w:rsidR="002D05AC" w:rsidRDefault="009676BC" w:rsidP="002D05AC">
      <w:pPr>
        <w:spacing w:before="0" w:after="0" w:line="276" w:lineRule="auto"/>
        <w:rPr>
          <w:sz w:val="20"/>
          <w:szCs w:val="20"/>
        </w:rPr>
      </w:pPr>
      <w:r w:rsidRPr="00CF16BF">
        <w:rPr>
          <w:sz w:val="20"/>
          <w:szCs w:val="20"/>
        </w:rPr>
        <w:t xml:space="preserve">    The financial statements on pages </w:t>
      </w:r>
      <w:r w:rsidR="002D05AC" w:rsidRPr="00CF16BF">
        <w:rPr>
          <w:sz w:val="20"/>
          <w:szCs w:val="20"/>
        </w:rPr>
        <w:t>97</w:t>
      </w:r>
      <w:r w:rsidRPr="00CF16BF">
        <w:rPr>
          <w:sz w:val="20"/>
          <w:szCs w:val="20"/>
        </w:rPr>
        <w:t xml:space="preserve"> to </w:t>
      </w:r>
      <w:r w:rsidR="002D05AC" w:rsidRPr="00CF16BF">
        <w:rPr>
          <w:sz w:val="20"/>
          <w:szCs w:val="20"/>
        </w:rPr>
        <w:t>100</w:t>
      </w:r>
      <w:r>
        <w:rPr>
          <w:sz w:val="20"/>
          <w:szCs w:val="20"/>
        </w:rPr>
        <w:t xml:space="preserve"> were approved by the Governing Body on 20 June </w:t>
      </w:r>
    </w:p>
    <w:p w14:paraId="26E9A174" w14:textId="7C2394EE" w:rsidR="009676BC" w:rsidRDefault="002D05AC" w:rsidP="002D05AC">
      <w:pPr>
        <w:spacing w:before="0" w:after="0" w:line="276" w:lineRule="auto"/>
        <w:rPr>
          <w:sz w:val="20"/>
          <w:szCs w:val="20"/>
        </w:rPr>
      </w:pPr>
      <w:r>
        <w:rPr>
          <w:sz w:val="20"/>
          <w:szCs w:val="20"/>
        </w:rPr>
        <w:t xml:space="preserve">    </w:t>
      </w:r>
      <w:r w:rsidR="009676BC">
        <w:rPr>
          <w:sz w:val="20"/>
          <w:szCs w:val="20"/>
        </w:rPr>
        <w:t>2022 and signed on its behalf by:</w:t>
      </w:r>
    </w:p>
    <w:p w14:paraId="5E1C3F55" w14:textId="7CB678F7" w:rsidR="009676BC" w:rsidRDefault="009676BC" w:rsidP="002D05AC">
      <w:pPr>
        <w:spacing w:before="0" w:after="0" w:line="276" w:lineRule="auto"/>
        <w:rPr>
          <w:sz w:val="20"/>
          <w:szCs w:val="20"/>
        </w:rPr>
      </w:pPr>
    </w:p>
    <w:p w14:paraId="7A639798" w14:textId="77777777" w:rsidR="006F0C9C" w:rsidRDefault="006F0C9C" w:rsidP="00CF16BF">
      <w:pPr>
        <w:spacing w:before="0" w:after="0"/>
        <w:ind w:left="284"/>
        <w:rPr>
          <w:b/>
          <w:sz w:val="20"/>
          <w:szCs w:val="20"/>
        </w:rPr>
      </w:pPr>
      <w:r w:rsidRPr="00573B5A">
        <w:rPr>
          <w:rFonts w:eastAsia="Calibri" w:cs="Arial"/>
          <w:noProof/>
          <w:color w:val="1F497D"/>
          <w:lang w:eastAsia="en-GB"/>
        </w:rPr>
        <w:drawing>
          <wp:inline distT="0" distB="0" distL="0" distR="0" wp14:anchorId="6C7D1758" wp14:editId="15F57B4A">
            <wp:extent cx="1617345" cy="682625"/>
            <wp:effectExtent l="0" t="0" r="1905" b="3175"/>
            <wp:docPr id="21" name="Picture 21" descr="cid:image002.jpg@01D62849.D4F1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62849.D4F1AC2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617345" cy="682625"/>
                    </a:xfrm>
                    <a:prstGeom prst="rect">
                      <a:avLst/>
                    </a:prstGeom>
                    <a:noFill/>
                    <a:ln>
                      <a:noFill/>
                    </a:ln>
                  </pic:spPr>
                </pic:pic>
              </a:graphicData>
            </a:graphic>
          </wp:inline>
        </w:drawing>
      </w:r>
    </w:p>
    <w:p w14:paraId="53A568B3" w14:textId="110B525E" w:rsidR="00CF16BF" w:rsidRPr="00CF16BF" w:rsidRDefault="00CF16BF" w:rsidP="00CF16BF">
      <w:pPr>
        <w:spacing w:before="0" w:after="0"/>
        <w:ind w:left="284"/>
        <w:rPr>
          <w:b/>
          <w:sz w:val="20"/>
          <w:szCs w:val="20"/>
        </w:rPr>
      </w:pPr>
      <w:r w:rsidRPr="00CF16BF">
        <w:rPr>
          <w:b/>
          <w:sz w:val="20"/>
          <w:szCs w:val="20"/>
        </w:rPr>
        <w:t>Anthony McKeever</w:t>
      </w:r>
    </w:p>
    <w:p w14:paraId="0BAE74F2" w14:textId="77777777" w:rsidR="00CF16BF" w:rsidRPr="00CF16BF" w:rsidRDefault="00CF16BF" w:rsidP="00CF16BF">
      <w:pPr>
        <w:spacing w:before="0" w:after="0"/>
        <w:ind w:left="284"/>
        <w:rPr>
          <w:sz w:val="20"/>
          <w:szCs w:val="20"/>
        </w:rPr>
      </w:pPr>
      <w:r w:rsidRPr="00CF16BF">
        <w:rPr>
          <w:sz w:val="20"/>
          <w:szCs w:val="20"/>
        </w:rPr>
        <w:t>Joint Accountable Officer, Mid and South Essex CCGs</w:t>
      </w:r>
    </w:p>
    <w:p w14:paraId="3EC91A31" w14:textId="77777777" w:rsidR="00CF16BF" w:rsidRPr="00CF16BF" w:rsidRDefault="00CF16BF" w:rsidP="00CF16BF">
      <w:pPr>
        <w:pStyle w:val="BodyText"/>
        <w:spacing w:before="0"/>
        <w:ind w:left="284"/>
        <w:rPr>
          <w:rFonts w:eastAsia="MS Gothic"/>
          <w:b/>
          <w:bCs/>
          <w:color w:val="4F81BD"/>
          <w:sz w:val="20"/>
          <w:szCs w:val="20"/>
        </w:rPr>
      </w:pPr>
      <w:r w:rsidRPr="00CF16BF">
        <w:rPr>
          <w:sz w:val="20"/>
          <w:szCs w:val="20"/>
        </w:rPr>
        <w:t>Executive Lead, Mid and South Essex Health and Care Partnership</w:t>
      </w:r>
    </w:p>
    <w:p w14:paraId="43FE9F12" w14:textId="6899E137" w:rsidR="00CF16BF" w:rsidRPr="00CF16BF" w:rsidRDefault="00A42E55" w:rsidP="00CF16BF">
      <w:pPr>
        <w:spacing w:before="0" w:after="0"/>
        <w:ind w:left="284"/>
        <w:rPr>
          <w:rFonts w:eastAsia="Calibri"/>
          <w:sz w:val="20"/>
          <w:szCs w:val="20"/>
        </w:rPr>
      </w:pPr>
      <w:r>
        <w:rPr>
          <w:rFonts w:eastAsia="Calibri"/>
          <w:sz w:val="20"/>
          <w:szCs w:val="20"/>
        </w:rPr>
        <w:t>29</w:t>
      </w:r>
      <w:r w:rsidR="00CF16BF" w:rsidRPr="00A42E55">
        <w:rPr>
          <w:rFonts w:eastAsia="Calibri"/>
          <w:sz w:val="20"/>
          <w:szCs w:val="20"/>
        </w:rPr>
        <w:t xml:space="preserve"> June 2022</w:t>
      </w:r>
    </w:p>
    <w:p w14:paraId="174848DF" w14:textId="4B204FC7" w:rsidR="009676BC" w:rsidRDefault="009676BC">
      <w:pPr>
        <w:spacing w:before="0" w:after="200" w:line="276" w:lineRule="auto"/>
      </w:pPr>
      <w:r>
        <w:br w:type="page"/>
      </w:r>
    </w:p>
    <w:p w14:paraId="43E4CE72" w14:textId="39AFA97C" w:rsidR="009676BC" w:rsidRDefault="00364AD8">
      <w:pPr>
        <w:spacing w:before="0" w:after="200" w:line="276" w:lineRule="auto"/>
      </w:pPr>
      <w:r>
        <w:rPr>
          <w:noProof/>
        </w:rPr>
        <w:drawing>
          <wp:inline distT="0" distB="0" distL="0" distR="0" wp14:anchorId="2305CF64" wp14:editId="739F2025">
            <wp:extent cx="5731510" cy="57080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5708015"/>
                    </a:xfrm>
                    <a:prstGeom prst="rect">
                      <a:avLst/>
                    </a:prstGeom>
                  </pic:spPr>
                </pic:pic>
              </a:graphicData>
            </a:graphic>
          </wp:inline>
        </w:drawing>
      </w:r>
    </w:p>
    <w:p w14:paraId="1243C1CC" w14:textId="77777777" w:rsidR="002D05AC" w:rsidRDefault="002D05AC">
      <w:pPr>
        <w:spacing w:before="0" w:after="200" w:line="276" w:lineRule="auto"/>
        <w:rPr>
          <w:sz w:val="20"/>
          <w:szCs w:val="20"/>
        </w:rPr>
      </w:pPr>
      <w:r>
        <w:rPr>
          <w:sz w:val="20"/>
          <w:szCs w:val="20"/>
        </w:rPr>
        <w:t xml:space="preserve">  </w:t>
      </w:r>
    </w:p>
    <w:p w14:paraId="31A16B0C" w14:textId="4172AA0B" w:rsidR="009676BC" w:rsidRDefault="002D05AC">
      <w:pPr>
        <w:spacing w:before="0" w:after="200" w:line="276" w:lineRule="auto"/>
      </w:pPr>
      <w:r>
        <w:rPr>
          <w:sz w:val="20"/>
          <w:szCs w:val="20"/>
        </w:rPr>
        <w:t xml:space="preserve">  The notes </w:t>
      </w:r>
      <w:r w:rsidRPr="00CF16BF">
        <w:rPr>
          <w:sz w:val="20"/>
          <w:szCs w:val="20"/>
        </w:rPr>
        <w:t>on pages 101 to 117 form</w:t>
      </w:r>
      <w:r>
        <w:rPr>
          <w:sz w:val="20"/>
          <w:szCs w:val="20"/>
        </w:rPr>
        <w:t xml:space="preserve"> part of this statement</w:t>
      </w:r>
      <w:r>
        <w:t xml:space="preserve"> </w:t>
      </w:r>
      <w:r w:rsidR="009676BC">
        <w:br w:type="page"/>
      </w:r>
    </w:p>
    <w:p w14:paraId="12DE1D30" w14:textId="771DD732" w:rsidR="009676BC" w:rsidRDefault="009676BC">
      <w:pPr>
        <w:spacing w:before="0" w:after="200" w:line="276" w:lineRule="auto"/>
      </w:pPr>
      <w:r>
        <w:rPr>
          <w:noProof/>
        </w:rPr>
        <w:drawing>
          <wp:inline distT="0" distB="0" distL="0" distR="0" wp14:anchorId="63654408" wp14:editId="6904C59C">
            <wp:extent cx="5731510" cy="39649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3964940"/>
                    </a:xfrm>
                    <a:prstGeom prst="rect">
                      <a:avLst/>
                    </a:prstGeom>
                  </pic:spPr>
                </pic:pic>
              </a:graphicData>
            </a:graphic>
          </wp:inline>
        </w:drawing>
      </w:r>
    </w:p>
    <w:p w14:paraId="557F6B20" w14:textId="5703E816" w:rsidR="009676BC" w:rsidRDefault="009676BC">
      <w:pPr>
        <w:spacing w:before="0" w:after="200" w:line="276" w:lineRule="auto"/>
      </w:pPr>
      <w:r>
        <w:t xml:space="preserve">  </w:t>
      </w:r>
      <w:r w:rsidR="002D05AC">
        <w:rPr>
          <w:sz w:val="20"/>
          <w:szCs w:val="20"/>
        </w:rPr>
        <w:t xml:space="preserve">The notes on </w:t>
      </w:r>
      <w:r w:rsidR="002D05AC" w:rsidRPr="00CF16BF">
        <w:rPr>
          <w:sz w:val="20"/>
          <w:szCs w:val="20"/>
        </w:rPr>
        <w:t>pages 101 to 117</w:t>
      </w:r>
      <w:r w:rsidR="002D05AC">
        <w:rPr>
          <w:sz w:val="20"/>
          <w:szCs w:val="20"/>
        </w:rPr>
        <w:t xml:space="preserve"> form part of this statement</w:t>
      </w:r>
      <w:r w:rsidR="002D05AC">
        <w:t xml:space="preserve"> </w:t>
      </w:r>
      <w:r>
        <w:br w:type="page"/>
      </w:r>
    </w:p>
    <w:p w14:paraId="791E205D" w14:textId="3AD2AB67" w:rsidR="002C7B8B" w:rsidRDefault="00535D6D">
      <w:pPr>
        <w:spacing w:before="0" w:after="200" w:line="276" w:lineRule="auto"/>
        <w:rPr>
          <w:noProof/>
        </w:rPr>
      </w:pPr>
      <w:r>
        <w:rPr>
          <w:noProof/>
        </w:rPr>
        <w:drawing>
          <wp:inline distT="0" distB="0" distL="0" distR="0" wp14:anchorId="3FACA082" wp14:editId="3DC8CCD9">
            <wp:extent cx="5731510" cy="3763010"/>
            <wp:effectExtent l="0" t="0" r="254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3763010"/>
                    </a:xfrm>
                    <a:prstGeom prst="rect">
                      <a:avLst/>
                    </a:prstGeom>
                  </pic:spPr>
                </pic:pic>
              </a:graphicData>
            </a:graphic>
          </wp:inline>
        </w:drawing>
      </w:r>
      <w:r w:rsidR="001C0336" w:rsidRPr="001C0336">
        <w:rPr>
          <w:noProof/>
        </w:rPr>
        <w:t xml:space="preserve">  </w:t>
      </w:r>
      <w:r>
        <w:rPr>
          <w:noProof/>
        </w:rPr>
        <w:drawing>
          <wp:inline distT="0" distB="0" distL="0" distR="0" wp14:anchorId="3F06559A" wp14:editId="1343F03C">
            <wp:extent cx="5731510" cy="3058795"/>
            <wp:effectExtent l="0" t="0" r="254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3058795"/>
                    </a:xfrm>
                    <a:prstGeom prst="rect">
                      <a:avLst/>
                    </a:prstGeom>
                  </pic:spPr>
                </pic:pic>
              </a:graphicData>
            </a:graphic>
          </wp:inline>
        </w:drawing>
      </w:r>
      <w:r w:rsidR="00227FA9" w:rsidRPr="00227FA9">
        <w:rPr>
          <w:noProof/>
        </w:rPr>
        <w:t xml:space="preserve"> </w:t>
      </w:r>
      <w:r w:rsidR="00227FA9">
        <w:rPr>
          <w:noProof/>
        </w:rPr>
        <w:drawing>
          <wp:inline distT="0" distB="0" distL="0" distR="0" wp14:anchorId="34539FE2" wp14:editId="3379BC7F">
            <wp:extent cx="5731510" cy="63627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636270"/>
                    </a:xfrm>
                    <a:prstGeom prst="rect">
                      <a:avLst/>
                    </a:prstGeom>
                  </pic:spPr>
                </pic:pic>
              </a:graphicData>
            </a:graphic>
          </wp:inline>
        </w:drawing>
      </w:r>
      <w:r w:rsidR="001C0336" w:rsidRPr="001C0336">
        <w:rPr>
          <w:noProof/>
        </w:rPr>
        <w:t xml:space="preserve"> </w:t>
      </w:r>
      <w:r w:rsidR="00227FA9">
        <w:rPr>
          <w:noProof/>
        </w:rPr>
        <w:drawing>
          <wp:inline distT="0" distB="0" distL="0" distR="0" wp14:anchorId="0AC469E9" wp14:editId="0E3CC8E3">
            <wp:extent cx="5731510" cy="124650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1246505"/>
                    </a:xfrm>
                    <a:prstGeom prst="rect">
                      <a:avLst/>
                    </a:prstGeom>
                  </pic:spPr>
                </pic:pic>
              </a:graphicData>
            </a:graphic>
          </wp:inline>
        </w:drawing>
      </w:r>
      <w:r w:rsidR="001C0336">
        <w:rPr>
          <w:noProof/>
        </w:rPr>
        <w:drawing>
          <wp:inline distT="0" distB="0" distL="0" distR="0" wp14:anchorId="21AF1F0F" wp14:editId="5B5C5C7D">
            <wp:extent cx="5731510" cy="358267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3582670"/>
                    </a:xfrm>
                    <a:prstGeom prst="rect">
                      <a:avLst/>
                    </a:prstGeom>
                  </pic:spPr>
                </pic:pic>
              </a:graphicData>
            </a:graphic>
          </wp:inline>
        </w:drawing>
      </w:r>
      <w:r w:rsidR="001C0336" w:rsidRPr="001C0336">
        <w:rPr>
          <w:noProof/>
        </w:rPr>
        <w:t xml:space="preserve"> </w:t>
      </w:r>
      <w:r w:rsidR="001C0336">
        <w:rPr>
          <w:noProof/>
        </w:rPr>
        <w:drawing>
          <wp:inline distT="0" distB="0" distL="0" distR="0" wp14:anchorId="6B5A29AB" wp14:editId="2EC9E7B8">
            <wp:extent cx="5731510" cy="2589530"/>
            <wp:effectExtent l="0" t="0" r="254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2589530"/>
                    </a:xfrm>
                    <a:prstGeom prst="rect">
                      <a:avLst/>
                    </a:prstGeom>
                  </pic:spPr>
                </pic:pic>
              </a:graphicData>
            </a:graphic>
          </wp:inline>
        </w:drawing>
      </w:r>
      <w:r w:rsidR="002C7B8B" w:rsidRPr="002C7B8B">
        <w:rPr>
          <w:noProof/>
        </w:rPr>
        <w:t xml:space="preserve"> </w:t>
      </w:r>
      <w:r w:rsidR="002C7B8B">
        <w:rPr>
          <w:noProof/>
        </w:rPr>
        <w:drawing>
          <wp:inline distT="0" distB="0" distL="0" distR="0" wp14:anchorId="67B01497" wp14:editId="38023EC5">
            <wp:extent cx="5731510" cy="683895"/>
            <wp:effectExtent l="0" t="0" r="254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683895"/>
                    </a:xfrm>
                    <a:prstGeom prst="rect">
                      <a:avLst/>
                    </a:prstGeom>
                  </pic:spPr>
                </pic:pic>
              </a:graphicData>
            </a:graphic>
          </wp:inline>
        </w:drawing>
      </w:r>
    </w:p>
    <w:p w14:paraId="19016393" w14:textId="3AD1471A" w:rsidR="009676BC" w:rsidRDefault="002C7B8B">
      <w:pPr>
        <w:spacing w:before="0" w:after="200" w:line="276" w:lineRule="auto"/>
      </w:pPr>
      <w:r>
        <w:rPr>
          <w:noProof/>
        </w:rPr>
        <w:drawing>
          <wp:inline distT="0" distB="0" distL="0" distR="0" wp14:anchorId="50DF6F78" wp14:editId="4D1784D5">
            <wp:extent cx="5731510" cy="1751330"/>
            <wp:effectExtent l="0" t="0" r="254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1751330"/>
                    </a:xfrm>
                    <a:prstGeom prst="rect">
                      <a:avLst/>
                    </a:prstGeom>
                  </pic:spPr>
                </pic:pic>
              </a:graphicData>
            </a:graphic>
          </wp:inline>
        </w:drawing>
      </w:r>
      <w:r w:rsidR="00227FA9">
        <w:rPr>
          <w:noProof/>
        </w:rPr>
        <w:drawing>
          <wp:inline distT="0" distB="0" distL="0" distR="0" wp14:anchorId="553D7DB0" wp14:editId="60497F1B">
            <wp:extent cx="5731510" cy="347408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3474085"/>
                    </a:xfrm>
                    <a:prstGeom prst="rect">
                      <a:avLst/>
                    </a:prstGeom>
                  </pic:spPr>
                </pic:pic>
              </a:graphicData>
            </a:graphic>
          </wp:inline>
        </w:drawing>
      </w:r>
      <w:r w:rsidR="00227FA9" w:rsidRPr="00227FA9">
        <w:rPr>
          <w:noProof/>
        </w:rPr>
        <w:t xml:space="preserve"> </w:t>
      </w:r>
      <w:r w:rsidR="00227FA9">
        <w:rPr>
          <w:noProof/>
        </w:rPr>
        <w:drawing>
          <wp:inline distT="0" distB="0" distL="0" distR="0" wp14:anchorId="53E3A057" wp14:editId="5B7F77AE">
            <wp:extent cx="5731510" cy="16637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1663700"/>
                    </a:xfrm>
                    <a:prstGeom prst="rect">
                      <a:avLst/>
                    </a:prstGeom>
                  </pic:spPr>
                </pic:pic>
              </a:graphicData>
            </a:graphic>
          </wp:inline>
        </w:drawing>
      </w:r>
      <w:r w:rsidRPr="002C7B8B">
        <w:rPr>
          <w:noProof/>
        </w:rPr>
        <w:t xml:space="preserve"> </w:t>
      </w:r>
      <w:r>
        <w:rPr>
          <w:noProof/>
        </w:rPr>
        <w:drawing>
          <wp:inline distT="0" distB="0" distL="0" distR="0" wp14:anchorId="09A17B74" wp14:editId="623C813D">
            <wp:extent cx="5731510" cy="1522730"/>
            <wp:effectExtent l="0" t="0" r="254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1522730"/>
                    </a:xfrm>
                    <a:prstGeom prst="rect">
                      <a:avLst/>
                    </a:prstGeom>
                  </pic:spPr>
                </pic:pic>
              </a:graphicData>
            </a:graphic>
          </wp:inline>
        </w:drawing>
      </w:r>
      <w:r w:rsidR="009676BC">
        <w:br w:type="page"/>
      </w:r>
    </w:p>
    <w:p w14:paraId="24F486A2" w14:textId="1FC32E52" w:rsidR="009676BC" w:rsidRDefault="002C7B8B">
      <w:pPr>
        <w:spacing w:before="0" w:after="200" w:line="276" w:lineRule="auto"/>
      </w:pPr>
      <w:r>
        <w:rPr>
          <w:noProof/>
        </w:rPr>
        <w:drawing>
          <wp:inline distT="0" distB="0" distL="0" distR="0" wp14:anchorId="6FAB980A" wp14:editId="4E856EDA">
            <wp:extent cx="5731510" cy="343725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3437255"/>
                    </a:xfrm>
                    <a:prstGeom prst="rect">
                      <a:avLst/>
                    </a:prstGeom>
                  </pic:spPr>
                </pic:pic>
              </a:graphicData>
            </a:graphic>
          </wp:inline>
        </w:drawing>
      </w:r>
      <w:r w:rsidRPr="002C7B8B">
        <w:rPr>
          <w:noProof/>
        </w:rPr>
        <w:t xml:space="preserve"> </w:t>
      </w:r>
      <w:r w:rsidR="00FC3E9C">
        <w:rPr>
          <w:noProof/>
        </w:rPr>
        <w:drawing>
          <wp:inline distT="0" distB="0" distL="0" distR="0" wp14:anchorId="1DD4CAA5" wp14:editId="3ADDFA14">
            <wp:extent cx="5731510" cy="4190365"/>
            <wp:effectExtent l="0" t="0" r="254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4190365"/>
                    </a:xfrm>
                    <a:prstGeom prst="rect">
                      <a:avLst/>
                    </a:prstGeom>
                  </pic:spPr>
                </pic:pic>
              </a:graphicData>
            </a:graphic>
          </wp:inline>
        </w:drawing>
      </w:r>
      <w:r w:rsidRPr="002C7B8B">
        <w:rPr>
          <w:noProof/>
        </w:rPr>
        <w:t xml:space="preserve"> </w:t>
      </w:r>
    </w:p>
    <w:p w14:paraId="7EA2B5BB" w14:textId="714E52D6" w:rsidR="002C7B8B" w:rsidRDefault="002C7B8B">
      <w:pPr>
        <w:spacing w:before="0" w:after="200" w:line="276" w:lineRule="auto"/>
      </w:pPr>
      <w:r>
        <w:br w:type="page"/>
      </w:r>
    </w:p>
    <w:p w14:paraId="64CCCFBB" w14:textId="6E8569F4" w:rsidR="002C7B8B" w:rsidRDefault="002C7B8B">
      <w:pPr>
        <w:spacing w:before="0" w:after="200" w:line="276" w:lineRule="auto"/>
      </w:pPr>
      <w:r>
        <w:rPr>
          <w:noProof/>
        </w:rPr>
        <w:drawing>
          <wp:inline distT="0" distB="0" distL="0" distR="0" wp14:anchorId="41621556" wp14:editId="1916B740">
            <wp:extent cx="5731510" cy="5635625"/>
            <wp:effectExtent l="0" t="0" r="254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5635625"/>
                    </a:xfrm>
                    <a:prstGeom prst="rect">
                      <a:avLst/>
                    </a:prstGeom>
                  </pic:spPr>
                </pic:pic>
              </a:graphicData>
            </a:graphic>
          </wp:inline>
        </w:drawing>
      </w:r>
    </w:p>
    <w:p w14:paraId="4025430E" w14:textId="708A3923" w:rsidR="002C7B8B" w:rsidRDefault="002C7B8B">
      <w:pPr>
        <w:spacing w:before="0" w:after="200" w:line="276" w:lineRule="auto"/>
      </w:pPr>
      <w:r>
        <w:br w:type="page"/>
      </w:r>
    </w:p>
    <w:p w14:paraId="3A38678E" w14:textId="43DA8052" w:rsidR="002C7B8B" w:rsidRDefault="002C7B8B">
      <w:pPr>
        <w:spacing w:before="0" w:after="200" w:line="276" w:lineRule="auto"/>
      </w:pPr>
      <w:r>
        <w:rPr>
          <w:noProof/>
        </w:rPr>
        <w:drawing>
          <wp:inline distT="0" distB="0" distL="0" distR="0" wp14:anchorId="30799984" wp14:editId="235A7E1F">
            <wp:extent cx="5731510" cy="501904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5019040"/>
                    </a:xfrm>
                    <a:prstGeom prst="rect">
                      <a:avLst/>
                    </a:prstGeom>
                  </pic:spPr>
                </pic:pic>
              </a:graphicData>
            </a:graphic>
          </wp:inline>
        </w:drawing>
      </w:r>
      <w:r>
        <w:br w:type="page"/>
      </w:r>
    </w:p>
    <w:p w14:paraId="3852FF13" w14:textId="0F3EA48A" w:rsidR="002C7B8B" w:rsidRDefault="002C7B8B">
      <w:pPr>
        <w:spacing w:before="0" w:after="200" w:line="276" w:lineRule="auto"/>
      </w:pPr>
      <w:r>
        <w:rPr>
          <w:noProof/>
        </w:rPr>
        <w:drawing>
          <wp:inline distT="0" distB="0" distL="0" distR="0" wp14:anchorId="74D63469" wp14:editId="756BFE15">
            <wp:extent cx="5731510" cy="435038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4350385"/>
                    </a:xfrm>
                    <a:prstGeom prst="rect">
                      <a:avLst/>
                    </a:prstGeom>
                  </pic:spPr>
                </pic:pic>
              </a:graphicData>
            </a:graphic>
          </wp:inline>
        </w:drawing>
      </w:r>
      <w:r w:rsidRPr="002C7B8B">
        <w:rPr>
          <w:noProof/>
        </w:rPr>
        <w:t xml:space="preserve"> </w:t>
      </w:r>
      <w:r>
        <w:rPr>
          <w:noProof/>
        </w:rPr>
        <w:drawing>
          <wp:inline distT="0" distB="0" distL="0" distR="0" wp14:anchorId="78A05CDA" wp14:editId="2383F6DD">
            <wp:extent cx="5731510" cy="2680335"/>
            <wp:effectExtent l="0" t="0" r="254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2680335"/>
                    </a:xfrm>
                    <a:prstGeom prst="rect">
                      <a:avLst/>
                    </a:prstGeom>
                  </pic:spPr>
                </pic:pic>
              </a:graphicData>
            </a:graphic>
          </wp:inline>
        </w:drawing>
      </w:r>
    </w:p>
    <w:p w14:paraId="0531C623" w14:textId="618AEE5A" w:rsidR="002C7B8B" w:rsidRDefault="002C7B8B">
      <w:pPr>
        <w:spacing w:before="0" w:after="200" w:line="276" w:lineRule="auto"/>
      </w:pPr>
      <w:r>
        <w:br w:type="page"/>
      </w:r>
    </w:p>
    <w:p w14:paraId="6A6B9670" w14:textId="77777777" w:rsidR="002C7B8B" w:rsidRDefault="002C7B8B" w:rsidP="0046533C">
      <w:pPr>
        <w:rPr>
          <w:noProof/>
        </w:rPr>
      </w:pPr>
      <w:r>
        <w:rPr>
          <w:noProof/>
        </w:rPr>
        <w:drawing>
          <wp:inline distT="0" distB="0" distL="0" distR="0" wp14:anchorId="5EA4AE2B" wp14:editId="682D8B71">
            <wp:extent cx="5731510" cy="659574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6595745"/>
                    </a:xfrm>
                    <a:prstGeom prst="rect">
                      <a:avLst/>
                    </a:prstGeom>
                  </pic:spPr>
                </pic:pic>
              </a:graphicData>
            </a:graphic>
          </wp:inline>
        </w:drawing>
      </w:r>
      <w:r w:rsidRPr="002C7B8B">
        <w:rPr>
          <w:noProof/>
        </w:rPr>
        <w:t xml:space="preserve"> </w:t>
      </w:r>
    </w:p>
    <w:p w14:paraId="29E6D108" w14:textId="3845571B" w:rsidR="00AC05B0" w:rsidRDefault="002C7B8B" w:rsidP="0046533C">
      <w:r>
        <w:rPr>
          <w:noProof/>
        </w:rPr>
        <w:drawing>
          <wp:inline distT="0" distB="0" distL="0" distR="0" wp14:anchorId="57EAB235" wp14:editId="61C3741E">
            <wp:extent cx="5572125" cy="16859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72125" cy="1685925"/>
                    </a:xfrm>
                    <a:prstGeom prst="rect">
                      <a:avLst/>
                    </a:prstGeom>
                  </pic:spPr>
                </pic:pic>
              </a:graphicData>
            </a:graphic>
          </wp:inline>
        </w:drawing>
      </w:r>
    </w:p>
    <w:p w14:paraId="572B8332" w14:textId="0EC16925" w:rsidR="00AC05B0" w:rsidRDefault="00AC05B0">
      <w:pPr>
        <w:spacing w:before="0" w:after="200" w:line="276" w:lineRule="auto"/>
      </w:pPr>
      <w:r>
        <w:br w:type="page"/>
      </w:r>
      <w:r>
        <w:rPr>
          <w:noProof/>
        </w:rPr>
        <w:drawing>
          <wp:inline distT="0" distB="0" distL="0" distR="0" wp14:anchorId="031E4EAC" wp14:editId="7570EF4A">
            <wp:extent cx="5731510" cy="373888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3738880"/>
                    </a:xfrm>
                    <a:prstGeom prst="rect">
                      <a:avLst/>
                    </a:prstGeom>
                  </pic:spPr>
                </pic:pic>
              </a:graphicData>
            </a:graphic>
          </wp:inline>
        </w:drawing>
      </w:r>
      <w:r w:rsidRPr="00AC05B0">
        <w:rPr>
          <w:noProof/>
        </w:rPr>
        <w:t xml:space="preserve"> </w:t>
      </w:r>
      <w:r>
        <w:rPr>
          <w:noProof/>
        </w:rPr>
        <w:drawing>
          <wp:inline distT="0" distB="0" distL="0" distR="0" wp14:anchorId="10BFED03" wp14:editId="428C14F8">
            <wp:extent cx="5731510" cy="4391025"/>
            <wp:effectExtent l="0" t="0" r="254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4391025"/>
                    </a:xfrm>
                    <a:prstGeom prst="rect">
                      <a:avLst/>
                    </a:prstGeom>
                  </pic:spPr>
                </pic:pic>
              </a:graphicData>
            </a:graphic>
          </wp:inline>
        </w:drawing>
      </w:r>
    </w:p>
    <w:p w14:paraId="04652B93" w14:textId="24B7BAC5" w:rsidR="00AC05B0" w:rsidRDefault="00AC05B0">
      <w:pPr>
        <w:spacing w:before="0" w:after="200" w:line="276" w:lineRule="auto"/>
      </w:pPr>
      <w:r>
        <w:br w:type="page"/>
      </w:r>
    </w:p>
    <w:p w14:paraId="3784D981" w14:textId="34E582C2" w:rsidR="00AC05B0" w:rsidRDefault="00AC05B0">
      <w:pPr>
        <w:spacing w:before="0" w:after="200" w:line="276" w:lineRule="auto"/>
      </w:pPr>
      <w:r>
        <w:rPr>
          <w:noProof/>
        </w:rPr>
        <w:drawing>
          <wp:inline distT="0" distB="0" distL="0" distR="0" wp14:anchorId="63D621E5" wp14:editId="012B4D0C">
            <wp:extent cx="5731510" cy="5496560"/>
            <wp:effectExtent l="0" t="0" r="254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5496560"/>
                    </a:xfrm>
                    <a:prstGeom prst="rect">
                      <a:avLst/>
                    </a:prstGeom>
                  </pic:spPr>
                </pic:pic>
              </a:graphicData>
            </a:graphic>
          </wp:inline>
        </w:drawing>
      </w:r>
      <w:r>
        <w:br w:type="page"/>
      </w:r>
    </w:p>
    <w:p w14:paraId="4E49EC68" w14:textId="41A18FA5" w:rsidR="00AC05B0" w:rsidRDefault="00AC05B0">
      <w:pPr>
        <w:spacing w:before="0" w:after="200" w:line="276" w:lineRule="auto"/>
      </w:pPr>
      <w:r>
        <w:rPr>
          <w:noProof/>
        </w:rPr>
        <w:drawing>
          <wp:inline distT="0" distB="0" distL="0" distR="0" wp14:anchorId="081DCE2C" wp14:editId="7C297B80">
            <wp:extent cx="5731510" cy="5899150"/>
            <wp:effectExtent l="0" t="0" r="254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5899150"/>
                    </a:xfrm>
                    <a:prstGeom prst="rect">
                      <a:avLst/>
                    </a:prstGeom>
                  </pic:spPr>
                </pic:pic>
              </a:graphicData>
            </a:graphic>
          </wp:inline>
        </w:drawing>
      </w:r>
      <w:r w:rsidRPr="00AC05B0">
        <w:rPr>
          <w:noProof/>
        </w:rPr>
        <w:t xml:space="preserve"> </w:t>
      </w:r>
      <w:r>
        <w:rPr>
          <w:noProof/>
        </w:rPr>
        <w:drawing>
          <wp:inline distT="0" distB="0" distL="0" distR="0" wp14:anchorId="10917BD4" wp14:editId="33E9D8E6">
            <wp:extent cx="5731510" cy="61595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615950"/>
                    </a:xfrm>
                    <a:prstGeom prst="rect">
                      <a:avLst/>
                    </a:prstGeom>
                  </pic:spPr>
                </pic:pic>
              </a:graphicData>
            </a:graphic>
          </wp:inline>
        </w:drawing>
      </w:r>
      <w:r>
        <w:br w:type="page"/>
      </w:r>
    </w:p>
    <w:p w14:paraId="0EB84A8A" w14:textId="00C6AF6A" w:rsidR="00AC05B0" w:rsidRDefault="00AC05B0" w:rsidP="0046533C">
      <w:pPr>
        <w:rPr>
          <w:noProof/>
        </w:rPr>
      </w:pPr>
      <w:r>
        <w:rPr>
          <w:noProof/>
        </w:rPr>
        <w:drawing>
          <wp:inline distT="0" distB="0" distL="0" distR="0" wp14:anchorId="11AA4A8D" wp14:editId="248248E2">
            <wp:extent cx="5731510" cy="544830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5448300"/>
                    </a:xfrm>
                    <a:prstGeom prst="rect">
                      <a:avLst/>
                    </a:prstGeom>
                  </pic:spPr>
                </pic:pic>
              </a:graphicData>
            </a:graphic>
          </wp:inline>
        </w:drawing>
      </w:r>
      <w:r w:rsidRPr="00AC05B0">
        <w:rPr>
          <w:noProof/>
        </w:rPr>
        <w:t xml:space="preserve"> </w:t>
      </w:r>
      <w:r>
        <w:rPr>
          <w:noProof/>
        </w:rPr>
        <w:drawing>
          <wp:inline distT="0" distB="0" distL="0" distR="0" wp14:anchorId="3DA95F9A" wp14:editId="3272327B">
            <wp:extent cx="5731510" cy="2276475"/>
            <wp:effectExtent l="0" t="0" r="254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2276475"/>
                    </a:xfrm>
                    <a:prstGeom prst="rect">
                      <a:avLst/>
                    </a:prstGeom>
                  </pic:spPr>
                </pic:pic>
              </a:graphicData>
            </a:graphic>
          </wp:inline>
        </w:drawing>
      </w:r>
    </w:p>
    <w:p w14:paraId="61442AA1" w14:textId="77777777" w:rsidR="00AC05B0" w:rsidRDefault="00AC05B0">
      <w:pPr>
        <w:spacing w:before="0" w:after="200" w:line="276" w:lineRule="auto"/>
        <w:rPr>
          <w:noProof/>
        </w:rPr>
      </w:pPr>
      <w:r>
        <w:rPr>
          <w:noProof/>
        </w:rPr>
        <w:br w:type="page"/>
      </w:r>
    </w:p>
    <w:p w14:paraId="5200B904" w14:textId="0A2BDEED" w:rsidR="00AC05B0" w:rsidRDefault="00AC05B0">
      <w:pPr>
        <w:spacing w:before="0" w:after="200" w:line="276" w:lineRule="auto"/>
      </w:pPr>
      <w:r>
        <w:rPr>
          <w:noProof/>
        </w:rPr>
        <w:drawing>
          <wp:inline distT="0" distB="0" distL="0" distR="0" wp14:anchorId="3BB9BFB3" wp14:editId="137261D9">
            <wp:extent cx="5731510" cy="4944745"/>
            <wp:effectExtent l="0" t="0" r="254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4944745"/>
                    </a:xfrm>
                    <a:prstGeom prst="rect">
                      <a:avLst/>
                    </a:prstGeom>
                  </pic:spPr>
                </pic:pic>
              </a:graphicData>
            </a:graphic>
          </wp:inline>
        </w:drawing>
      </w:r>
      <w:r w:rsidRPr="00AC05B0">
        <w:rPr>
          <w:noProof/>
        </w:rPr>
        <w:t xml:space="preserve"> </w:t>
      </w:r>
      <w:r>
        <w:rPr>
          <w:noProof/>
        </w:rPr>
        <w:drawing>
          <wp:inline distT="0" distB="0" distL="0" distR="0" wp14:anchorId="29BD1377" wp14:editId="15CBADB8">
            <wp:extent cx="5731510" cy="314769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3147695"/>
                    </a:xfrm>
                    <a:prstGeom prst="rect">
                      <a:avLst/>
                    </a:prstGeom>
                  </pic:spPr>
                </pic:pic>
              </a:graphicData>
            </a:graphic>
          </wp:inline>
        </w:drawing>
      </w:r>
      <w:r>
        <w:br w:type="page"/>
      </w:r>
    </w:p>
    <w:p w14:paraId="003CB0BC" w14:textId="197FE544" w:rsidR="00AC05B0" w:rsidRDefault="00AC05B0" w:rsidP="00AC05B0">
      <w:pPr>
        <w:rPr>
          <w:noProof/>
        </w:rPr>
      </w:pPr>
      <w:r>
        <w:rPr>
          <w:noProof/>
        </w:rPr>
        <w:drawing>
          <wp:inline distT="0" distB="0" distL="0" distR="0" wp14:anchorId="27AFA654" wp14:editId="7DB5DE74">
            <wp:extent cx="5731510" cy="484060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4840605"/>
                    </a:xfrm>
                    <a:prstGeom prst="rect">
                      <a:avLst/>
                    </a:prstGeom>
                  </pic:spPr>
                </pic:pic>
              </a:graphicData>
            </a:graphic>
          </wp:inline>
        </w:drawing>
      </w:r>
      <w:r w:rsidRPr="00AC05B0">
        <w:rPr>
          <w:noProof/>
        </w:rPr>
        <w:t xml:space="preserve"> </w:t>
      </w:r>
    </w:p>
    <w:p w14:paraId="5A8B0FA2" w14:textId="77777777" w:rsidR="00AC05B0" w:rsidRDefault="00AC05B0">
      <w:pPr>
        <w:spacing w:before="0" w:after="200" w:line="276" w:lineRule="auto"/>
        <w:rPr>
          <w:noProof/>
        </w:rPr>
      </w:pPr>
      <w:r>
        <w:rPr>
          <w:noProof/>
        </w:rPr>
        <w:br w:type="page"/>
      </w:r>
    </w:p>
    <w:p w14:paraId="319E1B09" w14:textId="511AC199" w:rsidR="00AC05B0" w:rsidRDefault="00AC05B0">
      <w:pPr>
        <w:spacing w:before="0" w:after="200" w:line="276" w:lineRule="auto"/>
      </w:pPr>
      <w:r>
        <w:rPr>
          <w:noProof/>
        </w:rPr>
        <w:drawing>
          <wp:inline distT="0" distB="0" distL="0" distR="0" wp14:anchorId="0A81EB3E" wp14:editId="389664D9">
            <wp:extent cx="5731510" cy="554355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1510" cy="5543550"/>
                    </a:xfrm>
                    <a:prstGeom prst="rect">
                      <a:avLst/>
                    </a:prstGeom>
                  </pic:spPr>
                </pic:pic>
              </a:graphicData>
            </a:graphic>
          </wp:inline>
        </w:drawing>
      </w:r>
    </w:p>
    <w:p w14:paraId="6EA28814" w14:textId="6C4B667E" w:rsidR="00AC05B0" w:rsidRDefault="00AC05B0">
      <w:pPr>
        <w:spacing w:before="0" w:after="200" w:line="276" w:lineRule="auto"/>
      </w:pPr>
      <w:r>
        <w:br w:type="page"/>
      </w:r>
    </w:p>
    <w:p w14:paraId="7613A1F5" w14:textId="2E88B83B" w:rsidR="002D05AC" w:rsidRDefault="00E61591" w:rsidP="00AC05B0">
      <w:pPr>
        <w:rPr>
          <w:noProof/>
        </w:rPr>
      </w:pPr>
      <w:r>
        <w:rPr>
          <w:noProof/>
        </w:rPr>
        <w:drawing>
          <wp:inline distT="0" distB="0" distL="0" distR="0" wp14:anchorId="39C208CE" wp14:editId="63D888C5">
            <wp:extent cx="5731510" cy="343090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3430905"/>
                    </a:xfrm>
                    <a:prstGeom prst="rect">
                      <a:avLst/>
                    </a:prstGeom>
                  </pic:spPr>
                </pic:pic>
              </a:graphicData>
            </a:graphic>
          </wp:inline>
        </w:drawing>
      </w:r>
      <w:r>
        <w:rPr>
          <w:noProof/>
        </w:rPr>
        <w:t xml:space="preserve"> </w:t>
      </w:r>
      <w:r w:rsidR="002D05AC" w:rsidRPr="002D05AC">
        <w:rPr>
          <w:noProof/>
        </w:rPr>
        <w:t xml:space="preserve"> </w:t>
      </w:r>
      <w:r w:rsidR="002D05AC">
        <w:rPr>
          <w:noProof/>
        </w:rPr>
        <w:drawing>
          <wp:inline distT="0" distB="0" distL="0" distR="0" wp14:anchorId="015FFF18" wp14:editId="67AE6639">
            <wp:extent cx="5731510" cy="2437765"/>
            <wp:effectExtent l="0" t="0" r="254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31510" cy="2437765"/>
                    </a:xfrm>
                    <a:prstGeom prst="rect">
                      <a:avLst/>
                    </a:prstGeom>
                  </pic:spPr>
                </pic:pic>
              </a:graphicData>
            </a:graphic>
          </wp:inline>
        </w:drawing>
      </w:r>
      <w:r w:rsidR="002D05AC" w:rsidRPr="002D05AC">
        <w:rPr>
          <w:noProof/>
        </w:rPr>
        <w:t xml:space="preserve"> </w:t>
      </w:r>
      <w:r w:rsidR="002D05AC">
        <w:rPr>
          <w:noProof/>
        </w:rPr>
        <w:drawing>
          <wp:inline distT="0" distB="0" distL="0" distR="0" wp14:anchorId="07AC0C9D" wp14:editId="470656A4">
            <wp:extent cx="5731510" cy="244538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2445385"/>
                    </a:xfrm>
                    <a:prstGeom prst="rect">
                      <a:avLst/>
                    </a:prstGeom>
                  </pic:spPr>
                </pic:pic>
              </a:graphicData>
            </a:graphic>
          </wp:inline>
        </w:drawing>
      </w:r>
    </w:p>
    <w:p w14:paraId="67C3215F" w14:textId="14FD4D2F" w:rsidR="002D05AC" w:rsidRDefault="002D05AC">
      <w:pPr>
        <w:spacing w:before="0" w:after="200" w:line="276" w:lineRule="auto"/>
        <w:rPr>
          <w:noProof/>
        </w:rPr>
      </w:pPr>
      <w:r>
        <w:rPr>
          <w:noProof/>
        </w:rPr>
        <w:br w:type="page"/>
      </w:r>
      <w:r w:rsidRPr="002D05AC">
        <w:rPr>
          <w:noProof/>
        </w:rPr>
        <w:t xml:space="preserve"> </w:t>
      </w:r>
      <w:r w:rsidR="00E61591">
        <w:rPr>
          <w:noProof/>
        </w:rPr>
        <w:drawing>
          <wp:inline distT="0" distB="0" distL="0" distR="0" wp14:anchorId="13E3C8A7" wp14:editId="3D76918C">
            <wp:extent cx="5731510" cy="3691890"/>
            <wp:effectExtent l="0" t="0" r="254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3691890"/>
                    </a:xfrm>
                    <a:prstGeom prst="rect">
                      <a:avLst/>
                    </a:prstGeom>
                  </pic:spPr>
                </pic:pic>
              </a:graphicData>
            </a:graphic>
          </wp:inline>
        </w:drawing>
      </w:r>
      <w:r w:rsidR="00E61591" w:rsidRPr="00E61591">
        <w:rPr>
          <w:noProof/>
        </w:rPr>
        <w:t xml:space="preserve"> </w:t>
      </w:r>
      <w:r w:rsidR="00E61591">
        <w:rPr>
          <w:noProof/>
        </w:rPr>
        <w:drawing>
          <wp:inline distT="0" distB="0" distL="0" distR="0" wp14:anchorId="2B20339F" wp14:editId="4A8DE0CF">
            <wp:extent cx="5731510" cy="3302000"/>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1510" cy="3302000"/>
                    </a:xfrm>
                    <a:prstGeom prst="rect">
                      <a:avLst/>
                    </a:prstGeom>
                  </pic:spPr>
                </pic:pic>
              </a:graphicData>
            </a:graphic>
          </wp:inline>
        </w:drawing>
      </w:r>
    </w:p>
    <w:p w14:paraId="58018F54" w14:textId="77777777" w:rsidR="00A42E55" w:rsidRPr="00604EBD" w:rsidRDefault="00535D6D" w:rsidP="00A42E55">
      <w:pPr>
        <w:spacing w:after="160"/>
        <w:jc w:val="both"/>
        <w:rPr>
          <w:rFonts w:cs="Arial"/>
          <w:b/>
          <w:szCs w:val="24"/>
        </w:rPr>
      </w:pPr>
      <w:r>
        <w:br w:type="page"/>
      </w:r>
      <w:r w:rsidR="00A42E55" w:rsidRPr="00604EBD">
        <w:rPr>
          <w:rFonts w:cs="Arial"/>
          <w:b/>
          <w:szCs w:val="24"/>
        </w:rPr>
        <w:t>INDEPENDENT AUDITOR’S REPORT TO THE MEMBERS OF THE GOVERNING BODY OF NHS BASILDON AND BRENTWOOD CLINICAL COMMISSIONING GROUP</w:t>
      </w:r>
    </w:p>
    <w:p w14:paraId="4EE47B08" w14:textId="77777777" w:rsidR="00A42E55" w:rsidRPr="00604EBD" w:rsidRDefault="00A42E55" w:rsidP="00A42E55">
      <w:pPr>
        <w:spacing w:after="160"/>
        <w:jc w:val="both"/>
        <w:rPr>
          <w:rFonts w:cs="Arial"/>
          <w:b/>
          <w:bCs/>
          <w:szCs w:val="24"/>
          <w:lang w:val="en-US"/>
        </w:rPr>
      </w:pPr>
      <w:r w:rsidRPr="00604EBD">
        <w:rPr>
          <w:rFonts w:cs="Arial"/>
          <w:b/>
          <w:bCs/>
          <w:szCs w:val="24"/>
          <w:lang w:val="en-US"/>
        </w:rPr>
        <w:t>REPORT ON THE AUDIT OF THE FINANCIAL STATEMENTS</w:t>
      </w:r>
    </w:p>
    <w:p w14:paraId="2E50CE54" w14:textId="77777777" w:rsidR="00A42E55" w:rsidRPr="00604EBD" w:rsidRDefault="00A42E55" w:rsidP="00A42E55">
      <w:pPr>
        <w:autoSpaceDE w:val="0"/>
        <w:autoSpaceDN w:val="0"/>
        <w:adjustRightInd w:val="0"/>
        <w:spacing w:after="160"/>
        <w:jc w:val="both"/>
        <w:rPr>
          <w:rFonts w:cs="Arial"/>
          <w:b/>
          <w:szCs w:val="24"/>
        </w:rPr>
      </w:pPr>
      <w:r w:rsidRPr="00604EBD">
        <w:rPr>
          <w:rFonts w:cs="Arial"/>
          <w:b/>
          <w:szCs w:val="24"/>
        </w:rPr>
        <w:t xml:space="preserve">Opinion </w:t>
      </w:r>
    </w:p>
    <w:p w14:paraId="6D083FFC" w14:textId="77777777" w:rsidR="00A42E55" w:rsidRPr="00604EBD" w:rsidRDefault="00A42E55" w:rsidP="00A42E55">
      <w:pPr>
        <w:spacing w:after="160"/>
        <w:jc w:val="both"/>
        <w:rPr>
          <w:rFonts w:cs="Arial"/>
          <w:szCs w:val="24"/>
        </w:rPr>
      </w:pPr>
      <w:r w:rsidRPr="00604EBD">
        <w:rPr>
          <w:rFonts w:cs="Arial"/>
          <w:szCs w:val="24"/>
        </w:rPr>
        <w:t>We have audited the financial statements of NHS Basildon and Brentwood Clinical Commissioning Group (“the CCG”) for the year ended 31 March 2022</w:t>
      </w:r>
      <w:r w:rsidRPr="00604EBD">
        <w:rPr>
          <w:rFonts w:cs="Arial"/>
          <w:color w:val="FF0000"/>
          <w:szCs w:val="24"/>
        </w:rPr>
        <w:t xml:space="preserve"> </w:t>
      </w:r>
      <w:r w:rsidRPr="00604EBD">
        <w:rPr>
          <w:rFonts w:cs="Arial"/>
          <w:szCs w:val="24"/>
        </w:rPr>
        <w:t>which comprise the Statement of Comprehensive Net Expenditure, Statement of Financial Position, Statement of Changes in Taxpayers’ Equity and Statement of Cash Flows, and the related notes, including the accounting policies in note 1.</w:t>
      </w:r>
    </w:p>
    <w:p w14:paraId="708B8DB8" w14:textId="77777777" w:rsidR="00A42E55" w:rsidRPr="00604EBD" w:rsidRDefault="00A42E55" w:rsidP="00A42E55">
      <w:pPr>
        <w:spacing w:after="160"/>
        <w:jc w:val="both"/>
        <w:rPr>
          <w:rFonts w:cs="Arial"/>
          <w:szCs w:val="24"/>
        </w:rPr>
      </w:pPr>
      <w:r w:rsidRPr="00604EBD">
        <w:rPr>
          <w:rFonts w:cs="Arial"/>
          <w:szCs w:val="24"/>
        </w:rPr>
        <w:t>In our opinion the financial statements:</w:t>
      </w:r>
    </w:p>
    <w:p w14:paraId="34C8D0B1" w14:textId="77777777" w:rsidR="00A42E55" w:rsidRPr="00604EBD" w:rsidRDefault="00A42E55" w:rsidP="00A42E55">
      <w:pPr>
        <w:pStyle w:val="ListParagraph"/>
        <w:numPr>
          <w:ilvl w:val="0"/>
          <w:numId w:val="29"/>
        </w:numPr>
        <w:spacing w:before="0" w:after="160"/>
        <w:contextualSpacing w:val="0"/>
        <w:jc w:val="both"/>
        <w:rPr>
          <w:rFonts w:cs="Arial"/>
          <w:szCs w:val="24"/>
        </w:rPr>
      </w:pPr>
      <w:r w:rsidRPr="00604EBD">
        <w:rPr>
          <w:rFonts w:cs="Arial"/>
          <w:szCs w:val="24"/>
        </w:rPr>
        <w:t>give a true and fair view of the state of the CCG’s affairs as at 31 March 2022</w:t>
      </w:r>
      <w:r w:rsidRPr="00604EBD">
        <w:rPr>
          <w:rFonts w:cs="Arial"/>
          <w:color w:val="FF0000"/>
          <w:szCs w:val="24"/>
        </w:rPr>
        <w:t xml:space="preserve"> </w:t>
      </w:r>
      <w:r w:rsidRPr="00604EBD">
        <w:rPr>
          <w:rFonts w:cs="Arial"/>
          <w:szCs w:val="24"/>
        </w:rPr>
        <w:t>and of its income and expenditure for the year then ended; and</w:t>
      </w:r>
    </w:p>
    <w:p w14:paraId="16FAF217" w14:textId="77777777" w:rsidR="00A42E55" w:rsidRPr="00604EBD" w:rsidRDefault="00A42E55" w:rsidP="00A42E55">
      <w:pPr>
        <w:pStyle w:val="ListParagraph"/>
        <w:numPr>
          <w:ilvl w:val="0"/>
          <w:numId w:val="29"/>
        </w:numPr>
        <w:spacing w:before="0" w:after="160"/>
        <w:contextualSpacing w:val="0"/>
        <w:jc w:val="both"/>
        <w:rPr>
          <w:rFonts w:cs="Arial"/>
          <w:szCs w:val="24"/>
        </w:rPr>
      </w:pPr>
      <w:r w:rsidRPr="00604EBD">
        <w:rPr>
          <w:rFonts w:cs="Arial"/>
          <w:szCs w:val="24"/>
        </w:rPr>
        <w:t>have been properly prepared in accordance with the accounting policies directed by NHS England with the consent of the Secretary of State as being relevant to CCGs in England and included in the Department of Health and Social Care Group Accounting Manual 2021/22.</w:t>
      </w:r>
    </w:p>
    <w:p w14:paraId="34262363" w14:textId="77777777" w:rsidR="00A42E55" w:rsidRPr="00604EBD" w:rsidRDefault="00A42E55" w:rsidP="00A42E55">
      <w:pPr>
        <w:spacing w:after="160"/>
        <w:jc w:val="both"/>
        <w:rPr>
          <w:rFonts w:cs="Arial"/>
          <w:b/>
          <w:szCs w:val="24"/>
        </w:rPr>
      </w:pPr>
      <w:r w:rsidRPr="00604EBD">
        <w:rPr>
          <w:rFonts w:cs="Arial"/>
          <w:b/>
          <w:szCs w:val="24"/>
        </w:rPr>
        <w:t>Basis for opinion</w:t>
      </w:r>
    </w:p>
    <w:p w14:paraId="36286E4C" w14:textId="77777777" w:rsidR="00A42E55" w:rsidRPr="00604EBD" w:rsidRDefault="00A42E55" w:rsidP="00A42E55">
      <w:pPr>
        <w:spacing w:after="160"/>
        <w:jc w:val="both"/>
        <w:rPr>
          <w:rFonts w:cs="Arial"/>
          <w:szCs w:val="24"/>
        </w:rPr>
      </w:pPr>
      <w:r w:rsidRPr="00604EBD">
        <w:rPr>
          <w:rFonts w:cs="Arial"/>
          <w:szCs w:val="24"/>
        </w:rPr>
        <w:t>We conducted our audit in accordance with International Standards on Auditing (UK) (“ISAs (UK)”) and applicable law.  Our responsibilities are described below.  We have fulfilled our ethical responsibilities under, and are independent of the CCG in accordance with, UK ethical requirements including the FRC Ethical Standard.  We believe that the audit evidence we have obtained is a sufficient and appropriate basis for our opinion.</w:t>
      </w:r>
    </w:p>
    <w:p w14:paraId="481C3193" w14:textId="77777777" w:rsidR="00A42E55" w:rsidRPr="00604EBD" w:rsidRDefault="00A42E55" w:rsidP="00A42E55">
      <w:pPr>
        <w:spacing w:after="160"/>
        <w:jc w:val="both"/>
        <w:rPr>
          <w:rFonts w:cs="Arial"/>
          <w:b/>
          <w:bCs/>
          <w:szCs w:val="24"/>
        </w:rPr>
      </w:pPr>
      <w:r w:rsidRPr="00604EBD">
        <w:rPr>
          <w:rFonts w:cs="Arial"/>
          <w:b/>
          <w:bCs/>
          <w:szCs w:val="24"/>
        </w:rPr>
        <w:t>Emphasis of matter – going concern</w:t>
      </w:r>
    </w:p>
    <w:p w14:paraId="7CA6B7AE" w14:textId="77777777" w:rsidR="00A42E55" w:rsidRPr="00604EBD" w:rsidRDefault="00A42E55" w:rsidP="00A42E55">
      <w:pPr>
        <w:spacing w:after="160"/>
        <w:jc w:val="both"/>
        <w:rPr>
          <w:rFonts w:cs="Arial"/>
          <w:szCs w:val="24"/>
        </w:rPr>
      </w:pPr>
      <w:r w:rsidRPr="00604EBD">
        <w:rPr>
          <w:rFonts w:cs="Arial"/>
          <w:szCs w:val="24"/>
        </w:rPr>
        <w:t>We draw attention to the disclosure made in note 1.1 to the financial statements which explains that on 1 July 2022, NHS Basildon and Brentwood CCG will be dissolved and its services transferred to Mid and South Essex Integrated Health and Care Board. Under the continuation of service principle, the financial statements of the CCG have been prepared on a going concern basis because its services will continue to be provided by the successor public sector entity. Our opinion is not modified in this respect.</w:t>
      </w:r>
    </w:p>
    <w:p w14:paraId="22E181E7" w14:textId="77777777" w:rsidR="00A42E55" w:rsidRPr="00604EBD" w:rsidRDefault="00A42E55" w:rsidP="00A42E55">
      <w:pPr>
        <w:spacing w:after="160"/>
        <w:jc w:val="both"/>
        <w:rPr>
          <w:rFonts w:cs="Arial"/>
          <w:b/>
          <w:szCs w:val="24"/>
        </w:rPr>
      </w:pPr>
      <w:r w:rsidRPr="00604EBD">
        <w:rPr>
          <w:rFonts w:cs="Arial"/>
          <w:b/>
          <w:szCs w:val="24"/>
        </w:rPr>
        <w:t>Going concern basis of preparation</w:t>
      </w:r>
    </w:p>
    <w:p w14:paraId="40413FC7" w14:textId="77777777" w:rsidR="00A42E55" w:rsidRPr="00604EBD" w:rsidRDefault="00A42E55" w:rsidP="00A42E55">
      <w:pPr>
        <w:jc w:val="both"/>
        <w:rPr>
          <w:rFonts w:cs="Arial"/>
          <w:szCs w:val="24"/>
        </w:rPr>
      </w:pPr>
      <w:r w:rsidRPr="00604EBD">
        <w:rPr>
          <w:rFonts w:cs="Arial"/>
          <w:szCs w:val="24"/>
        </w:rPr>
        <w:t xml:space="preserve">The Accountable Officer has prepared the financial statements on the going concern basis as they have not been informed by the relevant national body of the intention to dissolve the CCG without the transfer of its services to another public sector entity. They have also concluded that there are no material uncertainties that could have cast significant doubt over its ability to continue as a going concern for at least a year from the date of approval of the financial statements (“the going concern period”).  </w:t>
      </w:r>
    </w:p>
    <w:p w14:paraId="22388C5D" w14:textId="77777777" w:rsidR="00A42E55" w:rsidRPr="00604EBD" w:rsidRDefault="00A42E55" w:rsidP="00A42E55">
      <w:pPr>
        <w:jc w:val="both"/>
        <w:rPr>
          <w:rFonts w:cs="Arial"/>
          <w:szCs w:val="24"/>
        </w:rPr>
      </w:pPr>
    </w:p>
    <w:p w14:paraId="6E6D81CE" w14:textId="77777777" w:rsidR="00A42E55" w:rsidRPr="00604EBD" w:rsidRDefault="00A42E55" w:rsidP="00A42E55">
      <w:pPr>
        <w:spacing w:after="120"/>
        <w:jc w:val="both"/>
        <w:rPr>
          <w:rFonts w:cs="Arial"/>
          <w:szCs w:val="24"/>
        </w:rPr>
      </w:pPr>
      <w:r w:rsidRPr="00604EBD">
        <w:rPr>
          <w:rFonts w:cs="Arial"/>
          <w:szCs w:val="24"/>
        </w:rPr>
        <w:t>In our evaluation of the Accountable Officer’s conclusions, we considered the inherent risks to the CCG’s operating model and analysed how those risks might affect the CCG’s financial resources or ability to continue operations over the going concern period.</w:t>
      </w:r>
      <w:r w:rsidRPr="00604EBD">
        <w:rPr>
          <w:rStyle w:val="FootnoteReference"/>
          <w:rFonts w:cs="Arial"/>
          <w:szCs w:val="24"/>
        </w:rPr>
        <w:t xml:space="preserve"> </w:t>
      </w:r>
    </w:p>
    <w:p w14:paraId="7A19BA9D" w14:textId="77777777" w:rsidR="00A42E55" w:rsidRPr="00604EBD" w:rsidRDefault="00A42E55" w:rsidP="00A42E55">
      <w:pPr>
        <w:spacing w:after="120"/>
        <w:rPr>
          <w:rFonts w:cs="Arial"/>
          <w:szCs w:val="24"/>
        </w:rPr>
      </w:pPr>
      <w:r w:rsidRPr="00604EBD">
        <w:rPr>
          <w:rFonts w:cs="Arial"/>
          <w:szCs w:val="24"/>
        </w:rPr>
        <w:t>Our conclusions based on this work:</w:t>
      </w:r>
    </w:p>
    <w:p w14:paraId="4818FFC3" w14:textId="77777777" w:rsidR="00A42E55" w:rsidRPr="00604EBD" w:rsidRDefault="00A42E55" w:rsidP="00A42E55">
      <w:pPr>
        <w:numPr>
          <w:ilvl w:val="0"/>
          <w:numId w:val="30"/>
        </w:numPr>
        <w:spacing w:before="0" w:after="120"/>
        <w:jc w:val="both"/>
        <w:rPr>
          <w:rFonts w:cs="Arial"/>
          <w:szCs w:val="24"/>
        </w:rPr>
      </w:pPr>
      <w:r w:rsidRPr="00604EBD">
        <w:rPr>
          <w:rFonts w:cs="Arial"/>
          <w:szCs w:val="24"/>
        </w:rPr>
        <w:t>we consider that the Accountable Officer’s use of the going concern basis of accounting in the preparation of the financial statements is appropriate;</w:t>
      </w:r>
    </w:p>
    <w:p w14:paraId="0218B6E2" w14:textId="77777777" w:rsidR="00A42E55" w:rsidRPr="00604EBD" w:rsidRDefault="00A42E55" w:rsidP="00A42E55">
      <w:pPr>
        <w:numPr>
          <w:ilvl w:val="0"/>
          <w:numId w:val="30"/>
        </w:numPr>
        <w:spacing w:before="0" w:after="120"/>
        <w:jc w:val="both"/>
        <w:rPr>
          <w:rFonts w:cs="Arial"/>
          <w:szCs w:val="24"/>
        </w:rPr>
      </w:pPr>
      <w:r w:rsidRPr="00604EBD">
        <w:rPr>
          <w:rFonts w:cs="Arial"/>
          <w:szCs w:val="24"/>
        </w:rPr>
        <w:t>we have not identified, and concur with the Accountable Officer’s assessment that there is not, a material uncertainty related to events or conditions that, individually or collectively, may cast significant doubt on the CCG’s ability to continue as a going concern for the going concern period.</w:t>
      </w:r>
    </w:p>
    <w:p w14:paraId="092CA3D1" w14:textId="77777777" w:rsidR="00A42E55" w:rsidRPr="00604EBD" w:rsidRDefault="00A42E55" w:rsidP="00A42E55">
      <w:pPr>
        <w:jc w:val="both"/>
        <w:rPr>
          <w:rFonts w:cs="Arial"/>
          <w:szCs w:val="24"/>
        </w:rPr>
      </w:pPr>
      <w:r w:rsidRPr="00604EBD">
        <w:rPr>
          <w:rFonts w:cs="Arial"/>
          <w:szCs w:val="24"/>
        </w:rPr>
        <w:t xml:space="preserve">However, as we cannot predict all future events or conditions and as subsequent events may result in outcomes that are inconsistent with judgements that were reasonable at the time they were made, the above conclusions are not a guarantee that the CCG will continue in operation.  </w:t>
      </w:r>
    </w:p>
    <w:p w14:paraId="49C7D23C" w14:textId="77777777" w:rsidR="00A42E55" w:rsidRPr="00604EBD" w:rsidRDefault="00A42E55" w:rsidP="00A42E55">
      <w:pPr>
        <w:rPr>
          <w:rFonts w:cs="Arial"/>
          <w:b/>
          <w:szCs w:val="24"/>
        </w:rPr>
      </w:pPr>
      <w:r w:rsidRPr="00604EBD">
        <w:rPr>
          <w:rFonts w:cs="Arial"/>
          <w:b/>
          <w:szCs w:val="24"/>
        </w:rPr>
        <w:t>Fraud and breaches of laws and regulations – ability to detect</w:t>
      </w:r>
    </w:p>
    <w:p w14:paraId="54F8A8D0" w14:textId="77777777" w:rsidR="00A42E55" w:rsidRPr="00604EBD" w:rsidRDefault="00A42E55" w:rsidP="00A42E55">
      <w:pPr>
        <w:spacing w:after="160"/>
        <w:jc w:val="both"/>
        <w:rPr>
          <w:rFonts w:cs="Arial"/>
          <w:bCs/>
          <w:i/>
          <w:iCs/>
          <w:szCs w:val="24"/>
        </w:rPr>
      </w:pPr>
      <w:r w:rsidRPr="00604EBD">
        <w:rPr>
          <w:rFonts w:cs="Arial"/>
          <w:bCs/>
          <w:i/>
          <w:iCs/>
          <w:szCs w:val="24"/>
        </w:rPr>
        <w:t>Identifying and responding to risks of material misstatement due to fraud</w:t>
      </w:r>
    </w:p>
    <w:p w14:paraId="62710A1A" w14:textId="77777777" w:rsidR="00A42E55" w:rsidRPr="00604EBD" w:rsidRDefault="00A42E55" w:rsidP="00A42E55">
      <w:pPr>
        <w:jc w:val="both"/>
        <w:rPr>
          <w:rFonts w:cs="Arial"/>
          <w:szCs w:val="24"/>
          <w:lang w:val="en-US"/>
        </w:rPr>
      </w:pPr>
      <w:r w:rsidRPr="00604EBD">
        <w:rPr>
          <w:rFonts w:cs="Arial"/>
          <w:szCs w:val="24"/>
          <w:lang w:val="en-US"/>
        </w:rPr>
        <w:t>To identify risks of material misstatement due to fraud (“fraud risks”) we assessed events or conditions that could indicate an incentive or pressure to commit fraud or provide an opportunity to commit fraud. Our risk assessment procedures included:</w:t>
      </w:r>
    </w:p>
    <w:p w14:paraId="263BEA8F" w14:textId="77777777" w:rsidR="00A42E55" w:rsidRPr="00604EBD" w:rsidRDefault="00A42E55" w:rsidP="00A42E55">
      <w:pPr>
        <w:numPr>
          <w:ilvl w:val="0"/>
          <w:numId w:val="32"/>
        </w:numPr>
        <w:spacing w:before="0" w:after="120"/>
        <w:ind w:left="360"/>
        <w:jc w:val="both"/>
        <w:rPr>
          <w:rFonts w:cs="Arial"/>
          <w:szCs w:val="24"/>
          <w:lang w:val="en-US"/>
        </w:rPr>
      </w:pPr>
      <w:r w:rsidRPr="00604EBD">
        <w:rPr>
          <w:rFonts w:cs="Arial"/>
          <w:szCs w:val="24"/>
          <w:lang w:val="en-US"/>
        </w:rPr>
        <w:t>Enquiring of management, the Audit Committee and internal audit and inspection of policy documentation as to the CCG’s high-level policies and procedures to prevent and detect fraud, including the internal audit function,</w:t>
      </w:r>
      <w:r w:rsidRPr="00604EBD">
        <w:rPr>
          <w:rFonts w:cs="Arial"/>
          <w:color w:val="FF0000"/>
          <w:szCs w:val="24"/>
          <w:lang w:val="en-US"/>
        </w:rPr>
        <w:t xml:space="preserve"> </w:t>
      </w:r>
      <w:r w:rsidRPr="00604EBD">
        <w:rPr>
          <w:rFonts w:cs="Arial"/>
          <w:szCs w:val="24"/>
          <w:lang w:val="en-US"/>
        </w:rPr>
        <w:t>as well as whether they have knowledge of any actual, suspected or alleged fraud.</w:t>
      </w:r>
    </w:p>
    <w:p w14:paraId="63A22DB0" w14:textId="77777777" w:rsidR="00A42E55" w:rsidRPr="00604EBD" w:rsidRDefault="00A42E55" w:rsidP="00A42E55">
      <w:pPr>
        <w:numPr>
          <w:ilvl w:val="0"/>
          <w:numId w:val="32"/>
        </w:numPr>
        <w:spacing w:before="0" w:after="120"/>
        <w:ind w:left="360"/>
        <w:jc w:val="both"/>
        <w:rPr>
          <w:rFonts w:cs="Arial"/>
          <w:szCs w:val="24"/>
          <w:lang w:val="en-US"/>
        </w:rPr>
      </w:pPr>
      <w:r w:rsidRPr="00604EBD">
        <w:rPr>
          <w:rFonts w:cs="Arial"/>
          <w:szCs w:val="24"/>
          <w:lang w:val="en-US"/>
        </w:rPr>
        <w:t>Assessing the incentives for management to manipulate reported expenditure as a result of the need to achieve statutory targets delegated to the CCG by NHS England.</w:t>
      </w:r>
    </w:p>
    <w:p w14:paraId="5FBFAC8D" w14:textId="77777777" w:rsidR="00A42E55" w:rsidRPr="00604EBD" w:rsidRDefault="00A42E55" w:rsidP="00A42E55">
      <w:pPr>
        <w:numPr>
          <w:ilvl w:val="0"/>
          <w:numId w:val="32"/>
        </w:numPr>
        <w:spacing w:before="0" w:after="120"/>
        <w:ind w:left="360"/>
        <w:jc w:val="both"/>
        <w:rPr>
          <w:rFonts w:cs="Arial"/>
          <w:szCs w:val="24"/>
          <w:lang w:val="en-US"/>
        </w:rPr>
      </w:pPr>
      <w:r w:rsidRPr="00604EBD">
        <w:rPr>
          <w:rFonts w:cs="Arial"/>
          <w:szCs w:val="24"/>
          <w:lang w:val="en-US"/>
        </w:rPr>
        <w:t>Reading Governing Body and Audit Committee minutes.</w:t>
      </w:r>
    </w:p>
    <w:p w14:paraId="574B817A" w14:textId="77777777" w:rsidR="00A42E55" w:rsidRPr="00604EBD" w:rsidRDefault="00A42E55" w:rsidP="00A42E55">
      <w:pPr>
        <w:numPr>
          <w:ilvl w:val="0"/>
          <w:numId w:val="32"/>
        </w:numPr>
        <w:spacing w:before="0" w:after="120"/>
        <w:ind w:left="360"/>
        <w:jc w:val="both"/>
        <w:rPr>
          <w:rFonts w:cs="Arial"/>
          <w:szCs w:val="24"/>
          <w:lang w:val="en-US"/>
        </w:rPr>
      </w:pPr>
      <w:r w:rsidRPr="00604EBD">
        <w:rPr>
          <w:rFonts w:cs="Arial"/>
          <w:szCs w:val="24"/>
          <w:lang w:val="en-US"/>
        </w:rPr>
        <w:t>Using analytical procedures to identify any unusual or unexpected relationships.</w:t>
      </w:r>
    </w:p>
    <w:p w14:paraId="06B30083" w14:textId="77777777" w:rsidR="00A42E55" w:rsidRPr="00604EBD" w:rsidRDefault="00A42E55" w:rsidP="00A42E55">
      <w:pPr>
        <w:numPr>
          <w:ilvl w:val="0"/>
          <w:numId w:val="32"/>
        </w:numPr>
        <w:spacing w:before="0" w:after="120"/>
        <w:ind w:left="360"/>
        <w:jc w:val="both"/>
        <w:rPr>
          <w:rFonts w:cs="Arial"/>
          <w:szCs w:val="24"/>
          <w:lang w:val="en-US"/>
        </w:rPr>
      </w:pPr>
      <w:r w:rsidRPr="00604EBD">
        <w:rPr>
          <w:rFonts w:cs="Arial"/>
          <w:szCs w:val="24"/>
          <w:lang w:val="en-US"/>
        </w:rPr>
        <w:t>Reviewing the CCG’s accounting policies.</w:t>
      </w:r>
    </w:p>
    <w:p w14:paraId="1C27573E" w14:textId="77777777" w:rsidR="00A42E55" w:rsidRPr="00604EBD" w:rsidRDefault="00A42E55" w:rsidP="00A42E55">
      <w:pPr>
        <w:spacing w:after="160"/>
        <w:jc w:val="both"/>
        <w:rPr>
          <w:rFonts w:cs="Arial"/>
          <w:szCs w:val="24"/>
          <w:lang w:val="en-US"/>
        </w:rPr>
      </w:pPr>
      <w:r w:rsidRPr="00604EBD">
        <w:rPr>
          <w:rFonts w:cs="Arial"/>
          <w:szCs w:val="24"/>
          <w:lang w:val="en-US"/>
        </w:rPr>
        <w:t>We communicated identified fraud risks throughout the audit team and remained alert to any indications of fraud throughout the audit.</w:t>
      </w:r>
    </w:p>
    <w:p w14:paraId="2C4A9B19" w14:textId="77777777" w:rsidR="00A42E55" w:rsidRPr="00604EBD" w:rsidRDefault="00A42E55" w:rsidP="00A42E55">
      <w:pPr>
        <w:jc w:val="both"/>
        <w:rPr>
          <w:rFonts w:cs="Arial"/>
          <w:color w:val="FF0000"/>
          <w:szCs w:val="24"/>
          <w:lang w:val="en-US"/>
        </w:rPr>
      </w:pPr>
      <w:r w:rsidRPr="00604EBD">
        <w:rPr>
          <w:rFonts w:cs="Arial"/>
          <w:szCs w:val="24"/>
          <w:lang w:val="en-US"/>
        </w:rPr>
        <w:t>As required by auditing standards, and taking into account possible pressures to meet delegated statutory resource limits, we performed procedures to address the risk of management override of controls, in particular the risk that CCG management may be in a position to make inappropriate accounting entries.</w:t>
      </w:r>
    </w:p>
    <w:p w14:paraId="452CE30D" w14:textId="77777777" w:rsidR="00A42E55" w:rsidRPr="00604EBD" w:rsidRDefault="00A42E55" w:rsidP="00A42E55">
      <w:pPr>
        <w:jc w:val="both"/>
        <w:rPr>
          <w:rFonts w:cs="Arial"/>
          <w:szCs w:val="24"/>
          <w:lang w:val="en-US"/>
        </w:rPr>
      </w:pPr>
    </w:p>
    <w:p w14:paraId="660F42CF" w14:textId="77777777" w:rsidR="00A42E55" w:rsidRPr="00604EBD" w:rsidRDefault="00A42E55" w:rsidP="00A42E55">
      <w:pPr>
        <w:jc w:val="both"/>
        <w:rPr>
          <w:rFonts w:cs="Arial"/>
          <w:szCs w:val="24"/>
          <w:lang w:val="en-US"/>
        </w:rPr>
      </w:pPr>
      <w:r w:rsidRPr="00604EBD">
        <w:rPr>
          <w:rFonts w:cs="Arial"/>
          <w:szCs w:val="24"/>
          <w:lang w:val="en-US"/>
        </w:rPr>
        <w:t xml:space="preserve">On this audit we did not identify a fraud risk related to revenue recognition because of the nature of funding provided to the CCG, which is transferred from NHS England and recognised through the Statement of Changes in Taxpayers’ Equity. However, in line with the guidance set out in Practice Note 10 Audit of Financial Statements of Public Sector Bodies in the United Kingdom we recognised a fraud risk related to expenditure recognition. </w:t>
      </w:r>
    </w:p>
    <w:p w14:paraId="2661C608" w14:textId="77777777" w:rsidR="00A42E55" w:rsidRPr="00604EBD" w:rsidRDefault="00A42E55" w:rsidP="00A42E55">
      <w:pPr>
        <w:jc w:val="both"/>
        <w:rPr>
          <w:rFonts w:cs="Arial"/>
          <w:szCs w:val="24"/>
          <w:lang w:val="en-US"/>
        </w:rPr>
      </w:pPr>
      <w:r w:rsidRPr="00604EBD">
        <w:rPr>
          <w:rFonts w:cs="Arial"/>
          <w:szCs w:val="24"/>
          <w:lang w:val="en-US"/>
        </w:rPr>
        <w:t>We did not identify any additional fraud risks.</w:t>
      </w:r>
    </w:p>
    <w:p w14:paraId="0EB3DD72" w14:textId="77777777" w:rsidR="00A42E55" w:rsidRPr="00604EBD" w:rsidRDefault="00A42E55" w:rsidP="00A42E55">
      <w:pPr>
        <w:spacing w:after="160"/>
        <w:jc w:val="both"/>
        <w:rPr>
          <w:rFonts w:cs="Arial"/>
          <w:szCs w:val="24"/>
          <w:lang w:val="en-US"/>
        </w:rPr>
      </w:pPr>
      <w:r w:rsidRPr="00604EBD">
        <w:rPr>
          <w:rFonts w:cs="Arial"/>
          <w:szCs w:val="24"/>
          <w:lang w:val="en-US"/>
        </w:rPr>
        <w:t>We</w:t>
      </w:r>
      <w:r w:rsidRPr="00604EBD">
        <w:rPr>
          <w:rFonts w:cs="Arial"/>
          <w:color w:val="FF0000"/>
          <w:szCs w:val="24"/>
          <w:lang w:val="en-US"/>
        </w:rPr>
        <w:t xml:space="preserve"> </w:t>
      </w:r>
      <w:r w:rsidRPr="00604EBD">
        <w:rPr>
          <w:rFonts w:cs="Arial"/>
          <w:szCs w:val="24"/>
          <w:lang w:val="en-US"/>
        </w:rPr>
        <w:t>performed procedures including:</w:t>
      </w:r>
    </w:p>
    <w:p w14:paraId="25430E25" w14:textId="77777777" w:rsidR="00A42E55" w:rsidRPr="00604EBD" w:rsidRDefault="00A42E55" w:rsidP="00A42E55">
      <w:pPr>
        <w:pStyle w:val="ListParagraph"/>
        <w:numPr>
          <w:ilvl w:val="0"/>
          <w:numId w:val="33"/>
        </w:numPr>
        <w:spacing w:before="0" w:after="160"/>
        <w:ind w:left="284" w:hanging="284"/>
        <w:contextualSpacing w:val="0"/>
        <w:jc w:val="both"/>
        <w:rPr>
          <w:rFonts w:cs="Arial"/>
          <w:bCs/>
          <w:color w:val="FF0000"/>
          <w:szCs w:val="24"/>
        </w:rPr>
      </w:pPr>
      <w:r w:rsidRPr="00604EBD">
        <w:rPr>
          <w:rFonts w:cs="Arial"/>
          <w:bCs/>
          <w:szCs w:val="24"/>
        </w:rPr>
        <w:t>Identifying journal entries</w:t>
      </w:r>
      <w:r w:rsidRPr="00604EBD">
        <w:rPr>
          <w:rFonts w:cs="Arial"/>
          <w:bCs/>
          <w:color w:val="FF0000"/>
          <w:szCs w:val="24"/>
        </w:rPr>
        <w:t xml:space="preserve"> </w:t>
      </w:r>
      <w:r w:rsidRPr="00604EBD">
        <w:rPr>
          <w:rFonts w:cs="Arial"/>
          <w:bCs/>
          <w:szCs w:val="24"/>
        </w:rPr>
        <w:t>to test based on risk criteria and comparing the identified entries to supporting documentation. These included journals where one side posts to cash and the other side posts to an unusual account, journals entries in period 12 where one side posts to expenditure and the other side posts to an unusual account, and Journals entries containing key words being: fraud, litigation, error</w:t>
      </w:r>
    </w:p>
    <w:p w14:paraId="18826FF8" w14:textId="77777777" w:rsidR="00A42E55" w:rsidRPr="00604EBD" w:rsidRDefault="00A42E55" w:rsidP="00A42E55">
      <w:pPr>
        <w:pStyle w:val="ListParagraph"/>
        <w:numPr>
          <w:ilvl w:val="0"/>
          <w:numId w:val="33"/>
        </w:numPr>
        <w:spacing w:before="0" w:after="160"/>
        <w:ind w:left="284" w:hanging="284"/>
        <w:contextualSpacing w:val="0"/>
        <w:jc w:val="both"/>
        <w:rPr>
          <w:rFonts w:cs="Arial"/>
          <w:bCs/>
          <w:color w:val="FF0000"/>
          <w:szCs w:val="24"/>
        </w:rPr>
      </w:pPr>
      <w:r w:rsidRPr="00604EBD">
        <w:rPr>
          <w:rFonts w:cs="Arial"/>
          <w:bCs/>
          <w:szCs w:val="24"/>
        </w:rPr>
        <w:t>Assessing the completeness of disclosed related party transactions and verifying they had been accurately recorded within the financial statements</w:t>
      </w:r>
      <w:r w:rsidRPr="00604EBD">
        <w:rPr>
          <w:rFonts w:cs="Arial"/>
          <w:bCs/>
          <w:color w:val="FF0000"/>
          <w:szCs w:val="24"/>
        </w:rPr>
        <w:t xml:space="preserve">. </w:t>
      </w:r>
    </w:p>
    <w:p w14:paraId="5F0E3E5B" w14:textId="77777777" w:rsidR="00A42E55" w:rsidRPr="00604EBD" w:rsidRDefault="00A42E55" w:rsidP="00A42E55">
      <w:pPr>
        <w:pStyle w:val="ListParagraph"/>
        <w:numPr>
          <w:ilvl w:val="0"/>
          <w:numId w:val="33"/>
        </w:numPr>
        <w:spacing w:before="0" w:after="0"/>
        <w:ind w:left="284" w:hanging="284"/>
        <w:contextualSpacing w:val="0"/>
        <w:rPr>
          <w:rFonts w:cs="Arial"/>
          <w:bCs/>
          <w:szCs w:val="24"/>
        </w:rPr>
      </w:pPr>
      <w:r w:rsidRPr="00604EBD">
        <w:rPr>
          <w:rFonts w:cs="Arial"/>
          <w:bCs/>
          <w:szCs w:val="24"/>
        </w:rPr>
        <w:t>Performing cut-off testing of expenditure in the period 1 March to 31 May 2022 to determine whether amounts had been recognised in the correct accounting period.</w:t>
      </w:r>
    </w:p>
    <w:p w14:paraId="407B0AEA" w14:textId="77777777" w:rsidR="00A42E55" w:rsidRPr="00604EBD" w:rsidRDefault="00A42E55" w:rsidP="00A42E55">
      <w:pPr>
        <w:pStyle w:val="ListParagraph"/>
        <w:spacing w:after="160"/>
        <w:ind w:left="284"/>
        <w:jc w:val="both"/>
        <w:rPr>
          <w:rFonts w:cs="Arial"/>
          <w:bCs/>
          <w:color w:val="FF0000"/>
          <w:szCs w:val="24"/>
        </w:rPr>
      </w:pPr>
    </w:p>
    <w:p w14:paraId="4B5E9563" w14:textId="77777777" w:rsidR="00A42E55" w:rsidRPr="00604EBD" w:rsidRDefault="00A42E55" w:rsidP="00A42E55">
      <w:pPr>
        <w:spacing w:after="160"/>
        <w:jc w:val="both"/>
        <w:rPr>
          <w:rFonts w:cs="Arial"/>
          <w:bCs/>
          <w:i/>
          <w:iCs/>
          <w:szCs w:val="24"/>
        </w:rPr>
      </w:pPr>
      <w:r w:rsidRPr="00604EBD">
        <w:rPr>
          <w:rFonts w:cs="Arial"/>
          <w:bCs/>
          <w:i/>
          <w:iCs/>
          <w:szCs w:val="24"/>
        </w:rPr>
        <w:t>Identifying and responding to risks of material misstatement related to non-compliance with laws and regulations</w:t>
      </w:r>
    </w:p>
    <w:p w14:paraId="0695E3C4" w14:textId="77777777" w:rsidR="00A42E55" w:rsidRPr="00604EBD" w:rsidRDefault="00A42E55" w:rsidP="00A42E55">
      <w:pPr>
        <w:jc w:val="both"/>
        <w:rPr>
          <w:rFonts w:cs="Arial"/>
          <w:szCs w:val="24"/>
          <w:lang w:val="en-US"/>
        </w:rPr>
      </w:pPr>
      <w:r w:rsidRPr="00604EBD">
        <w:rPr>
          <w:rFonts w:cs="Arial"/>
          <w:szCs w:val="24"/>
          <w:lang w:val="en-US"/>
        </w:rPr>
        <w:t>We identified areas of laws and regulations that could reasonably be expected to have a material effect on the financial statements from our general sector experience and through discussion with the directors and other management (as required by auditing standards), and discussed with the directors and other management</w:t>
      </w:r>
      <w:r w:rsidRPr="00604EBD">
        <w:rPr>
          <w:rFonts w:cs="Arial"/>
          <w:color w:val="FF0000"/>
          <w:szCs w:val="24"/>
          <w:lang w:val="en-US"/>
        </w:rPr>
        <w:t xml:space="preserve"> </w:t>
      </w:r>
      <w:r w:rsidRPr="00604EBD">
        <w:rPr>
          <w:rFonts w:cs="Arial"/>
          <w:szCs w:val="24"/>
          <w:lang w:val="en-US"/>
        </w:rPr>
        <w:t xml:space="preserve">the policies and procedures regarding compliance with laws and regulations.  </w:t>
      </w:r>
    </w:p>
    <w:p w14:paraId="67E63AF4" w14:textId="77777777" w:rsidR="00A42E55" w:rsidRPr="00604EBD" w:rsidRDefault="00A42E55" w:rsidP="00A42E55">
      <w:pPr>
        <w:spacing w:after="160"/>
        <w:jc w:val="both"/>
        <w:rPr>
          <w:rFonts w:cs="Arial"/>
          <w:szCs w:val="24"/>
          <w:lang w:val="en-US"/>
        </w:rPr>
      </w:pPr>
      <w:r w:rsidRPr="00604EBD">
        <w:rPr>
          <w:rFonts w:cs="Arial"/>
          <w:szCs w:val="24"/>
          <w:lang w:val="en-US"/>
        </w:rPr>
        <w:t xml:space="preserve">As the CCG is regulated, our assessment of risks involved gaining an understanding of the control environment including the entity’s procedures for complying with regulatory requirements. </w:t>
      </w:r>
    </w:p>
    <w:p w14:paraId="067082ED" w14:textId="77777777" w:rsidR="00A42E55" w:rsidRPr="00604EBD" w:rsidRDefault="00A42E55" w:rsidP="00A42E55">
      <w:pPr>
        <w:spacing w:after="160"/>
        <w:jc w:val="both"/>
        <w:rPr>
          <w:rFonts w:cs="Arial"/>
          <w:szCs w:val="24"/>
          <w:lang w:val="en-US"/>
        </w:rPr>
      </w:pPr>
      <w:r w:rsidRPr="00604EBD">
        <w:rPr>
          <w:rFonts w:cs="Arial"/>
          <w:szCs w:val="24"/>
          <w:lang w:val="en-US"/>
        </w:rPr>
        <w:t>We communicated identified laws and regulations throughout our team and remained alert to any indications of non-compliance throughout the audit.</w:t>
      </w:r>
    </w:p>
    <w:p w14:paraId="255B813C" w14:textId="77777777" w:rsidR="00A42E55" w:rsidRPr="00604EBD" w:rsidRDefault="00A42E55" w:rsidP="00A42E55">
      <w:pPr>
        <w:jc w:val="both"/>
        <w:rPr>
          <w:rFonts w:cs="Arial"/>
          <w:szCs w:val="24"/>
          <w:lang w:val="en-US"/>
        </w:rPr>
      </w:pPr>
      <w:r w:rsidRPr="00604EBD">
        <w:rPr>
          <w:rFonts w:cs="Arial"/>
          <w:szCs w:val="24"/>
          <w:lang w:val="en-US"/>
        </w:rPr>
        <w:t>The potential effect of these laws and regulations on the financial statements varies considerably.</w:t>
      </w:r>
    </w:p>
    <w:p w14:paraId="50A3B371" w14:textId="77777777" w:rsidR="00A42E55" w:rsidRPr="00604EBD" w:rsidRDefault="00A42E55" w:rsidP="00A42E55">
      <w:pPr>
        <w:jc w:val="both"/>
        <w:rPr>
          <w:rFonts w:cs="Arial"/>
          <w:szCs w:val="24"/>
          <w:lang w:val="en-US"/>
        </w:rPr>
      </w:pPr>
      <w:r w:rsidRPr="00604EBD">
        <w:rPr>
          <w:rFonts w:cs="Arial"/>
          <w:szCs w:val="24"/>
          <w:lang w:val="en-US"/>
        </w:rPr>
        <w:t xml:space="preserve">The CCG is subject to laws and regulations that directly affect the financial statements including the National Health Service Act 2006 and financial reporting legislation. We assessed the extent of compliance with these laws and regulations as part of our procedures on the related financial statement items and our work on the regularity of expenditure incurred by the CCG in the year of account. </w:t>
      </w:r>
    </w:p>
    <w:p w14:paraId="3327C5DA" w14:textId="77777777" w:rsidR="00A42E55" w:rsidRPr="00604EBD" w:rsidRDefault="00A42E55" w:rsidP="00A42E55">
      <w:pPr>
        <w:jc w:val="both"/>
        <w:rPr>
          <w:rFonts w:cs="Arial"/>
          <w:szCs w:val="24"/>
          <w:lang w:val="en-US"/>
        </w:rPr>
      </w:pPr>
    </w:p>
    <w:p w14:paraId="17DE00D5" w14:textId="77777777" w:rsidR="00A42E55" w:rsidRPr="00604EBD" w:rsidRDefault="00A42E55" w:rsidP="00A42E55">
      <w:pPr>
        <w:spacing w:after="160"/>
        <w:jc w:val="both"/>
        <w:rPr>
          <w:rFonts w:cs="Arial"/>
          <w:iCs/>
          <w:szCs w:val="24"/>
        </w:rPr>
      </w:pPr>
      <w:r w:rsidRPr="00604EBD">
        <w:rPr>
          <w:rFonts w:cs="Arial"/>
          <w:iCs/>
          <w:szCs w:val="24"/>
        </w:rPr>
        <w:t>Whilst the CCG is subject to many other laws and regulations, we did not identify any others where the consequences of non-compliance alone could have a material effect on amounts or disclosures in the financial statements.</w:t>
      </w:r>
    </w:p>
    <w:p w14:paraId="3AD2AD8B" w14:textId="77777777" w:rsidR="00A42E55" w:rsidRPr="00604EBD" w:rsidRDefault="00A42E55" w:rsidP="00A42E55">
      <w:pPr>
        <w:spacing w:after="160"/>
        <w:jc w:val="both"/>
        <w:rPr>
          <w:rFonts w:cs="Arial"/>
          <w:i/>
          <w:szCs w:val="24"/>
          <w:lang w:val="en-US"/>
        </w:rPr>
      </w:pPr>
      <w:r w:rsidRPr="00604EBD">
        <w:rPr>
          <w:rFonts w:cs="Arial"/>
          <w:i/>
          <w:szCs w:val="24"/>
          <w:lang w:val="en-US"/>
        </w:rPr>
        <w:t>Context of the ability of the audit to detect fraud or breaches of law or regulation</w:t>
      </w:r>
    </w:p>
    <w:p w14:paraId="3F586FE2" w14:textId="77777777" w:rsidR="00A42E55" w:rsidRPr="00604EBD" w:rsidRDefault="00A42E55" w:rsidP="00A42E55">
      <w:pPr>
        <w:spacing w:after="120"/>
        <w:jc w:val="both"/>
        <w:rPr>
          <w:rFonts w:cs="Arial"/>
          <w:iCs/>
          <w:szCs w:val="24"/>
          <w:lang w:val="en-US"/>
        </w:rPr>
      </w:pPr>
      <w:r w:rsidRPr="00604EBD">
        <w:rPr>
          <w:rFonts w:cs="Arial"/>
          <w:iCs/>
          <w:szCs w:val="24"/>
          <w:lang w:val="en-US"/>
        </w:rPr>
        <w:t xml:space="preserve">Owing to the inherent limitations of an audit, there is an unavoidable risk that we may not have detected some material misstatements in the financial statements, even though we have properly planned and performed our audit in accordance with auditing standards. For example, the further removed non-compliance with laws and regulations is from the events and transactions reflected in the financial statements, the less likely the inherently limited procedures required by auditing standards would identify it.  </w:t>
      </w:r>
    </w:p>
    <w:p w14:paraId="3EC90865" w14:textId="77777777" w:rsidR="00A42E55" w:rsidRPr="00604EBD" w:rsidRDefault="00A42E55" w:rsidP="00A42E55">
      <w:pPr>
        <w:spacing w:after="160"/>
        <w:jc w:val="both"/>
        <w:rPr>
          <w:rFonts w:cs="Arial"/>
          <w:bCs/>
          <w:iCs/>
          <w:color w:val="FF0000"/>
          <w:szCs w:val="24"/>
        </w:rPr>
      </w:pPr>
      <w:r w:rsidRPr="00604EBD">
        <w:rPr>
          <w:rFonts w:cs="Arial"/>
          <w:iCs/>
          <w:szCs w:val="24"/>
          <w:lang w:val="en-US"/>
        </w:rPr>
        <w:t>In addition, as with any audit, there remained a higher risk of non-detection of fraud, as these may involve collusion, forgery, intentional omissions, misrepresentations, or the override of internal controls. Our audit procedures are designed to detect material misstatement. We are not responsible for preventing non-compliance or fraud and cannot be expected to detect non-compliance with all laws and regulations.</w:t>
      </w:r>
    </w:p>
    <w:p w14:paraId="4153D59F" w14:textId="77777777" w:rsidR="00A42E55" w:rsidRPr="00604EBD" w:rsidRDefault="00A42E55" w:rsidP="00A42E55">
      <w:pPr>
        <w:spacing w:after="160"/>
        <w:jc w:val="both"/>
        <w:rPr>
          <w:rFonts w:cs="Arial"/>
          <w:b/>
          <w:szCs w:val="24"/>
        </w:rPr>
      </w:pPr>
      <w:r w:rsidRPr="00604EBD">
        <w:rPr>
          <w:rFonts w:cs="Arial"/>
          <w:b/>
          <w:szCs w:val="24"/>
        </w:rPr>
        <w:t>Other information in the Annual Report</w:t>
      </w:r>
    </w:p>
    <w:p w14:paraId="483700D0" w14:textId="77777777" w:rsidR="00A42E55" w:rsidRPr="00604EBD" w:rsidRDefault="00A42E55" w:rsidP="00A42E55">
      <w:pPr>
        <w:spacing w:after="120"/>
        <w:jc w:val="both"/>
        <w:rPr>
          <w:rFonts w:cs="Arial"/>
          <w:szCs w:val="24"/>
        </w:rPr>
      </w:pPr>
      <w:r w:rsidRPr="00604EBD">
        <w:rPr>
          <w:rFonts w:cs="Arial"/>
          <w:szCs w:val="24"/>
        </w:rPr>
        <w:t>The Accountable Officer is responsible for the other information presented in the Annual Report together with the financial statements.  Our opinion on the financial statements does not cover the other information and, accordingly, we do not express an audit opinion or, except as explicitly stated below, any form of assurance conclusion thereon.</w:t>
      </w:r>
    </w:p>
    <w:p w14:paraId="0127136B" w14:textId="77777777" w:rsidR="00A42E55" w:rsidRPr="00604EBD" w:rsidRDefault="00A42E55" w:rsidP="00A42E55">
      <w:pPr>
        <w:spacing w:after="120"/>
        <w:jc w:val="both"/>
        <w:rPr>
          <w:rFonts w:cs="Arial"/>
          <w:szCs w:val="24"/>
        </w:rPr>
      </w:pPr>
      <w:r w:rsidRPr="00604EBD">
        <w:rPr>
          <w:rFonts w:cs="Arial"/>
          <w:szCs w:val="24"/>
        </w:rPr>
        <w:t>Our responsibility is to read the other information and, in doing so, consider whether, based on our financial statements audit work, the information therein is materially misstated or inconsistent with the financial statements or our audit knowledge.  Based solely on that work:</w:t>
      </w:r>
    </w:p>
    <w:p w14:paraId="532099E8" w14:textId="77777777" w:rsidR="00A42E55" w:rsidRPr="00604EBD" w:rsidRDefault="00A42E55" w:rsidP="00A42E55">
      <w:pPr>
        <w:pStyle w:val="ListParagraph"/>
        <w:numPr>
          <w:ilvl w:val="0"/>
          <w:numId w:val="31"/>
        </w:numPr>
        <w:spacing w:before="0" w:after="120"/>
        <w:ind w:left="284" w:hanging="284"/>
        <w:contextualSpacing w:val="0"/>
        <w:jc w:val="both"/>
        <w:rPr>
          <w:rFonts w:cs="Arial"/>
          <w:szCs w:val="24"/>
        </w:rPr>
      </w:pPr>
      <w:r w:rsidRPr="00604EBD">
        <w:rPr>
          <w:rFonts w:cs="Arial"/>
          <w:szCs w:val="24"/>
        </w:rPr>
        <w:t xml:space="preserve">we have not identified material misstatements in the other information; </w:t>
      </w:r>
    </w:p>
    <w:p w14:paraId="24BD2F4D" w14:textId="77777777" w:rsidR="00A42E55" w:rsidRPr="00604EBD" w:rsidRDefault="00A42E55" w:rsidP="00A42E55">
      <w:pPr>
        <w:pStyle w:val="ListParagraph"/>
        <w:numPr>
          <w:ilvl w:val="0"/>
          <w:numId w:val="31"/>
        </w:numPr>
        <w:spacing w:before="0" w:after="120"/>
        <w:ind w:left="284" w:hanging="284"/>
        <w:contextualSpacing w:val="0"/>
        <w:jc w:val="both"/>
        <w:rPr>
          <w:rFonts w:cs="Arial"/>
          <w:b/>
          <w:i/>
          <w:szCs w:val="24"/>
          <w:lang w:val="en-US"/>
        </w:rPr>
      </w:pPr>
      <w:r w:rsidRPr="00604EBD">
        <w:rPr>
          <w:rFonts w:cs="Arial"/>
          <w:szCs w:val="24"/>
        </w:rPr>
        <w:t>in our opinion the other information included in the Annual Report for the financial year is consistent with the financial statements; and.</w:t>
      </w:r>
    </w:p>
    <w:p w14:paraId="08CC6FFF" w14:textId="77777777" w:rsidR="00A42E55" w:rsidRPr="00604EBD" w:rsidRDefault="00A42E55" w:rsidP="00A42E55">
      <w:pPr>
        <w:pStyle w:val="ListParagraph"/>
        <w:numPr>
          <w:ilvl w:val="0"/>
          <w:numId w:val="31"/>
        </w:numPr>
        <w:spacing w:before="0" w:after="120"/>
        <w:ind w:left="284" w:hanging="284"/>
        <w:contextualSpacing w:val="0"/>
        <w:jc w:val="both"/>
        <w:rPr>
          <w:rFonts w:cs="Arial"/>
          <w:szCs w:val="24"/>
        </w:rPr>
      </w:pPr>
      <w:r w:rsidRPr="00604EBD">
        <w:rPr>
          <w:rFonts w:cs="Arial"/>
          <w:szCs w:val="24"/>
        </w:rPr>
        <w:t>in our opinion the other information has been prepared in accordance with the requirements of the Department of Health and Social Care Group Accounting Manual 2021/22.</w:t>
      </w:r>
    </w:p>
    <w:p w14:paraId="25F14701" w14:textId="77777777" w:rsidR="00A42E55" w:rsidRPr="00604EBD" w:rsidRDefault="00A42E55" w:rsidP="00A42E55">
      <w:pPr>
        <w:autoSpaceDE w:val="0"/>
        <w:autoSpaceDN w:val="0"/>
        <w:adjustRightInd w:val="0"/>
        <w:spacing w:after="160"/>
        <w:jc w:val="both"/>
        <w:rPr>
          <w:rFonts w:cs="Arial"/>
          <w:b/>
          <w:i/>
          <w:szCs w:val="24"/>
        </w:rPr>
      </w:pPr>
      <w:r w:rsidRPr="00604EBD">
        <w:rPr>
          <w:rFonts w:cs="Arial"/>
          <w:b/>
          <w:i/>
          <w:szCs w:val="24"/>
          <w:lang w:val="en-US"/>
        </w:rPr>
        <w:t>Annual Governance Statement</w:t>
      </w:r>
      <w:r w:rsidRPr="00604EBD">
        <w:rPr>
          <w:rFonts w:cs="Arial"/>
          <w:b/>
          <w:i/>
          <w:szCs w:val="24"/>
        </w:rPr>
        <w:t xml:space="preserve"> </w:t>
      </w:r>
    </w:p>
    <w:p w14:paraId="343DC223" w14:textId="77777777" w:rsidR="00A42E55" w:rsidRPr="00604EBD" w:rsidRDefault="00A42E55" w:rsidP="00A42E55">
      <w:pPr>
        <w:autoSpaceDE w:val="0"/>
        <w:autoSpaceDN w:val="0"/>
        <w:adjustRightInd w:val="0"/>
        <w:spacing w:after="160"/>
        <w:jc w:val="both"/>
        <w:rPr>
          <w:rFonts w:cs="Arial"/>
          <w:szCs w:val="24"/>
          <w:lang w:val="en-US"/>
        </w:rPr>
      </w:pPr>
      <w:r w:rsidRPr="00604EBD">
        <w:rPr>
          <w:rFonts w:cs="Arial"/>
          <w:szCs w:val="24"/>
        </w:rPr>
        <w:t xml:space="preserve">We are required to report to you </w:t>
      </w:r>
      <w:r w:rsidRPr="00604EBD">
        <w:rPr>
          <w:rFonts w:cs="Arial"/>
          <w:szCs w:val="24"/>
          <w:lang w:val="en-US"/>
        </w:rPr>
        <w:t xml:space="preserve">if the Annual Governance Statement has not been prepared in accordance with the requirements of the </w:t>
      </w:r>
      <w:r w:rsidRPr="00604EBD">
        <w:rPr>
          <w:rFonts w:cs="Arial"/>
          <w:szCs w:val="24"/>
        </w:rPr>
        <w:t>Department of Health and Social Care Group Accounting Manual 2021/22</w:t>
      </w:r>
      <w:r w:rsidRPr="00604EBD">
        <w:rPr>
          <w:rFonts w:cs="Arial"/>
          <w:szCs w:val="24"/>
          <w:lang w:val="en-US"/>
        </w:rPr>
        <w:t>.  We have nothing to report in this respect.</w:t>
      </w:r>
    </w:p>
    <w:p w14:paraId="404D8B36" w14:textId="77777777" w:rsidR="00A42E55" w:rsidRPr="00604EBD" w:rsidRDefault="00A42E55" w:rsidP="00A42E55">
      <w:pPr>
        <w:autoSpaceDE w:val="0"/>
        <w:autoSpaceDN w:val="0"/>
        <w:adjustRightInd w:val="0"/>
        <w:spacing w:after="160"/>
        <w:jc w:val="both"/>
        <w:rPr>
          <w:rFonts w:cs="Arial"/>
          <w:szCs w:val="24"/>
          <w:lang w:val="en-US"/>
        </w:rPr>
      </w:pPr>
    </w:p>
    <w:p w14:paraId="79E26FEE" w14:textId="77777777" w:rsidR="00A42E55" w:rsidRPr="00604EBD" w:rsidRDefault="00A42E55" w:rsidP="00A42E55">
      <w:pPr>
        <w:autoSpaceDE w:val="0"/>
        <w:autoSpaceDN w:val="0"/>
        <w:adjustRightInd w:val="0"/>
        <w:spacing w:after="160"/>
        <w:jc w:val="both"/>
        <w:rPr>
          <w:rFonts w:cs="Arial"/>
          <w:szCs w:val="24"/>
          <w:lang w:val="en-US"/>
        </w:rPr>
      </w:pPr>
    </w:p>
    <w:p w14:paraId="7EECEB14" w14:textId="77777777" w:rsidR="00A42E55" w:rsidRPr="00604EBD" w:rsidRDefault="00A42E55" w:rsidP="00A42E55">
      <w:pPr>
        <w:autoSpaceDE w:val="0"/>
        <w:autoSpaceDN w:val="0"/>
        <w:adjustRightInd w:val="0"/>
        <w:spacing w:after="160"/>
        <w:jc w:val="both"/>
        <w:rPr>
          <w:rFonts w:cs="Arial"/>
          <w:szCs w:val="24"/>
          <w:lang w:val="en-US"/>
        </w:rPr>
      </w:pPr>
    </w:p>
    <w:p w14:paraId="62035493" w14:textId="77777777" w:rsidR="00A42E55" w:rsidRPr="00604EBD" w:rsidRDefault="00A42E55" w:rsidP="00A42E55">
      <w:pPr>
        <w:autoSpaceDE w:val="0"/>
        <w:autoSpaceDN w:val="0"/>
        <w:adjustRightInd w:val="0"/>
        <w:spacing w:after="160"/>
        <w:jc w:val="both"/>
        <w:rPr>
          <w:rFonts w:cs="Arial"/>
          <w:b/>
          <w:i/>
          <w:iCs/>
          <w:szCs w:val="24"/>
        </w:rPr>
      </w:pPr>
      <w:r w:rsidRPr="00604EBD">
        <w:rPr>
          <w:rFonts w:cs="Arial"/>
          <w:b/>
          <w:i/>
          <w:iCs/>
          <w:szCs w:val="24"/>
        </w:rPr>
        <w:t xml:space="preserve">Remuneration and Staff Reports </w:t>
      </w:r>
    </w:p>
    <w:p w14:paraId="34D0846A" w14:textId="77777777" w:rsidR="00A42E55" w:rsidRPr="00604EBD" w:rsidRDefault="00A42E55" w:rsidP="00A42E55">
      <w:pPr>
        <w:autoSpaceDE w:val="0"/>
        <w:autoSpaceDN w:val="0"/>
        <w:adjustRightInd w:val="0"/>
        <w:spacing w:after="160"/>
        <w:jc w:val="both"/>
        <w:rPr>
          <w:rFonts w:cs="Arial"/>
          <w:szCs w:val="24"/>
        </w:rPr>
      </w:pPr>
      <w:r w:rsidRPr="00604EBD">
        <w:rPr>
          <w:rFonts w:cs="Arial"/>
          <w:szCs w:val="24"/>
          <w:lang w:val="en-US"/>
        </w:rPr>
        <w:t xml:space="preserve">In our opinion </w:t>
      </w:r>
      <w:r w:rsidRPr="00604EBD">
        <w:rPr>
          <w:rFonts w:cs="Arial"/>
          <w:iCs/>
          <w:szCs w:val="24"/>
        </w:rPr>
        <w:t xml:space="preserve">the parts of the Remuneration and Staff Reports </w:t>
      </w:r>
      <w:r w:rsidRPr="00604EBD">
        <w:rPr>
          <w:rFonts w:cs="Arial"/>
          <w:szCs w:val="24"/>
        </w:rPr>
        <w:t xml:space="preserve">subject to audit </w:t>
      </w:r>
      <w:r w:rsidRPr="00604EBD">
        <w:rPr>
          <w:rFonts w:cs="Arial"/>
          <w:iCs/>
          <w:szCs w:val="24"/>
        </w:rPr>
        <w:t xml:space="preserve">have been </w:t>
      </w:r>
      <w:r w:rsidRPr="00604EBD">
        <w:rPr>
          <w:rFonts w:cs="Arial"/>
          <w:szCs w:val="24"/>
        </w:rPr>
        <w:t>properly prepared in accordance with the Department of Health and Social Care Group Accounting Manual 2021/22.</w:t>
      </w:r>
    </w:p>
    <w:p w14:paraId="3E749765" w14:textId="77777777" w:rsidR="00A42E55" w:rsidRPr="00604EBD" w:rsidRDefault="00A42E55" w:rsidP="00A42E55">
      <w:pPr>
        <w:spacing w:after="160"/>
        <w:jc w:val="both"/>
        <w:rPr>
          <w:rFonts w:cs="Arial"/>
          <w:b/>
          <w:szCs w:val="24"/>
        </w:rPr>
      </w:pPr>
      <w:r w:rsidRPr="00604EBD">
        <w:rPr>
          <w:rFonts w:cs="Arial"/>
          <w:b/>
          <w:szCs w:val="24"/>
        </w:rPr>
        <w:t>Accountable Officer’s responsibilities</w:t>
      </w:r>
    </w:p>
    <w:p w14:paraId="19E0E312" w14:textId="77777777" w:rsidR="00A42E55" w:rsidRPr="00604EBD" w:rsidRDefault="00A42E55" w:rsidP="00A42E55">
      <w:pPr>
        <w:spacing w:after="160"/>
        <w:jc w:val="both"/>
        <w:rPr>
          <w:rFonts w:cs="Arial"/>
          <w:szCs w:val="24"/>
        </w:rPr>
      </w:pPr>
      <w:r w:rsidRPr="00604EBD">
        <w:rPr>
          <w:rFonts w:cs="Arial"/>
          <w:szCs w:val="24"/>
        </w:rPr>
        <w:t>As explained more fully in the statement set out on page 61, the Accountable Officer is responsible for the preparation of financial statements that give a true and fair view.  They are also responsible for such internal control as they determine is necessary to enable the preparation of financial statements that are free from material misstatement, whether due to fraud or error; assessing the CCG’s ability to continue as a going concern, disclosing, as applicable, matters related to going concern; and using the going concern basis of accounting unless they have been informed by the relevant national body of the intention to dissolve the CCG without the transfer of its services to another public sector entity.</w:t>
      </w:r>
    </w:p>
    <w:p w14:paraId="6373FA29" w14:textId="77777777" w:rsidR="00A42E55" w:rsidRPr="00604EBD" w:rsidRDefault="00A42E55" w:rsidP="00A42E55">
      <w:pPr>
        <w:spacing w:after="160"/>
        <w:jc w:val="both"/>
        <w:rPr>
          <w:rFonts w:cs="Arial"/>
          <w:b/>
          <w:szCs w:val="24"/>
        </w:rPr>
      </w:pPr>
      <w:r w:rsidRPr="00604EBD">
        <w:rPr>
          <w:rFonts w:cs="Arial"/>
          <w:b/>
          <w:szCs w:val="24"/>
        </w:rPr>
        <w:t xml:space="preserve">Auditor’s responsibilities </w:t>
      </w:r>
    </w:p>
    <w:p w14:paraId="7350E1D0" w14:textId="77777777" w:rsidR="00A42E55" w:rsidRPr="00604EBD" w:rsidRDefault="00A42E55" w:rsidP="00A42E55">
      <w:pPr>
        <w:spacing w:after="160"/>
        <w:jc w:val="both"/>
        <w:rPr>
          <w:rFonts w:cs="Arial"/>
          <w:szCs w:val="24"/>
        </w:rPr>
      </w:pPr>
      <w:r w:rsidRPr="00604EBD">
        <w:rPr>
          <w:rFonts w:cs="Arial"/>
          <w:szCs w:val="24"/>
        </w:rPr>
        <w:t xml:space="preserve">Our objectives are to obtain reasonable assurance about whether the financial statements as a whole are free from material misstatement, whether due to fraud or error, and to issue our opinion in an auditor’s report.  Reasonable assurance is a high level of assurance, but does not guarantee that an audit conducted in accordance with ISAs (UK) will always detect a material misstatement when it exists.  Misstatements can arise from fraud or error and are considered material if, individually or in aggregate, they could reasonably be expected to influence the economic decisions of users taken on the basis of the financial statements.  </w:t>
      </w:r>
    </w:p>
    <w:p w14:paraId="00F3F07D" w14:textId="77777777" w:rsidR="00A42E55" w:rsidRPr="00604EBD" w:rsidRDefault="00A42E55" w:rsidP="00A42E55">
      <w:pPr>
        <w:spacing w:after="160"/>
        <w:jc w:val="both"/>
        <w:rPr>
          <w:rFonts w:cs="Arial"/>
          <w:szCs w:val="24"/>
        </w:rPr>
      </w:pPr>
      <w:r w:rsidRPr="00604EBD">
        <w:rPr>
          <w:rFonts w:cs="Arial"/>
          <w:szCs w:val="24"/>
        </w:rPr>
        <w:t xml:space="preserve">A fuller description of our responsibilities is provided on the FRC’s website at </w:t>
      </w:r>
      <w:hyperlink r:id="rId86" w:history="1">
        <w:r w:rsidRPr="00604EBD">
          <w:rPr>
            <w:rStyle w:val="Hyperlink"/>
            <w:rFonts w:cs="Arial"/>
            <w:szCs w:val="24"/>
          </w:rPr>
          <w:t>www.frc.org.uk/auditorsresponsibilities</w:t>
        </w:r>
      </w:hyperlink>
    </w:p>
    <w:p w14:paraId="295D8BB5" w14:textId="77777777" w:rsidR="00A42E55" w:rsidRPr="00604EBD" w:rsidRDefault="00A42E55" w:rsidP="00A42E55">
      <w:pPr>
        <w:spacing w:after="160"/>
        <w:jc w:val="both"/>
        <w:rPr>
          <w:rFonts w:cs="Arial"/>
          <w:b/>
          <w:bCs/>
          <w:szCs w:val="24"/>
          <w:lang w:val="en-US"/>
        </w:rPr>
      </w:pPr>
      <w:r w:rsidRPr="00604EBD">
        <w:rPr>
          <w:rFonts w:cs="Arial"/>
          <w:b/>
          <w:bCs/>
          <w:szCs w:val="24"/>
          <w:lang w:val="en-US"/>
        </w:rPr>
        <w:t>REPORT ON OTHER LEGAL AND REGULATORY MATTERS</w:t>
      </w:r>
    </w:p>
    <w:p w14:paraId="04C55D40" w14:textId="77777777" w:rsidR="00A42E55" w:rsidRPr="00604EBD" w:rsidRDefault="00A42E55" w:rsidP="00A42E55">
      <w:pPr>
        <w:autoSpaceDE w:val="0"/>
        <w:autoSpaceDN w:val="0"/>
        <w:adjustRightInd w:val="0"/>
        <w:spacing w:after="160"/>
        <w:jc w:val="both"/>
        <w:rPr>
          <w:rFonts w:cs="Arial"/>
          <w:b/>
          <w:bCs/>
          <w:szCs w:val="24"/>
          <w:lang w:val="en-US"/>
        </w:rPr>
      </w:pPr>
      <w:r w:rsidRPr="00604EBD">
        <w:rPr>
          <w:rFonts w:cs="Arial"/>
          <w:b/>
          <w:bCs/>
          <w:szCs w:val="24"/>
          <w:lang w:val="en-US"/>
        </w:rPr>
        <w:t xml:space="preserve">Opinion on regularity </w:t>
      </w:r>
    </w:p>
    <w:p w14:paraId="22970B99" w14:textId="77777777" w:rsidR="00A42E55" w:rsidRPr="00604EBD" w:rsidRDefault="00A42E55" w:rsidP="00A42E55">
      <w:pPr>
        <w:spacing w:after="120"/>
        <w:jc w:val="both"/>
        <w:rPr>
          <w:rFonts w:cs="Arial"/>
          <w:szCs w:val="24"/>
        </w:rPr>
      </w:pPr>
      <w:r w:rsidRPr="00604EBD">
        <w:rPr>
          <w:rFonts w:cs="Arial"/>
          <w:szCs w:val="24"/>
        </w:rPr>
        <w:t>We are required to report on the following matters under Section 25(1) of the Local Audit and Accountability Act 2014.</w:t>
      </w:r>
    </w:p>
    <w:p w14:paraId="17A4B647" w14:textId="77777777" w:rsidR="00A42E55" w:rsidRPr="00604EBD" w:rsidRDefault="00A42E55" w:rsidP="00A42E55">
      <w:pPr>
        <w:autoSpaceDE w:val="0"/>
        <w:autoSpaceDN w:val="0"/>
        <w:adjustRightInd w:val="0"/>
        <w:spacing w:after="160"/>
        <w:jc w:val="both"/>
        <w:rPr>
          <w:rFonts w:cs="Arial"/>
          <w:szCs w:val="24"/>
        </w:rPr>
      </w:pPr>
      <w:r w:rsidRPr="00604EBD">
        <w:rPr>
          <w:rFonts w:cs="Arial"/>
          <w:szCs w:val="24"/>
        </w:rPr>
        <w:t xml:space="preserve">In our opinion, in all material respects, the expenditure and income recorded in the financial statements have been applied to the purposes intended by Parliament and the financial transactions conform to the authorities which govern them. </w:t>
      </w:r>
    </w:p>
    <w:p w14:paraId="24F17AC7" w14:textId="77777777" w:rsidR="00A42E55" w:rsidRPr="00604EBD" w:rsidRDefault="00A42E55" w:rsidP="00A42E55">
      <w:pPr>
        <w:autoSpaceDE w:val="0"/>
        <w:autoSpaceDN w:val="0"/>
        <w:adjustRightInd w:val="0"/>
        <w:spacing w:after="160"/>
        <w:jc w:val="both"/>
        <w:rPr>
          <w:rFonts w:cs="Arial"/>
          <w:b/>
          <w:bCs/>
          <w:szCs w:val="24"/>
        </w:rPr>
      </w:pPr>
      <w:r w:rsidRPr="00604EBD">
        <w:rPr>
          <w:rFonts w:cs="Arial"/>
          <w:b/>
          <w:bCs/>
          <w:szCs w:val="24"/>
        </w:rPr>
        <w:t xml:space="preserve">Report on the CCG’s arrangements for securing economy, efficiency and effectiveness in its use of resources </w:t>
      </w:r>
    </w:p>
    <w:p w14:paraId="5EFFF03B" w14:textId="77777777" w:rsidR="00A42E55" w:rsidRPr="00604EBD" w:rsidRDefault="00A42E55" w:rsidP="00A42E55">
      <w:pPr>
        <w:spacing w:after="160"/>
        <w:jc w:val="both"/>
        <w:rPr>
          <w:rFonts w:cs="Arial"/>
          <w:szCs w:val="24"/>
        </w:rPr>
      </w:pPr>
      <w:r w:rsidRPr="00604EBD">
        <w:rPr>
          <w:rFonts w:cs="Arial"/>
          <w:szCs w:val="24"/>
        </w:rPr>
        <w:t xml:space="preserve">Under the Code of Audit Practice, we are required to report if we identify any significant weaknesses in the arrangements that have been made by the CCG to secure economy, efficiency and effectiveness in its use of resources. </w:t>
      </w:r>
    </w:p>
    <w:p w14:paraId="1BAFF804" w14:textId="77777777" w:rsidR="00A42E55" w:rsidRPr="00604EBD" w:rsidRDefault="00A42E55" w:rsidP="00A42E55">
      <w:pPr>
        <w:spacing w:after="160"/>
        <w:jc w:val="both"/>
        <w:rPr>
          <w:rFonts w:cs="Arial"/>
          <w:szCs w:val="24"/>
        </w:rPr>
      </w:pPr>
      <w:r w:rsidRPr="00604EBD">
        <w:rPr>
          <w:rFonts w:cs="Arial"/>
          <w:szCs w:val="24"/>
        </w:rPr>
        <w:t>We have nothing to report in this respect.</w:t>
      </w:r>
    </w:p>
    <w:p w14:paraId="48CA74E3" w14:textId="77777777" w:rsidR="00A42E55" w:rsidRPr="00604EBD" w:rsidRDefault="00A42E55" w:rsidP="00A42E55">
      <w:pPr>
        <w:spacing w:after="160"/>
        <w:jc w:val="both"/>
        <w:rPr>
          <w:rFonts w:cs="Arial"/>
          <w:b/>
          <w:i/>
          <w:szCs w:val="24"/>
        </w:rPr>
      </w:pPr>
      <w:r w:rsidRPr="00604EBD">
        <w:rPr>
          <w:rFonts w:cs="Arial"/>
          <w:b/>
          <w:i/>
          <w:szCs w:val="24"/>
        </w:rPr>
        <w:t xml:space="preserve">Respective responsibilities in respect of our review of arrangements for securing economy, efficiency and effectiveness in the use of resources  </w:t>
      </w:r>
    </w:p>
    <w:p w14:paraId="19F31497" w14:textId="77777777" w:rsidR="00A42E55" w:rsidRPr="00604EBD" w:rsidRDefault="00A42E55" w:rsidP="00A42E55">
      <w:pPr>
        <w:spacing w:after="160"/>
        <w:jc w:val="both"/>
        <w:rPr>
          <w:rFonts w:cs="Arial"/>
          <w:szCs w:val="24"/>
        </w:rPr>
      </w:pPr>
      <w:r w:rsidRPr="00604EBD">
        <w:rPr>
          <w:rFonts w:cs="Arial"/>
          <w:szCs w:val="24"/>
        </w:rPr>
        <w:t>As explained more fully in the statement set out on page 61, t</w:t>
      </w:r>
      <w:r w:rsidRPr="00604EBD">
        <w:rPr>
          <w:rFonts w:cs="Arial"/>
          <w:iCs/>
          <w:szCs w:val="24"/>
        </w:rPr>
        <w:t>he Accountable Officer is responsible for ensuring that the CCG exercises its functions effectively, efficiently and economically.  We are required under section 21(1)(c) of the Local Audit and Accountability Act 2014 to be satisfied that the CCG has made proper arrangements for securing economy, efficiency and effectiveness in its use of resources.</w:t>
      </w:r>
    </w:p>
    <w:p w14:paraId="1D699C74" w14:textId="77777777" w:rsidR="00A42E55" w:rsidRPr="00604EBD" w:rsidRDefault="00A42E55" w:rsidP="00A42E55">
      <w:pPr>
        <w:spacing w:after="160"/>
        <w:jc w:val="both"/>
        <w:rPr>
          <w:rFonts w:cs="Arial"/>
          <w:szCs w:val="24"/>
        </w:rPr>
      </w:pPr>
      <w:r w:rsidRPr="00604EBD">
        <w:rPr>
          <w:rFonts w:cs="Arial"/>
          <w:szCs w:val="24"/>
        </w:rPr>
        <w:t>We are not required to consider, nor have we considered, whether all aspects of the CCG’s arrangements for securing economy, efficiency and effectiveness in the use of resources are operating effectively.</w:t>
      </w:r>
    </w:p>
    <w:p w14:paraId="77A3DF6F" w14:textId="77777777" w:rsidR="00A42E55" w:rsidRPr="00604EBD" w:rsidRDefault="00A42E55" w:rsidP="00A42E55">
      <w:pPr>
        <w:autoSpaceDE w:val="0"/>
        <w:autoSpaceDN w:val="0"/>
        <w:adjustRightInd w:val="0"/>
        <w:spacing w:after="160"/>
        <w:jc w:val="both"/>
        <w:rPr>
          <w:rFonts w:cs="Arial"/>
          <w:szCs w:val="24"/>
        </w:rPr>
      </w:pPr>
      <w:r w:rsidRPr="00604EBD">
        <w:rPr>
          <w:rFonts w:cs="Arial"/>
          <w:szCs w:val="24"/>
        </w:rPr>
        <w:t xml:space="preserve">We planned our work and undertook our review in accordance with the Code of Audit Practice and related statutory guidance, </w:t>
      </w:r>
      <w:bookmarkStart w:id="278" w:name="_Hlk69726109"/>
      <w:r w:rsidRPr="00604EBD">
        <w:rPr>
          <w:rFonts w:cs="Arial"/>
          <w:szCs w:val="24"/>
        </w:rPr>
        <w:t xml:space="preserve">having regard to whether the CCG had proper arrangements in place to ensure financial sustainability, proper governance and to use information about costs and performance to improve the way it manages and delivers its services. Based on our risk assessment, we undertook such work as we considered necessary. </w:t>
      </w:r>
    </w:p>
    <w:bookmarkEnd w:id="278"/>
    <w:p w14:paraId="27B3D86A" w14:textId="77777777" w:rsidR="00A42E55" w:rsidRPr="00604EBD" w:rsidRDefault="00A42E55" w:rsidP="00A42E55">
      <w:pPr>
        <w:rPr>
          <w:rFonts w:cs="Arial"/>
          <w:b/>
          <w:bCs/>
          <w:szCs w:val="24"/>
          <w:lang w:val="en-US"/>
        </w:rPr>
      </w:pPr>
      <w:r w:rsidRPr="00604EBD">
        <w:rPr>
          <w:rFonts w:cs="Arial"/>
          <w:b/>
          <w:bCs/>
          <w:szCs w:val="24"/>
          <w:lang w:val="en-US"/>
        </w:rPr>
        <w:t>Statutory reporting matters</w:t>
      </w:r>
    </w:p>
    <w:p w14:paraId="50BAC78D" w14:textId="22924733" w:rsidR="00A42E55" w:rsidRPr="00604EBD" w:rsidRDefault="00A42E55" w:rsidP="00A42E55">
      <w:pPr>
        <w:rPr>
          <w:rFonts w:cs="Arial"/>
          <w:szCs w:val="24"/>
        </w:rPr>
      </w:pPr>
      <w:r w:rsidRPr="00604EBD">
        <w:rPr>
          <w:rFonts w:cs="Arial"/>
          <w:b/>
          <w:bCs/>
          <w:szCs w:val="24"/>
          <w:lang w:val="en-US"/>
        </w:rPr>
        <w:t xml:space="preserve"> </w:t>
      </w:r>
      <w:r w:rsidRPr="00604EBD">
        <w:rPr>
          <w:rFonts w:cs="Arial"/>
          <w:szCs w:val="24"/>
        </w:rPr>
        <w:t>We are required by Schedule 2 to the Code of Audit Practice issued by the Comptroller and Auditor General (‘the Code of Audit Practice’) to report to you if we refer a matter to the Secretary of State and NHS England under section 30 of the Local Audit and Accountability Act 2014 because we have reason to believe that the CCG, or an officer of the CCG, is about to make, or has made, a decision which involves or would involve the body incurring unlawful expenditure, or is about to take, or has begun to take a course of action which, if followed to its conclusion, would be unlawful and likely to cause a loss or deficiency.</w:t>
      </w:r>
    </w:p>
    <w:p w14:paraId="2886410B" w14:textId="77777777" w:rsidR="00A42E55" w:rsidRPr="00604EBD" w:rsidRDefault="00A42E55" w:rsidP="00A42E55">
      <w:pPr>
        <w:autoSpaceDE w:val="0"/>
        <w:autoSpaceDN w:val="0"/>
        <w:adjustRightInd w:val="0"/>
        <w:spacing w:after="160"/>
        <w:jc w:val="both"/>
        <w:rPr>
          <w:rFonts w:cs="Arial"/>
          <w:szCs w:val="24"/>
        </w:rPr>
      </w:pPr>
      <w:r w:rsidRPr="00604EBD">
        <w:rPr>
          <w:rFonts w:cs="Arial"/>
          <w:szCs w:val="24"/>
        </w:rPr>
        <w:t>We have nothing to report in this respect.</w:t>
      </w:r>
    </w:p>
    <w:p w14:paraId="417A0E26" w14:textId="77777777" w:rsidR="00A42E55" w:rsidRPr="00604EBD" w:rsidRDefault="00A42E55" w:rsidP="00A42E55">
      <w:pPr>
        <w:autoSpaceDE w:val="0"/>
        <w:autoSpaceDN w:val="0"/>
        <w:adjustRightInd w:val="0"/>
        <w:spacing w:after="160"/>
        <w:jc w:val="both"/>
        <w:rPr>
          <w:rFonts w:cs="Arial"/>
          <w:b/>
          <w:caps/>
          <w:szCs w:val="24"/>
        </w:rPr>
      </w:pPr>
      <w:r w:rsidRPr="00604EBD">
        <w:rPr>
          <w:rFonts w:cs="Arial"/>
          <w:b/>
          <w:caps/>
          <w:szCs w:val="24"/>
        </w:rPr>
        <w:t>The purpose of our audit work and to whom we owe our responsibilities</w:t>
      </w:r>
    </w:p>
    <w:p w14:paraId="027DA8C4" w14:textId="77777777" w:rsidR="00A42E55" w:rsidRPr="00604EBD" w:rsidRDefault="00A42E55" w:rsidP="00A42E55">
      <w:pPr>
        <w:spacing w:after="160"/>
        <w:jc w:val="both"/>
        <w:rPr>
          <w:rFonts w:cs="Arial"/>
          <w:szCs w:val="24"/>
        </w:rPr>
      </w:pPr>
      <w:r w:rsidRPr="00604EBD">
        <w:rPr>
          <w:rFonts w:cs="Arial"/>
          <w:szCs w:val="24"/>
        </w:rPr>
        <w:t>This report is made solely to the Members of the Governing Body of NHS Basildon and Brentwood CCG, as a body, in accordance with Part 5 of the Local Audit and Accountability Act 2014.  Our audit work has been undertaken so that we might state to the Members of the Governing Body of the CCG, as a body, those matters we are required to state to them in an auditor’s report and for no other purpose.  To the fullest extent permitted by law, we do not accept or assume responsibility to anyone other than the Members of the Governing Body, as a body, for our audit work, for this report or for the opinions we have formed.</w:t>
      </w:r>
    </w:p>
    <w:p w14:paraId="29C01C54" w14:textId="77777777" w:rsidR="00A42E55" w:rsidRPr="00604EBD" w:rsidRDefault="00A42E55" w:rsidP="00A42E55">
      <w:pPr>
        <w:autoSpaceDE w:val="0"/>
        <w:autoSpaceDN w:val="0"/>
        <w:adjustRightInd w:val="0"/>
        <w:spacing w:after="160"/>
        <w:jc w:val="both"/>
        <w:rPr>
          <w:rFonts w:cs="Arial"/>
          <w:b/>
          <w:caps/>
          <w:szCs w:val="24"/>
        </w:rPr>
      </w:pPr>
      <w:r w:rsidRPr="00604EBD">
        <w:rPr>
          <w:rFonts w:cs="Arial"/>
          <w:b/>
          <w:caps/>
          <w:szCs w:val="24"/>
        </w:rPr>
        <w:t>Certificate of completion of the audit</w:t>
      </w:r>
    </w:p>
    <w:p w14:paraId="4A0B940A" w14:textId="77777777" w:rsidR="00A42E55" w:rsidRPr="00604EBD" w:rsidRDefault="00A42E55" w:rsidP="00A42E55">
      <w:pPr>
        <w:autoSpaceDE w:val="0"/>
        <w:autoSpaceDN w:val="0"/>
        <w:adjustRightInd w:val="0"/>
        <w:spacing w:after="160"/>
        <w:jc w:val="both"/>
        <w:rPr>
          <w:rFonts w:cs="Arial"/>
          <w:iCs/>
          <w:szCs w:val="24"/>
        </w:rPr>
      </w:pPr>
      <w:r w:rsidRPr="00604EBD">
        <w:rPr>
          <w:rFonts w:cs="Arial"/>
          <w:szCs w:val="24"/>
        </w:rPr>
        <w:t>We certify that we have completed the audit of the accounts of NHS Basildon and Brentwood CCG for the year ended 31 March 2022 in accordance with the requirements of the Local Audit and Accountability Act 2014 and the Code of Audit Practice.</w:t>
      </w:r>
    </w:p>
    <w:p w14:paraId="393B2617" w14:textId="77777777" w:rsidR="00A42E55" w:rsidRPr="00604EBD" w:rsidRDefault="00A42E55" w:rsidP="00A42E55">
      <w:pPr>
        <w:pStyle w:val="BodyText2"/>
        <w:spacing w:before="0" w:after="0"/>
        <w:jc w:val="both"/>
        <w:rPr>
          <w:rFonts w:cs="Arial"/>
          <w:color w:val="FF0000"/>
          <w:szCs w:val="24"/>
          <w:lang w:eastAsia="en-GB"/>
        </w:rPr>
      </w:pPr>
    </w:p>
    <w:p w14:paraId="6053CCEA" w14:textId="77777777" w:rsidR="00A42E55" w:rsidRPr="00604EBD" w:rsidRDefault="00A42E55" w:rsidP="00A42E55">
      <w:pPr>
        <w:pStyle w:val="Default"/>
        <w:spacing w:before="0"/>
        <w:jc w:val="both"/>
        <w:rPr>
          <w:iCs/>
          <w:color w:val="auto"/>
        </w:rPr>
      </w:pPr>
      <w:r w:rsidRPr="00604EBD">
        <w:rPr>
          <w:iCs/>
          <w:color w:val="auto"/>
        </w:rPr>
        <w:t>Emma Larcombe</w:t>
      </w:r>
    </w:p>
    <w:p w14:paraId="09E92845" w14:textId="77777777" w:rsidR="00A42E55" w:rsidRPr="00604EBD" w:rsidRDefault="00A42E55" w:rsidP="00A42E55">
      <w:pPr>
        <w:pStyle w:val="Default"/>
        <w:spacing w:before="0"/>
        <w:jc w:val="both"/>
        <w:rPr>
          <w:b/>
          <w:color w:val="auto"/>
        </w:rPr>
      </w:pPr>
      <w:r w:rsidRPr="00604EBD">
        <w:rPr>
          <w:b/>
          <w:iCs/>
          <w:color w:val="auto"/>
        </w:rPr>
        <w:t xml:space="preserve">for and on behalf of KPMG LLP, </w:t>
      </w:r>
    </w:p>
    <w:p w14:paraId="50BA8AD3" w14:textId="77777777" w:rsidR="00A42E55" w:rsidRPr="00604EBD" w:rsidRDefault="00A42E55" w:rsidP="00A42E55">
      <w:pPr>
        <w:pStyle w:val="Default"/>
        <w:spacing w:before="0"/>
        <w:jc w:val="both"/>
        <w:rPr>
          <w:i/>
          <w:color w:val="auto"/>
        </w:rPr>
      </w:pPr>
      <w:r w:rsidRPr="00604EBD">
        <w:rPr>
          <w:i/>
          <w:color w:val="auto"/>
        </w:rPr>
        <w:t>Chartered Accountants</w:t>
      </w:r>
    </w:p>
    <w:p w14:paraId="1F6C9D7E" w14:textId="77777777" w:rsidR="00A42E55" w:rsidRPr="00604EBD" w:rsidRDefault="00A42E55" w:rsidP="00A42E55">
      <w:pPr>
        <w:pStyle w:val="Default"/>
        <w:spacing w:before="0"/>
        <w:jc w:val="both"/>
        <w:rPr>
          <w:color w:val="auto"/>
        </w:rPr>
      </w:pPr>
      <w:r w:rsidRPr="00604EBD">
        <w:rPr>
          <w:color w:val="auto"/>
        </w:rPr>
        <w:t>Cambridge</w:t>
      </w:r>
    </w:p>
    <w:p w14:paraId="24E2A046" w14:textId="77777777" w:rsidR="00A42E55" w:rsidRPr="00604EBD" w:rsidRDefault="00A42E55" w:rsidP="00A42E55">
      <w:pPr>
        <w:pStyle w:val="Default"/>
        <w:spacing w:before="0"/>
        <w:jc w:val="both"/>
        <w:rPr>
          <w:color w:val="FF0000"/>
        </w:rPr>
      </w:pPr>
    </w:p>
    <w:p w14:paraId="252B6B6F" w14:textId="41FB78EE" w:rsidR="00A42E55" w:rsidRPr="00604EBD" w:rsidRDefault="00B0502F" w:rsidP="00A42E55">
      <w:pPr>
        <w:pStyle w:val="Default"/>
        <w:jc w:val="both"/>
        <w:rPr>
          <w:color w:val="auto"/>
        </w:rPr>
      </w:pPr>
      <w:r>
        <w:rPr>
          <w:color w:val="auto"/>
        </w:rPr>
        <w:t>30</w:t>
      </w:r>
      <w:r w:rsidR="00A42E55" w:rsidRPr="00604EBD">
        <w:rPr>
          <w:color w:val="auto"/>
        </w:rPr>
        <w:t xml:space="preserve"> June 2022</w:t>
      </w:r>
    </w:p>
    <w:p w14:paraId="22802C5B" w14:textId="0DC5382D" w:rsidR="00535D6D" w:rsidRDefault="00535D6D">
      <w:pPr>
        <w:spacing w:before="0" w:after="200" w:line="276" w:lineRule="auto"/>
      </w:pPr>
    </w:p>
    <w:sectPr w:rsidR="00535D6D" w:rsidSect="002A0A42">
      <w:pgSz w:w="11906" w:h="16838"/>
      <w:pgMar w:top="1440" w:right="1440" w:bottom="1440" w:left="1440" w:header="680" w:footer="7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580BC" w14:textId="77777777" w:rsidR="00846209" w:rsidRDefault="00846209" w:rsidP="00E404BB">
      <w:r>
        <w:separator/>
      </w:r>
    </w:p>
  </w:endnote>
  <w:endnote w:type="continuationSeparator" w:id="0">
    <w:p w14:paraId="5981D42B" w14:textId="77777777" w:rsidR="00846209" w:rsidRDefault="00846209" w:rsidP="00E404BB">
      <w:r>
        <w:continuationSeparator/>
      </w:r>
    </w:p>
  </w:endnote>
  <w:endnote w:type="continuationNotice" w:id="1">
    <w:p w14:paraId="1D98F24E" w14:textId="77777777" w:rsidR="00846209" w:rsidRDefault="00846209" w:rsidP="00E404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Bahnschrift SemiLight">
    <w:altName w:val="Calibri"/>
    <w:panose1 w:val="020B0604020202020204"/>
    <w:charset w:val="00"/>
    <w:family w:val="swiss"/>
    <w:pitch w:val="variable"/>
    <w:sig w:usb0="A00002C7" w:usb1="00000002" w:usb2="00000000" w:usb3="00000000" w:csb0="000001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panose1 w:val="020B06020202040202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9099051"/>
      <w:docPartObj>
        <w:docPartGallery w:val="Page Numbers (Bottom of Page)"/>
        <w:docPartUnique/>
      </w:docPartObj>
    </w:sdtPr>
    <w:sdtEndPr>
      <w:rPr>
        <w:noProof/>
      </w:rPr>
    </w:sdtEndPr>
    <w:sdtContent>
      <w:p w14:paraId="126120A2" w14:textId="75C4A6D6" w:rsidR="006C2D74" w:rsidRDefault="006C2D74">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06908886" w14:textId="0F8C3F32" w:rsidR="006C2D74" w:rsidRDefault="006C2D74" w:rsidP="00E404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318FA" w14:textId="0488A0C3" w:rsidR="006C2D74" w:rsidRDefault="006C2D74">
    <w:pPr>
      <w:pStyle w:val="Footer"/>
      <w:jc w:val="center"/>
    </w:pPr>
    <w:r>
      <w:t xml:space="preserve">Page </w:t>
    </w:r>
    <w:sdt>
      <w:sdtPr>
        <w:id w:val="-59616544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1379384" w14:textId="77777777" w:rsidR="006C2D74" w:rsidRDefault="006C2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0671F" w14:textId="77777777" w:rsidR="00846209" w:rsidRDefault="00846209" w:rsidP="00E404BB">
      <w:r>
        <w:separator/>
      </w:r>
    </w:p>
  </w:footnote>
  <w:footnote w:type="continuationSeparator" w:id="0">
    <w:p w14:paraId="242296EC" w14:textId="77777777" w:rsidR="00846209" w:rsidRDefault="00846209" w:rsidP="00E404BB">
      <w:r>
        <w:continuationSeparator/>
      </w:r>
    </w:p>
  </w:footnote>
  <w:footnote w:type="continuationNotice" w:id="1">
    <w:p w14:paraId="70E57F30" w14:textId="77777777" w:rsidR="00846209" w:rsidRDefault="00846209" w:rsidP="00E404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D92AD" w14:textId="77777777" w:rsidR="006C2D74" w:rsidRDefault="006C2D74" w:rsidP="00E404BB">
    <w:pPr>
      <w:pStyle w:val="Header"/>
    </w:pPr>
  </w:p>
  <w:p w14:paraId="1300C005" w14:textId="77777777" w:rsidR="006C2D74" w:rsidRDefault="006C2D74" w:rsidP="00E404BB"/>
  <w:p w14:paraId="1ED32E6D" w14:textId="77777777" w:rsidR="006C2D74" w:rsidRDefault="006C2D74" w:rsidP="00E404BB"/>
  <w:p w14:paraId="26A8BE53" w14:textId="77777777" w:rsidR="006C2D74" w:rsidRDefault="006C2D74" w:rsidP="00E404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B84DFF2"/>
    <w:lvl w:ilvl="0">
      <w:start w:val="1"/>
      <w:numFmt w:val="decimal"/>
      <w:pStyle w:val="ListNumber"/>
      <w:lvlText w:val="%1."/>
      <w:lvlJc w:val="left"/>
      <w:pPr>
        <w:tabs>
          <w:tab w:val="num" w:pos="360"/>
        </w:tabs>
        <w:ind w:left="360" w:hanging="360"/>
      </w:pPr>
    </w:lvl>
  </w:abstractNum>
  <w:abstractNum w:abstractNumId="1" w15:restartNumberingAfterBreak="0">
    <w:nsid w:val="0000040B"/>
    <w:multiLevelType w:val="multilevel"/>
    <w:tmpl w:val="0000088E"/>
    <w:lvl w:ilvl="0">
      <w:start w:val="2"/>
      <w:numFmt w:val="decimal"/>
      <w:lvlText w:val="%1"/>
      <w:lvlJc w:val="left"/>
      <w:pPr>
        <w:ind w:left="736" w:hanging="636"/>
      </w:pPr>
      <w:rPr>
        <w:rFonts w:cs="Times New Roman"/>
      </w:rPr>
    </w:lvl>
    <w:lvl w:ilvl="1">
      <w:start w:val="2"/>
      <w:numFmt w:val="decimal"/>
      <w:lvlText w:val="%1.%2"/>
      <w:lvlJc w:val="left"/>
      <w:pPr>
        <w:ind w:left="736" w:hanging="636"/>
      </w:pPr>
      <w:rPr>
        <w:rFonts w:cs="Times New Roman"/>
      </w:rPr>
    </w:lvl>
    <w:lvl w:ilvl="2">
      <w:start w:val="1"/>
      <w:numFmt w:val="decimal"/>
      <w:lvlText w:val="%1.%2.%3"/>
      <w:lvlJc w:val="left"/>
      <w:pPr>
        <w:ind w:left="2621" w:hanging="636"/>
      </w:pPr>
      <w:rPr>
        <w:rFonts w:ascii="Calibri" w:hAnsi="Calibri" w:cs="Calibri"/>
        <w:b/>
        <w:bCs/>
        <w:color w:val="0072C6"/>
        <w:spacing w:val="-1"/>
        <w:sz w:val="28"/>
        <w:szCs w:val="28"/>
      </w:rPr>
    </w:lvl>
    <w:lvl w:ilvl="3">
      <w:numFmt w:val="bullet"/>
      <w:lvlText w:val=""/>
      <w:lvlJc w:val="left"/>
      <w:pPr>
        <w:ind w:left="820" w:hanging="360"/>
      </w:pPr>
      <w:rPr>
        <w:rFonts w:ascii="Symbol" w:hAnsi="Symbol"/>
        <w:b w:val="0"/>
        <w:sz w:val="24"/>
      </w:rPr>
    </w:lvl>
    <w:lvl w:ilvl="4">
      <w:numFmt w:val="bullet"/>
      <w:lvlText w:val="•"/>
      <w:lvlJc w:val="left"/>
      <w:pPr>
        <w:ind w:left="3286" w:hanging="360"/>
      </w:pPr>
    </w:lvl>
    <w:lvl w:ilvl="5">
      <w:numFmt w:val="bullet"/>
      <w:lvlText w:val="•"/>
      <w:lvlJc w:val="left"/>
      <w:pPr>
        <w:ind w:left="4509" w:hanging="360"/>
      </w:pPr>
    </w:lvl>
    <w:lvl w:ilvl="6">
      <w:numFmt w:val="bullet"/>
      <w:lvlText w:val="•"/>
      <w:lvlJc w:val="left"/>
      <w:pPr>
        <w:ind w:left="5733" w:hanging="360"/>
      </w:pPr>
    </w:lvl>
    <w:lvl w:ilvl="7">
      <w:numFmt w:val="bullet"/>
      <w:lvlText w:val="•"/>
      <w:lvlJc w:val="left"/>
      <w:pPr>
        <w:ind w:left="6956" w:hanging="360"/>
      </w:pPr>
    </w:lvl>
    <w:lvl w:ilvl="8">
      <w:numFmt w:val="bullet"/>
      <w:lvlText w:val="•"/>
      <w:lvlJc w:val="left"/>
      <w:pPr>
        <w:ind w:left="8179" w:hanging="360"/>
      </w:pPr>
    </w:lvl>
  </w:abstractNum>
  <w:abstractNum w:abstractNumId="2" w15:restartNumberingAfterBreak="0">
    <w:nsid w:val="00000417"/>
    <w:multiLevelType w:val="multilevel"/>
    <w:tmpl w:val="0000089A"/>
    <w:lvl w:ilvl="0">
      <w:numFmt w:val="bullet"/>
      <w:lvlText w:val=""/>
      <w:lvlJc w:val="left"/>
      <w:pPr>
        <w:ind w:left="820" w:hanging="360"/>
      </w:pPr>
      <w:rPr>
        <w:rFonts w:ascii="Symbol" w:hAnsi="Symbol"/>
        <w:b w:val="0"/>
        <w:sz w:val="24"/>
      </w:rPr>
    </w:lvl>
    <w:lvl w:ilvl="1">
      <w:numFmt w:val="bullet"/>
      <w:lvlText w:val="•"/>
      <w:lvlJc w:val="left"/>
      <w:pPr>
        <w:ind w:left="1794" w:hanging="360"/>
      </w:pPr>
    </w:lvl>
    <w:lvl w:ilvl="2">
      <w:numFmt w:val="bullet"/>
      <w:lvlText w:val="•"/>
      <w:lvlJc w:val="left"/>
      <w:pPr>
        <w:ind w:left="2769" w:hanging="360"/>
      </w:pPr>
    </w:lvl>
    <w:lvl w:ilvl="3">
      <w:numFmt w:val="bullet"/>
      <w:lvlText w:val="•"/>
      <w:lvlJc w:val="left"/>
      <w:pPr>
        <w:ind w:left="3743" w:hanging="360"/>
      </w:pPr>
    </w:lvl>
    <w:lvl w:ilvl="4">
      <w:numFmt w:val="bullet"/>
      <w:lvlText w:val="•"/>
      <w:lvlJc w:val="left"/>
      <w:pPr>
        <w:ind w:left="4718" w:hanging="360"/>
      </w:pPr>
    </w:lvl>
    <w:lvl w:ilvl="5">
      <w:numFmt w:val="bullet"/>
      <w:lvlText w:val="•"/>
      <w:lvlJc w:val="left"/>
      <w:pPr>
        <w:ind w:left="5693" w:hanging="360"/>
      </w:pPr>
    </w:lvl>
    <w:lvl w:ilvl="6">
      <w:numFmt w:val="bullet"/>
      <w:lvlText w:val="•"/>
      <w:lvlJc w:val="left"/>
      <w:pPr>
        <w:ind w:left="6667" w:hanging="360"/>
      </w:pPr>
    </w:lvl>
    <w:lvl w:ilvl="7">
      <w:numFmt w:val="bullet"/>
      <w:lvlText w:val="•"/>
      <w:lvlJc w:val="left"/>
      <w:pPr>
        <w:ind w:left="7642" w:hanging="360"/>
      </w:pPr>
    </w:lvl>
    <w:lvl w:ilvl="8">
      <w:numFmt w:val="bullet"/>
      <w:lvlText w:val="•"/>
      <w:lvlJc w:val="left"/>
      <w:pPr>
        <w:ind w:left="8617" w:hanging="360"/>
      </w:pPr>
    </w:lvl>
  </w:abstractNum>
  <w:abstractNum w:abstractNumId="3" w15:restartNumberingAfterBreak="0">
    <w:nsid w:val="015013F6"/>
    <w:multiLevelType w:val="hybridMultilevel"/>
    <w:tmpl w:val="093A4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AE71C1"/>
    <w:multiLevelType w:val="hybridMultilevel"/>
    <w:tmpl w:val="93C0B1B0"/>
    <w:lvl w:ilvl="0" w:tplc="BF92F90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1621C0"/>
    <w:multiLevelType w:val="hybridMultilevel"/>
    <w:tmpl w:val="E1DEA77E"/>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6" w15:restartNumberingAfterBreak="0">
    <w:nsid w:val="0A215405"/>
    <w:multiLevelType w:val="hybridMultilevel"/>
    <w:tmpl w:val="20B8AE4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743053"/>
    <w:multiLevelType w:val="hybridMultilevel"/>
    <w:tmpl w:val="E0EC7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7B442F"/>
    <w:multiLevelType w:val="hybridMultilevel"/>
    <w:tmpl w:val="1548B33A"/>
    <w:lvl w:ilvl="0" w:tplc="429A77C6">
      <w:start w:val="1"/>
      <w:numFmt w:val="bullet"/>
      <w:lvlText w:val=""/>
      <w:lvlJc w:val="left"/>
      <w:pPr>
        <w:ind w:left="776" w:hanging="360"/>
      </w:pPr>
      <w:rPr>
        <w:rFonts w:ascii="Symbol" w:hAnsi="Symbol" w:hint="default"/>
        <w:color w:val="auto"/>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9" w15:restartNumberingAfterBreak="0">
    <w:nsid w:val="112973F1"/>
    <w:multiLevelType w:val="hybridMultilevel"/>
    <w:tmpl w:val="22DA795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3263EE8"/>
    <w:multiLevelType w:val="hybridMultilevel"/>
    <w:tmpl w:val="103C4D52"/>
    <w:lvl w:ilvl="0" w:tplc="64BE2CB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336E1"/>
    <w:multiLevelType w:val="hybridMultilevel"/>
    <w:tmpl w:val="03E2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260391"/>
    <w:multiLevelType w:val="hybridMultilevel"/>
    <w:tmpl w:val="FA46F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C700C7"/>
    <w:multiLevelType w:val="hybridMultilevel"/>
    <w:tmpl w:val="49A488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C247B7"/>
    <w:multiLevelType w:val="hybridMultilevel"/>
    <w:tmpl w:val="03367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B2183"/>
    <w:multiLevelType w:val="hybridMultilevel"/>
    <w:tmpl w:val="D39E0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090983"/>
    <w:multiLevelType w:val="hybridMultilevel"/>
    <w:tmpl w:val="2E388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0B6F13"/>
    <w:multiLevelType w:val="hybridMultilevel"/>
    <w:tmpl w:val="D0E43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3674DE"/>
    <w:multiLevelType w:val="hybridMultilevel"/>
    <w:tmpl w:val="5D6C7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C539BC"/>
    <w:multiLevelType w:val="hybridMultilevel"/>
    <w:tmpl w:val="62222A9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7A6EE9"/>
    <w:multiLevelType w:val="hybridMultilevel"/>
    <w:tmpl w:val="78585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B50755"/>
    <w:multiLevelType w:val="hybridMultilevel"/>
    <w:tmpl w:val="D67CEA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C060365"/>
    <w:multiLevelType w:val="hybridMultilevel"/>
    <w:tmpl w:val="C14E7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9E7496"/>
    <w:multiLevelType w:val="hybridMultilevel"/>
    <w:tmpl w:val="B49400D2"/>
    <w:lvl w:ilvl="0" w:tplc="CB168AD8">
      <w:start w:val="1"/>
      <w:numFmt w:val="bullet"/>
      <w:pStyle w:val="NHSCBBulletPoint"/>
      <w:lvlText w:val=""/>
      <w:lvlJc w:val="left"/>
      <w:pPr>
        <w:ind w:left="3960" w:hanging="360"/>
      </w:pPr>
      <w:rPr>
        <w:rFonts w:ascii="Symbol" w:hAnsi="Symbol" w:hint="default"/>
        <w:color w:val="auto"/>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4" w15:restartNumberingAfterBreak="0">
    <w:nsid w:val="74646024"/>
    <w:multiLevelType w:val="hybridMultilevel"/>
    <w:tmpl w:val="3B7EB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9A0458"/>
    <w:multiLevelType w:val="hybridMultilevel"/>
    <w:tmpl w:val="B79A33CA"/>
    <w:lvl w:ilvl="0" w:tplc="731C9B78">
      <w:start w:val="5"/>
      <w:numFmt w:val="bullet"/>
      <w:lvlText w:val="-"/>
      <w:lvlJc w:val="left"/>
      <w:pPr>
        <w:ind w:left="720" w:hanging="360"/>
      </w:pPr>
      <w:rPr>
        <w:rFonts w:ascii="Bahnschrift SemiLight" w:eastAsia="Calibri" w:hAnsi="Bahnschrift SemiLigh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90A3D4B"/>
    <w:multiLevelType w:val="hybridMultilevel"/>
    <w:tmpl w:val="6812F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7A1431"/>
    <w:multiLevelType w:val="hybridMultilevel"/>
    <w:tmpl w:val="99AA99C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C472FE"/>
    <w:multiLevelType w:val="hybridMultilevel"/>
    <w:tmpl w:val="A462ADC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9" w15:restartNumberingAfterBreak="0">
    <w:nsid w:val="7D8F20C9"/>
    <w:multiLevelType w:val="hybridMultilevel"/>
    <w:tmpl w:val="E8083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653E77"/>
    <w:multiLevelType w:val="hybridMultilevel"/>
    <w:tmpl w:val="307EC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6477BF"/>
    <w:multiLevelType w:val="hybridMultilevel"/>
    <w:tmpl w:val="395CF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26"/>
  </w:num>
  <w:num w:numId="4">
    <w:abstractNumId w:val="29"/>
  </w:num>
  <w:num w:numId="5">
    <w:abstractNumId w:val="20"/>
  </w:num>
  <w:num w:numId="6">
    <w:abstractNumId w:val="10"/>
  </w:num>
  <w:num w:numId="7">
    <w:abstractNumId w:val="17"/>
  </w:num>
  <w:num w:numId="8">
    <w:abstractNumId w:val="3"/>
  </w:num>
  <w:num w:numId="9">
    <w:abstractNumId w:val="12"/>
  </w:num>
  <w:num w:numId="10">
    <w:abstractNumId w:val="25"/>
  </w:num>
  <w:num w:numId="11">
    <w:abstractNumId w:val="15"/>
  </w:num>
  <w:num w:numId="12">
    <w:abstractNumId w:val="30"/>
  </w:num>
  <w:num w:numId="13">
    <w:abstractNumId w:val="18"/>
  </w:num>
  <w:num w:numId="14">
    <w:abstractNumId w:val="13"/>
  </w:num>
  <w:num w:numId="15">
    <w:abstractNumId w:val="19"/>
  </w:num>
  <w:num w:numId="16">
    <w:abstractNumId w:val="6"/>
  </w:num>
  <w:num w:numId="17">
    <w:abstractNumId w:val="27"/>
  </w:num>
  <w:num w:numId="18">
    <w:abstractNumId w:val="4"/>
  </w:num>
  <w:num w:numId="19">
    <w:abstractNumId w:val="28"/>
  </w:num>
  <w:num w:numId="20">
    <w:abstractNumId w:val="1"/>
  </w:num>
  <w:num w:numId="21">
    <w:abstractNumId w:val="2"/>
  </w:num>
  <w:num w:numId="22">
    <w:abstractNumId w:val="1"/>
    <w:lvlOverride w:ilvl="0">
      <w:startOverride w:val="2"/>
    </w:lvlOverride>
    <w:lvlOverride w:ilvl="1">
      <w:startOverride w:val="2"/>
    </w:lvlOverride>
    <w:lvlOverride w:ilvl="2">
      <w:startOverride w:val="1"/>
    </w:lvlOverride>
    <w:lvlOverride w:ilvl="3"/>
    <w:lvlOverride w:ilvl="4"/>
    <w:lvlOverride w:ilvl="5"/>
    <w:lvlOverride w:ilvl="6"/>
    <w:lvlOverride w:ilvl="7"/>
    <w:lvlOverride w:ilvl="8"/>
  </w:num>
  <w:num w:numId="23">
    <w:abstractNumId w:val="14"/>
  </w:num>
  <w:num w:numId="24">
    <w:abstractNumId w:val="7"/>
  </w:num>
  <w:num w:numId="25">
    <w:abstractNumId w:val="16"/>
  </w:num>
  <w:num w:numId="26">
    <w:abstractNumId w:val="11"/>
  </w:num>
  <w:num w:numId="27">
    <w:abstractNumId w:val="31"/>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21"/>
  </w:num>
  <w:num w:numId="31">
    <w:abstractNumId w:val="5"/>
  </w:num>
  <w:num w:numId="32">
    <w:abstractNumId w:val="24"/>
  </w:num>
  <w:num w:numId="33">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9B1"/>
    <w:rsid w:val="00000CA0"/>
    <w:rsid w:val="0000258F"/>
    <w:rsid w:val="00004C65"/>
    <w:rsid w:val="00004CC5"/>
    <w:rsid w:val="000064FE"/>
    <w:rsid w:val="0000673B"/>
    <w:rsid w:val="0000766E"/>
    <w:rsid w:val="00007823"/>
    <w:rsid w:val="00010C13"/>
    <w:rsid w:val="00011A1A"/>
    <w:rsid w:val="00012398"/>
    <w:rsid w:val="000157FE"/>
    <w:rsid w:val="00015BCA"/>
    <w:rsid w:val="0001780F"/>
    <w:rsid w:val="00017E5F"/>
    <w:rsid w:val="0002004B"/>
    <w:rsid w:val="00020EEB"/>
    <w:rsid w:val="000218A5"/>
    <w:rsid w:val="00021908"/>
    <w:rsid w:val="00023067"/>
    <w:rsid w:val="00023308"/>
    <w:rsid w:val="00027599"/>
    <w:rsid w:val="00027CDB"/>
    <w:rsid w:val="00030E7D"/>
    <w:rsid w:val="00031855"/>
    <w:rsid w:val="00032974"/>
    <w:rsid w:val="00035708"/>
    <w:rsid w:val="000363C6"/>
    <w:rsid w:val="000368D9"/>
    <w:rsid w:val="00036D5F"/>
    <w:rsid w:val="000370AE"/>
    <w:rsid w:val="0003725E"/>
    <w:rsid w:val="00037B74"/>
    <w:rsid w:val="00037C39"/>
    <w:rsid w:val="00041AB7"/>
    <w:rsid w:val="00042104"/>
    <w:rsid w:val="00042117"/>
    <w:rsid w:val="00042479"/>
    <w:rsid w:val="000432FD"/>
    <w:rsid w:val="00045094"/>
    <w:rsid w:val="00046266"/>
    <w:rsid w:val="00047C98"/>
    <w:rsid w:val="000527D2"/>
    <w:rsid w:val="0005307B"/>
    <w:rsid w:val="00053129"/>
    <w:rsid w:val="00053E18"/>
    <w:rsid w:val="00055486"/>
    <w:rsid w:val="00056CB7"/>
    <w:rsid w:val="0006128B"/>
    <w:rsid w:val="00061E65"/>
    <w:rsid w:val="00064267"/>
    <w:rsid w:val="00064525"/>
    <w:rsid w:val="00066D83"/>
    <w:rsid w:val="00067A43"/>
    <w:rsid w:val="00072D54"/>
    <w:rsid w:val="00072EE1"/>
    <w:rsid w:val="00074A6C"/>
    <w:rsid w:val="00076DD2"/>
    <w:rsid w:val="000770BC"/>
    <w:rsid w:val="000773A5"/>
    <w:rsid w:val="00077A1E"/>
    <w:rsid w:val="0008444E"/>
    <w:rsid w:val="00084552"/>
    <w:rsid w:val="000850E7"/>
    <w:rsid w:val="00086B0A"/>
    <w:rsid w:val="00090362"/>
    <w:rsid w:val="00091328"/>
    <w:rsid w:val="00093B0C"/>
    <w:rsid w:val="000959A7"/>
    <w:rsid w:val="00096328"/>
    <w:rsid w:val="000969B8"/>
    <w:rsid w:val="00097710"/>
    <w:rsid w:val="000A0998"/>
    <w:rsid w:val="000A4C3F"/>
    <w:rsid w:val="000A4C9A"/>
    <w:rsid w:val="000A51B9"/>
    <w:rsid w:val="000A61E1"/>
    <w:rsid w:val="000A643B"/>
    <w:rsid w:val="000A6948"/>
    <w:rsid w:val="000A6CAE"/>
    <w:rsid w:val="000A6EF2"/>
    <w:rsid w:val="000A6F72"/>
    <w:rsid w:val="000A7146"/>
    <w:rsid w:val="000B0490"/>
    <w:rsid w:val="000B12B2"/>
    <w:rsid w:val="000B16BE"/>
    <w:rsid w:val="000B20CA"/>
    <w:rsid w:val="000B33A1"/>
    <w:rsid w:val="000B3CC5"/>
    <w:rsid w:val="000B5775"/>
    <w:rsid w:val="000B6B66"/>
    <w:rsid w:val="000B7FF1"/>
    <w:rsid w:val="000C100C"/>
    <w:rsid w:val="000C20E5"/>
    <w:rsid w:val="000C235D"/>
    <w:rsid w:val="000C304A"/>
    <w:rsid w:val="000C460C"/>
    <w:rsid w:val="000C466A"/>
    <w:rsid w:val="000C6B7E"/>
    <w:rsid w:val="000C7640"/>
    <w:rsid w:val="000D211A"/>
    <w:rsid w:val="000D25B7"/>
    <w:rsid w:val="000D283B"/>
    <w:rsid w:val="000D2BC4"/>
    <w:rsid w:val="000D3041"/>
    <w:rsid w:val="000D32F1"/>
    <w:rsid w:val="000D39CF"/>
    <w:rsid w:val="000D3CE5"/>
    <w:rsid w:val="000D4E6E"/>
    <w:rsid w:val="000D5705"/>
    <w:rsid w:val="000D5FDB"/>
    <w:rsid w:val="000D67F0"/>
    <w:rsid w:val="000E0838"/>
    <w:rsid w:val="000E0F70"/>
    <w:rsid w:val="000E24AD"/>
    <w:rsid w:val="000E2C9F"/>
    <w:rsid w:val="000E2F49"/>
    <w:rsid w:val="000E415B"/>
    <w:rsid w:val="000E41C0"/>
    <w:rsid w:val="000E71F8"/>
    <w:rsid w:val="000E7D9C"/>
    <w:rsid w:val="000F21F5"/>
    <w:rsid w:val="000F3E4D"/>
    <w:rsid w:val="000F411A"/>
    <w:rsid w:val="000F4C61"/>
    <w:rsid w:val="000F5717"/>
    <w:rsid w:val="000F7607"/>
    <w:rsid w:val="000F7F43"/>
    <w:rsid w:val="00101B1C"/>
    <w:rsid w:val="00102A2B"/>
    <w:rsid w:val="00102D91"/>
    <w:rsid w:val="00102F36"/>
    <w:rsid w:val="0010328C"/>
    <w:rsid w:val="001034FF"/>
    <w:rsid w:val="001053B3"/>
    <w:rsid w:val="00105B76"/>
    <w:rsid w:val="001078DA"/>
    <w:rsid w:val="00113457"/>
    <w:rsid w:val="0011412F"/>
    <w:rsid w:val="001146D5"/>
    <w:rsid w:val="001148A5"/>
    <w:rsid w:val="0011632F"/>
    <w:rsid w:val="001168C9"/>
    <w:rsid w:val="00116DAB"/>
    <w:rsid w:val="001208E6"/>
    <w:rsid w:val="00120CD0"/>
    <w:rsid w:val="00120EBA"/>
    <w:rsid w:val="00122BC9"/>
    <w:rsid w:val="00123403"/>
    <w:rsid w:val="001239AC"/>
    <w:rsid w:val="00130E42"/>
    <w:rsid w:val="0013234C"/>
    <w:rsid w:val="00133B4C"/>
    <w:rsid w:val="001373E4"/>
    <w:rsid w:val="0014016D"/>
    <w:rsid w:val="00140279"/>
    <w:rsid w:val="0014140A"/>
    <w:rsid w:val="00142B24"/>
    <w:rsid w:val="00143C20"/>
    <w:rsid w:val="001458FC"/>
    <w:rsid w:val="0015010C"/>
    <w:rsid w:val="00152129"/>
    <w:rsid w:val="001524FA"/>
    <w:rsid w:val="001525EF"/>
    <w:rsid w:val="00152FF6"/>
    <w:rsid w:val="00153126"/>
    <w:rsid w:val="00154B5A"/>
    <w:rsid w:val="00156646"/>
    <w:rsid w:val="00156767"/>
    <w:rsid w:val="00156EB6"/>
    <w:rsid w:val="00157F13"/>
    <w:rsid w:val="00163758"/>
    <w:rsid w:val="00163AC7"/>
    <w:rsid w:val="00163FAA"/>
    <w:rsid w:val="00164303"/>
    <w:rsid w:val="0016445E"/>
    <w:rsid w:val="001649AE"/>
    <w:rsid w:val="0016765D"/>
    <w:rsid w:val="00167A50"/>
    <w:rsid w:val="00167FD6"/>
    <w:rsid w:val="001719B2"/>
    <w:rsid w:val="001729BF"/>
    <w:rsid w:val="001738C6"/>
    <w:rsid w:val="00174B21"/>
    <w:rsid w:val="00175B03"/>
    <w:rsid w:val="00175C73"/>
    <w:rsid w:val="00181E9B"/>
    <w:rsid w:val="00182EAF"/>
    <w:rsid w:val="00183E87"/>
    <w:rsid w:val="00183F38"/>
    <w:rsid w:val="001842B8"/>
    <w:rsid w:val="001907D3"/>
    <w:rsid w:val="00190B5A"/>
    <w:rsid w:val="00191A10"/>
    <w:rsid w:val="00193030"/>
    <w:rsid w:val="00197268"/>
    <w:rsid w:val="00197705"/>
    <w:rsid w:val="001A55F7"/>
    <w:rsid w:val="001A5726"/>
    <w:rsid w:val="001B24C9"/>
    <w:rsid w:val="001B3433"/>
    <w:rsid w:val="001B5229"/>
    <w:rsid w:val="001B6990"/>
    <w:rsid w:val="001B76AB"/>
    <w:rsid w:val="001B7D87"/>
    <w:rsid w:val="001B7E4A"/>
    <w:rsid w:val="001C0336"/>
    <w:rsid w:val="001C08F5"/>
    <w:rsid w:val="001C358C"/>
    <w:rsid w:val="001C3774"/>
    <w:rsid w:val="001C4633"/>
    <w:rsid w:val="001C65DF"/>
    <w:rsid w:val="001C72DB"/>
    <w:rsid w:val="001C7EC9"/>
    <w:rsid w:val="001D1F6E"/>
    <w:rsid w:val="001D3811"/>
    <w:rsid w:val="001D3866"/>
    <w:rsid w:val="001D4325"/>
    <w:rsid w:val="001D4A6B"/>
    <w:rsid w:val="001D5909"/>
    <w:rsid w:val="001D67A0"/>
    <w:rsid w:val="001E17C7"/>
    <w:rsid w:val="001E1B58"/>
    <w:rsid w:val="001E2C72"/>
    <w:rsid w:val="001E3BA8"/>
    <w:rsid w:val="001E67CC"/>
    <w:rsid w:val="001F0AE7"/>
    <w:rsid w:val="001F0D77"/>
    <w:rsid w:val="001F1E26"/>
    <w:rsid w:val="001F218C"/>
    <w:rsid w:val="001F2A00"/>
    <w:rsid w:val="001F311D"/>
    <w:rsid w:val="001F31F8"/>
    <w:rsid w:val="001F45AD"/>
    <w:rsid w:val="001F483B"/>
    <w:rsid w:val="001F5811"/>
    <w:rsid w:val="001F5F9C"/>
    <w:rsid w:val="0020183B"/>
    <w:rsid w:val="0020289F"/>
    <w:rsid w:val="00203454"/>
    <w:rsid w:val="00203AB6"/>
    <w:rsid w:val="002067AC"/>
    <w:rsid w:val="002078EC"/>
    <w:rsid w:val="00207E6B"/>
    <w:rsid w:val="00210878"/>
    <w:rsid w:val="00212031"/>
    <w:rsid w:val="00212E73"/>
    <w:rsid w:val="00213070"/>
    <w:rsid w:val="00214102"/>
    <w:rsid w:val="002204AB"/>
    <w:rsid w:val="0022113F"/>
    <w:rsid w:val="0022130A"/>
    <w:rsid w:val="00221AC9"/>
    <w:rsid w:val="002242FB"/>
    <w:rsid w:val="00226F00"/>
    <w:rsid w:val="002270E1"/>
    <w:rsid w:val="002272B0"/>
    <w:rsid w:val="00227AA5"/>
    <w:rsid w:val="00227FA9"/>
    <w:rsid w:val="00230165"/>
    <w:rsid w:val="00230356"/>
    <w:rsid w:val="00230A6C"/>
    <w:rsid w:val="00232C5F"/>
    <w:rsid w:val="00232DC9"/>
    <w:rsid w:val="002337AC"/>
    <w:rsid w:val="002344A5"/>
    <w:rsid w:val="0023464C"/>
    <w:rsid w:val="00235A00"/>
    <w:rsid w:val="0023610F"/>
    <w:rsid w:val="00240B5A"/>
    <w:rsid w:val="00240D44"/>
    <w:rsid w:val="002431D4"/>
    <w:rsid w:val="00243DBC"/>
    <w:rsid w:val="00244ABF"/>
    <w:rsid w:val="0024554B"/>
    <w:rsid w:val="002455B2"/>
    <w:rsid w:val="00246F49"/>
    <w:rsid w:val="002479E9"/>
    <w:rsid w:val="002521AC"/>
    <w:rsid w:val="0025338A"/>
    <w:rsid w:val="00254016"/>
    <w:rsid w:val="00260661"/>
    <w:rsid w:val="00267D34"/>
    <w:rsid w:val="002707F4"/>
    <w:rsid w:val="002728C5"/>
    <w:rsid w:val="002737A2"/>
    <w:rsid w:val="00280141"/>
    <w:rsid w:val="00280210"/>
    <w:rsid w:val="0028279E"/>
    <w:rsid w:val="00283D5E"/>
    <w:rsid w:val="00284783"/>
    <w:rsid w:val="00285B29"/>
    <w:rsid w:val="00286372"/>
    <w:rsid w:val="002863D5"/>
    <w:rsid w:val="00286C28"/>
    <w:rsid w:val="00286E4D"/>
    <w:rsid w:val="00287A53"/>
    <w:rsid w:val="00290636"/>
    <w:rsid w:val="002914AC"/>
    <w:rsid w:val="00291F5F"/>
    <w:rsid w:val="00292C4E"/>
    <w:rsid w:val="00293377"/>
    <w:rsid w:val="00295234"/>
    <w:rsid w:val="002952BC"/>
    <w:rsid w:val="002953F4"/>
    <w:rsid w:val="00295E36"/>
    <w:rsid w:val="00296B56"/>
    <w:rsid w:val="00297DFB"/>
    <w:rsid w:val="002A0A42"/>
    <w:rsid w:val="002A2960"/>
    <w:rsid w:val="002A3CEC"/>
    <w:rsid w:val="002A5015"/>
    <w:rsid w:val="002A7955"/>
    <w:rsid w:val="002B05BC"/>
    <w:rsid w:val="002B0F7F"/>
    <w:rsid w:val="002B3A4D"/>
    <w:rsid w:val="002B53DA"/>
    <w:rsid w:val="002B6524"/>
    <w:rsid w:val="002B7EF2"/>
    <w:rsid w:val="002C07EB"/>
    <w:rsid w:val="002C2683"/>
    <w:rsid w:val="002C2FF5"/>
    <w:rsid w:val="002C32E8"/>
    <w:rsid w:val="002C570A"/>
    <w:rsid w:val="002C7B8B"/>
    <w:rsid w:val="002D05AC"/>
    <w:rsid w:val="002D06C4"/>
    <w:rsid w:val="002D1C14"/>
    <w:rsid w:val="002D2439"/>
    <w:rsid w:val="002D2B26"/>
    <w:rsid w:val="002D4BE0"/>
    <w:rsid w:val="002D619B"/>
    <w:rsid w:val="002D6DBE"/>
    <w:rsid w:val="002D6F92"/>
    <w:rsid w:val="002D7B62"/>
    <w:rsid w:val="002E0BED"/>
    <w:rsid w:val="002E1299"/>
    <w:rsid w:val="002E213F"/>
    <w:rsid w:val="002E21A0"/>
    <w:rsid w:val="002E371F"/>
    <w:rsid w:val="002E4576"/>
    <w:rsid w:val="002E52B7"/>
    <w:rsid w:val="002E556C"/>
    <w:rsid w:val="002E5E19"/>
    <w:rsid w:val="002E6965"/>
    <w:rsid w:val="002E72D9"/>
    <w:rsid w:val="002F0139"/>
    <w:rsid w:val="002F04A0"/>
    <w:rsid w:val="002F1005"/>
    <w:rsid w:val="002F158A"/>
    <w:rsid w:val="002F2151"/>
    <w:rsid w:val="002F2B72"/>
    <w:rsid w:val="002F50C2"/>
    <w:rsid w:val="002F5C0F"/>
    <w:rsid w:val="002F5C47"/>
    <w:rsid w:val="002F7721"/>
    <w:rsid w:val="002F79C1"/>
    <w:rsid w:val="0030188B"/>
    <w:rsid w:val="0030206D"/>
    <w:rsid w:val="0030388F"/>
    <w:rsid w:val="00303CEA"/>
    <w:rsid w:val="0030541D"/>
    <w:rsid w:val="00305DEC"/>
    <w:rsid w:val="003067AE"/>
    <w:rsid w:val="00307492"/>
    <w:rsid w:val="00307778"/>
    <w:rsid w:val="00307D81"/>
    <w:rsid w:val="003100DA"/>
    <w:rsid w:val="00311273"/>
    <w:rsid w:val="00311395"/>
    <w:rsid w:val="00312362"/>
    <w:rsid w:val="003139F0"/>
    <w:rsid w:val="00313EAD"/>
    <w:rsid w:val="003142EC"/>
    <w:rsid w:val="00315858"/>
    <w:rsid w:val="00315D8B"/>
    <w:rsid w:val="0031638B"/>
    <w:rsid w:val="003173F6"/>
    <w:rsid w:val="00317AB9"/>
    <w:rsid w:val="00325D54"/>
    <w:rsid w:val="00325D81"/>
    <w:rsid w:val="00326598"/>
    <w:rsid w:val="00327246"/>
    <w:rsid w:val="003278FC"/>
    <w:rsid w:val="00331794"/>
    <w:rsid w:val="00331BDD"/>
    <w:rsid w:val="00334AC2"/>
    <w:rsid w:val="003406FD"/>
    <w:rsid w:val="00340A76"/>
    <w:rsid w:val="0034364A"/>
    <w:rsid w:val="0034372D"/>
    <w:rsid w:val="00343A3A"/>
    <w:rsid w:val="003442E2"/>
    <w:rsid w:val="00344CDC"/>
    <w:rsid w:val="0034695A"/>
    <w:rsid w:val="003472A1"/>
    <w:rsid w:val="00350B19"/>
    <w:rsid w:val="00350B3E"/>
    <w:rsid w:val="003512CD"/>
    <w:rsid w:val="0035237F"/>
    <w:rsid w:val="0035266A"/>
    <w:rsid w:val="00354373"/>
    <w:rsid w:val="003569D2"/>
    <w:rsid w:val="003573A3"/>
    <w:rsid w:val="00357717"/>
    <w:rsid w:val="00357854"/>
    <w:rsid w:val="00360B47"/>
    <w:rsid w:val="00360B6E"/>
    <w:rsid w:val="003614AC"/>
    <w:rsid w:val="0036270B"/>
    <w:rsid w:val="00362924"/>
    <w:rsid w:val="00362A2A"/>
    <w:rsid w:val="0036388B"/>
    <w:rsid w:val="00364AD8"/>
    <w:rsid w:val="003651E1"/>
    <w:rsid w:val="00365454"/>
    <w:rsid w:val="00365592"/>
    <w:rsid w:val="00367577"/>
    <w:rsid w:val="00367711"/>
    <w:rsid w:val="00370793"/>
    <w:rsid w:val="00370B82"/>
    <w:rsid w:val="00371B6A"/>
    <w:rsid w:val="00372236"/>
    <w:rsid w:val="00372627"/>
    <w:rsid w:val="003747E6"/>
    <w:rsid w:val="00374B30"/>
    <w:rsid w:val="00375424"/>
    <w:rsid w:val="0037626B"/>
    <w:rsid w:val="0037722F"/>
    <w:rsid w:val="003825E9"/>
    <w:rsid w:val="003842D4"/>
    <w:rsid w:val="003863D6"/>
    <w:rsid w:val="00386495"/>
    <w:rsid w:val="00386B06"/>
    <w:rsid w:val="0039001B"/>
    <w:rsid w:val="00390CE4"/>
    <w:rsid w:val="00391484"/>
    <w:rsid w:val="00392775"/>
    <w:rsid w:val="003928DA"/>
    <w:rsid w:val="00393438"/>
    <w:rsid w:val="00393CB8"/>
    <w:rsid w:val="00395357"/>
    <w:rsid w:val="00396832"/>
    <w:rsid w:val="00396ADE"/>
    <w:rsid w:val="00396D04"/>
    <w:rsid w:val="00396F95"/>
    <w:rsid w:val="00397816"/>
    <w:rsid w:val="003A0E08"/>
    <w:rsid w:val="003A1619"/>
    <w:rsid w:val="003A3592"/>
    <w:rsid w:val="003A4D7B"/>
    <w:rsid w:val="003A4EC3"/>
    <w:rsid w:val="003A63C9"/>
    <w:rsid w:val="003A7290"/>
    <w:rsid w:val="003A7A59"/>
    <w:rsid w:val="003B0E97"/>
    <w:rsid w:val="003B0F9E"/>
    <w:rsid w:val="003B5484"/>
    <w:rsid w:val="003B60E3"/>
    <w:rsid w:val="003B6A29"/>
    <w:rsid w:val="003B6A5F"/>
    <w:rsid w:val="003C0494"/>
    <w:rsid w:val="003C0C94"/>
    <w:rsid w:val="003C21D3"/>
    <w:rsid w:val="003C4085"/>
    <w:rsid w:val="003C5091"/>
    <w:rsid w:val="003D031A"/>
    <w:rsid w:val="003D0454"/>
    <w:rsid w:val="003D0E9E"/>
    <w:rsid w:val="003D12A9"/>
    <w:rsid w:val="003D2B0A"/>
    <w:rsid w:val="003D2C54"/>
    <w:rsid w:val="003D31F9"/>
    <w:rsid w:val="003D3C62"/>
    <w:rsid w:val="003D3F07"/>
    <w:rsid w:val="003D4C5E"/>
    <w:rsid w:val="003D5BC4"/>
    <w:rsid w:val="003D6275"/>
    <w:rsid w:val="003D76DD"/>
    <w:rsid w:val="003E150A"/>
    <w:rsid w:val="003E2417"/>
    <w:rsid w:val="003E2661"/>
    <w:rsid w:val="003E2911"/>
    <w:rsid w:val="003E2B61"/>
    <w:rsid w:val="003E3B9D"/>
    <w:rsid w:val="003E4D97"/>
    <w:rsid w:val="003E6D01"/>
    <w:rsid w:val="003E7146"/>
    <w:rsid w:val="003F203E"/>
    <w:rsid w:val="003F369C"/>
    <w:rsid w:val="003F3ABD"/>
    <w:rsid w:val="003F3C36"/>
    <w:rsid w:val="004006E3"/>
    <w:rsid w:val="00401407"/>
    <w:rsid w:val="00401CC2"/>
    <w:rsid w:val="00404D24"/>
    <w:rsid w:val="00406ACD"/>
    <w:rsid w:val="00407D6E"/>
    <w:rsid w:val="00410237"/>
    <w:rsid w:val="004105A5"/>
    <w:rsid w:val="00410B58"/>
    <w:rsid w:val="00412C50"/>
    <w:rsid w:val="00412C5A"/>
    <w:rsid w:val="00413E88"/>
    <w:rsid w:val="00414891"/>
    <w:rsid w:val="00415E1B"/>
    <w:rsid w:val="004208C0"/>
    <w:rsid w:val="00422912"/>
    <w:rsid w:val="00422ACF"/>
    <w:rsid w:val="00424B74"/>
    <w:rsid w:val="004301A0"/>
    <w:rsid w:val="0043099D"/>
    <w:rsid w:val="00430A25"/>
    <w:rsid w:val="00430A80"/>
    <w:rsid w:val="00430F01"/>
    <w:rsid w:val="0043408D"/>
    <w:rsid w:val="00434285"/>
    <w:rsid w:val="00435303"/>
    <w:rsid w:val="00436080"/>
    <w:rsid w:val="0043656F"/>
    <w:rsid w:val="00436675"/>
    <w:rsid w:val="00437B2F"/>
    <w:rsid w:val="00443CB6"/>
    <w:rsid w:val="00447783"/>
    <w:rsid w:val="004506D9"/>
    <w:rsid w:val="00453690"/>
    <w:rsid w:val="00454B2A"/>
    <w:rsid w:val="00454BA4"/>
    <w:rsid w:val="00454E0A"/>
    <w:rsid w:val="00454E1A"/>
    <w:rsid w:val="004558B5"/>
    <w:rsid w:val="004569BC"/>
    <w:rsid w:val="00456A38"/>
    <w:rsid w:val="00457E26"/>
    <w:rsid w:val="00457EC6"/>
    <w:rsid w:val="004601A8"/>
    <w:rsid w:val="00460E62"/>
    <w:rsid w:val="00461893"/>
    <w:rsid w:val="004622D2"/>
    <w:rsid w:val="004631E4"/>
    <w:rsid w:val="0046321D"/>
    <w:rsid w:val="0046482B"/>
    <w:rsid w:val="00464FD8"/>
    <w:rsid w:val="0046533C"/>
    <w:rsid w:val="00465492"/>
    <w:rsid w:val="0046594C"/>
    <w:rsid w:val="004663A4"/>
    <w:rsid w:val="00466505"/>
    <w:rsid w:val="004675F0"/>
    <w:rsid w:val="00470E3E"/>
    <w:rsid w:val="00475813"/>
    <w:rsid w:val="0047796A"/>
    <w:rsid w:val="0048025A"/>
    <w:rsid w:val="004818DC"/>
    <w:rsid w:val="00482175"/>
    <w:rsid w:val="004825FE"/>
    <w:rsid w:val="00482A04"/>
    <w:rsid w:val="00482B2A"/>
    <w:rsid w:val="00483533"/>
    <w:rsid w:val="00485D87"/>
    <w:rsid w:val="00486BF0"/>
    <w:rsid w:val="00492C73"/>
    <w:rsid w:val="004967CE"/>
    <w:rsid w:val="00497A69"/>
    <w:rsid w:val="004A0197"/>
    <w:rsid w:val="004A0A9C"/>
    <w:rsid w:val="004A18F2"/>
    <w:rsid w:val="004A2996"/>
    <w:rsid w:val="004A30B4"/>
    <w:rsid w:val="004A4D15"/>
    <w:rsid w:val="004A717A"/>
    <w:rsid w:val="004B04C4"/>
    <w:rsid w:val="004B054D"/>
    <w:rsid w:val="004B07E8"/>
    <w:rsid w:val="004B0989"/>
    <w:rsid w:val="004B09EF"/>
    <w:rsid w:val="004B0B02"/>
    <w:rsid w:val="004B3D0D"/>
    <w:rsid w:val="004B4C39"/>
    <w:rsid w:val="004C0306"/>
    <w:rsid w:val="004C223C"/>
    <w:rsid w:val="004C25F0"/>
    <w:rsid w:val="004C319C"/>
    <w:rsid w:val="004C4055"/>
    <w:rsid w:val="004C438C"/>
    <w:rsid w:val="004C6507"/>
    <w:rsid w:val="004D06EB"/>
    <w:rsid w:val="004D4C2A"/>
    <w:rsid w:val="004D7AE2"/>
    <w:rsid w:val="004E13FE"/>
    <w:rsid w:val="004E3206"/>
    <w:rsid w:val="004E324C"/>
    <w:rsid w:val="004E3D6D"/>
    <w:rsid w:val="004E44CF"/>
    <w:rsid w:val="004E4F86"/>
    <w:rsid w:val="004E54D4"/>
    <w:rsid w:val="004E6BF6"/>
    <w:rsid w:val="004E6D51"/>
    <w:rsid w:val="004E7728"/>
    <w:rsid w:val="004F2382"/>
    <w:rsid w:val="004F3EBC"/>
    <w:rsid w:val="004F5DF6"/>
    <w:rsid w:val="004F5FC0"/>
    <w:rsid w:val="004F749F"/>
    <w:rsid w:val="004F7951"/>
    <w:rsid w:val="004F7AAA"/>
    <w:rsid w:val="00500717"/>
    <w:rsid w:val="00502FEA"/>
    <w:rsid w:val="005032BE"/>
    <w:rsid w:val="00504BA0"/>
    <w:rsid w:val="0050648F"/>
    <w:rsid w:val="005101D4"/>
    <w:rsid w:val="00511934"/>
    <w:rsid w:val="005120A0"/>
    <w:rsid w:val="00513B84"/>
    <w:rsid w:val="00514196"/>
    <w:rsid w:val="00514BFB"/>
    <w:rsid w:val="00515AFD"/>
    <w:rsid w:val="00520341"/>
    <w:rsid w:val="005223FD"/>
    <w:rsid w:val="00522E44"/>
    <w:rsid w:val="00523586"/>
    <w:rsid w:val="00523F8D"/>
    <w:rsid w:val="00524ADA"/>
    <w:rsid w:val="00524FE3"/>
    <w:rsid w:val="0052761E"/>
    <w:rsid w:val="00527C1F"/>
    <w:rsid w:val="0053062A"/>
    <w:rsid w:val="00531338"/>
    <w:rsid w:val="00534D27"/>
    <w:rsid w:val="005351E8"/>
    <w:rsid w:val="00535D6D"/>
    <w:rsid w:val="00536227"/>
    <w:rsid w:val="00540E6C"/>
    <w:rsid w:val="00540E74"/>
    <w:rsid w:val="0054110D"/>
    <w:rsid w:val="00541281"/>
    <w:rsid w:val="0054387C"/>
    <w:rsid w:val="00543E67"/>
    <w:rsid w:val="00544725"/>
    <w:rsid w:val="005448CB"/>
    <w:rsid w:val="0054504D"/>
    <w:rsid w:val="00545BCF"/>
    <w:rsid w:val="00545FE9"/>
    <w:rsid w:val="005516F4"/>
    <w:rsid w:val="00552289"/>
    <w:rsid w:val="00556A36"/>
    <w:rsid w:val="005613DB"/>
    <w:rsid w:val="00561F36"/>
    <w:rsid w:val="005632EA"/>
    <w:rsid w:val="00564146"/>
    <w:rsid w:val="00565764"/>
    <w:rsid w:val="00566FE6"/>
    <w:rsid w:val="005671EA"/>
    <w:rsid w:val="005714B7"/>
    <w:rsid w:val="005722A3"/>
    <w:rsid w:val="00575A02"/>
    <w:rsid w:val="00575E34"/>
    <w:rsid w:val="005764E2"/>
    <w:rsid w:val="00577EEC"/>
    <w:rsid w:val="00580D5E"/>
    <w:rsid w:val="00581149"/>
    <w:rsid w:val="0058127D"/>
    <w:rsid w:val="005828F2"/>
    <w:rsid w:val="005831AE"/>
    <w:rsid w:val="005837DC"/>
    <w:rsid w:val="0059113A"/>
    <w:rsid w:val="00591E47"/>
    <w:rsid w:val="00593CF0"/>
    <w:rsid w:val="005A5269"/>
    <w:rsid w:val="005A5D60"/>
    <w:rsid w:val="005A5F60"/>
    <w:rsid w:val="005A7B93"/>
    <w:rsid w:val="005B0F01"/>
    <w:rsid w:val="005B1B1D"/>
    <w:rsid w:val="005B6738"/>
    <w:rsid w:val="005B677B"/>
    <w:rsid w:val="005B6910"/>
    <w:rsid w:val="005C1129"/>
    <w:rsid w:val="005C4C9D"/>
    <w:rsid w:val="005C53E5"/>
    <w:rsid w:val="005C5B9E"/>
    <w:rsid w:val="005C5C78"/>
    <w:rsid w:val="005C6D4D"/>
    <w:rsid w:val="005D0618"/>
    <w:rsid w:val="005D0914"/>
    <w:rsid w:val="005D2F6F"/>
    <w:rsid w:val="005D3DED"/>
    <w:rsid w:val="005D3FF9"/>
    <w:rsid w:val="005D43DC"/>
    <w:rsid w:val="005D65C6"/>
    <w:rsid w:val="005D792E"/>
    <w:rsid w:val="005E3421"/>
    <w:rsid w:val="005E652B"/>
    <w:rsid w:val="005E6F18"/>
    <w:rsid w:val="005E7F19"/>
    <w:rsid w:val="005F0393"/>
    <w:rsid w:val="005F06D2"/>
    <w:rsid w:val="005F0A81"/>
    <w:rsid w:val="005F0B96"/>
    <w:rsid w:val="005F1260"/>
    <w:rsid w:val="005F43D7"/>
    <w:rsid w:val="005F6B55"/>
    <w:rsid w:val="005F7B98"/>
    <w:rsid w:val="00600914"/>
    <w:rsid w:val="0060091A"/>
    <w:rsid w:val="00600D8E"/>
    <w:rsid w:val="00601900"/>
    <w:rsid w:val="006029E2"/>
    <w:rsid w:val="00602D54"/>
    <w:rsid w:val="00603B06"/>
    <w:rsid w:val="00605492"/>
    <w:rsid w:val="006058AE"/>
    <w:rsid w:val="0060613D"/>
    <w:rsid w:val="00610877"/>
    <w:rsid w:val="00612517"/>
    <w:rsid w:val="0061474E"/>
    <w:rsid w:val="006154C7"/>
    <w:rsid w:val="00615525"/>
    <w:rsid w:val="006178C1"/>
    <w:rsid w:val="00620577"/>
    <w:rsid w:val="0062238A"/>
    <w:rsid w:val="00622B6B"/>
    <w:rsid w:val="00623D97"/>
    <w:rsid w:val="00624785"/>
    <w:rsid w:val="00625B5E"/>
    <w:rsid w:val="00626E6B"/>
    <w:rsid w:val="006308FF"/>
    <w:rsid w:val="00630A35"/>
    <w:rsid w:val="00631A36"/>
    <w:rsid w:val="0063215A"/>
    <w:rsid w:val="00633D06"/>
    <w:rsid w:val="00633F7D"/>
    <w:rsid w:val="006348F2"/>
    <w:rsid w:val="006349DC"/>
    <w:rsid w:val="00634C2A"/>
    <w:rsid w:val="00635C4B"/>
    <w:rsid w:val="00636A7B"/>
    <w:rsid w:val="00637282"/>
    <w:rsid w:val="00637383"/>
    <w:rsid w:val="006402F7"/>
    <w:rsid w:val="00640F0F"/>
    <w:rsid w:val="00641CC4"/>
    <w:rsid w:val="0064211E"/>
    <w:rsid w:val="006432D5"/>
    <w:rsid w:val="0064370C"/>
    <w:rsid w:val="00643E86"/>
    <w:rsid w:val="00644278"/>
    <w:rsid w:val="00645841"/>
    <w:rsid w:val="006461D6"/>
    <w:rsid w:val="00646BF9"/>
    <w:rsid w:val="00647A4A"/>
    <w:rsid w:val="00647DD4"/>
    <w:rsid w:val="00652433"/>
    <w:rsid w:val="006532CD"/>
    <w:rsid w:val="006533EA"/>
    <w:rsid w:val="00653596"/>
    <w:rsid w:val="00653A45"/>
    <w:rsid w:val="00654BAE"/>
    <w:rsid w:val="00655625"/>
    <w:rsid w:val="006625B8"/>
    <w:rsid w:val="00664D2D"/>
    <w:rsid w:val="0066521E"/>
    <w:rsid w:val="00665250"/>
    <w:rsid w:val="00667C1A"/>
    <w:rsid w:val="00670F50"/>
    <w:rsid w:val="00672CF4"/>
    <w:rsid w:val="00673589"/>
    <w:rsid w:val="00674B6F"/>
    <w:rsid w:val="00680F94"/>
    <w:rsid w:val="00682DFD"/>
    <w:rsid w:val="00683C66"/>
    <w:rsid w:val="006870EE"/>
    <w:rsid w:val="006916CF"/>
    <w:rsid w:val="006921CB"/>
    <w:rsid w:val="006928D7"/>
    <w:rsid w:val="00692D97"/>
    <w:rsid w:val="00695A99"/>
    <w:rsid w:val="00697106"/>
    <w:rsid w:val="006974EE"/>
    <w:rsid w:val="00697680"/>
    <w:rsid w:val="0069781C"/>
    <w:rsid w:val="006A0D5C"/>
    <w:rsid w:val="006A111F"/>
    <w:rsid w:val="006A11BA"/>
    <w:rsid w:val="006A1739"/>
    <w:rsid w:val="006A2626"/>
    <w:rsid w:val="006A2945"/>
    <w:rsid w:val="006A34CD"/>
    <w:rsid w:val="006A3FA1"/>
    <w:rsid w:val="006A5B82"/>
    <w:rsid w:val="006A60E0"/>
    <w:rsid w:val="006A6970"/>
    <w:rsid w:val="006A72C1"/>
    <w:rsid w:val="006A7CEE"/>
    <w:rsid w:val="006A7E1F"/>
    <w:rsid w:val="006B02AA"/>
    <w:rsid w:val="006B116F"/>
    <w:rsid w:val="006B1A2C"/>
    <w:rsid w:val="006B245C"/>
    <w:rsid w:val="006B2C2C"/>
    <w:rsid w:val="006B379F"/>
    <w:rsid w:val="006B38E6"/>
    <w:rsid w:val="006B400B"/>
    <w:rsid w:val="006B41E3"/>
    <w:rsid w:val="006B64AE"/>
    <w:rsid w:val="006B6E15"/>
    <w:rsid w:val="006C0E73"/>
    <w:rsid w:val="006C1D61"/>
    <w:rsid w:val="006C2D74"/>
    <w:rsid w:val="006C305F"/>
    <w:rsid w:val="006C4C02"/>
    <w:rsid w:val="006D03DF"/>
    <w:rsid w:val="006D04A9"/>
    <w:rsid w:val="006D725B"/>
    <w:rsid w:val="006E0820"/>
    <w:rsid w:val="006E1449"/>
    <w:rsid w:val="006E1AB6"/>
    <w:rsid w:val="006E2B31"/>
    <w:rsid w:val="006E6D6E"/>
    <w:rsid w:val="006F05FA"/>
    <w:rsid w:val="006F0C9C"/>
    <w:rsid w:val="006F0E9C"/>
    <w:rsid w:val="006F12F9"/>
    <w:rsid w:val="006F222D"/>
    <w:rsid w:val="006F3A0B"/>
    <w:rsid w:val="006F3C8A"/>
    <w:rsid w:val="006F6210"/>
    <w:rsid w:val="007010EB"/>
    <w:rsid w:val="00701D05"/>
    <w:rsid w:val="00701E72"/>
    <w:rsid w:val="007029E0"/>
    <w:rsid w:val="00703EA7"/>
    <w:rsid w:val="00704BA9"/>
    <w:rsid w:val="00706295"/>
    <w:rsid w:val="00706C52"/>
    <w:rsid w:val="0070763C"/>
    <w:rsid w:val="00707E3E"/>
    <w:rsid w:val="00710FA0"/>
    <w:rsid w:val="007115BB"/>
    <w:rsid w:val="00711F91"/>
    <w:rsid w:val="00712247"/>
    <w:rsid w:val="0071304C"/>
    <w:rsid w:val="00714128"/>
    <w:rsid w:val="00714FC0"/>
    <w:rsid w:val="00715CF5"/>
    <w:rsid w:val="007169EB"/>
    <w:rsid w:val="00716CCE"/>
    <w:rsid w:val="00716DF5"/>
    <w:rsid w:val="00717953"/>
    <w:rsid w:val="00717BA0"/>
    <w:rsid w:val="007210CC"/>
    <w:rsid w:val="0072288A"/>
    <w:rsid w:val="00722B20"/>
    <w:rsid w:val="00722F49"/>
    <w:rsid w:val="00723CF5"/>
    <w:rsid w:val="00724271"/>
    <w:rsid w:val="00725838"/>
    <w:rsid w:val="0072585E"/>
    <w:rsid w:val="007303DE"/>
    <w:rsid w:val="0073055C"/>
    <w:rsid w:val="00731F4E"/>
    <w:rsid w:val="00732604"/>
    <w:rsid w:val="00732C50"/>
    <w:rsid w:val="007343E1"/>
    <w:rsid w:val="00736CCF"/>
    <w:rsid w:val="00740142"/>
    <w:rsid w:val="00740C80"/>
    <w:rsid w:val="00740E5C"/>
    <w:rsid w:val="007417AC"/>
    <w:rsid w:val="00744E66"/>
    <w:rsid w:val="00747639"/>
    <w:rsid w:val="00747688"/>
    <w:rsid w:val="00751D9A"/>
    <w:rsid w:val="007533D1"/>
    <w:rsid w:val="00754BAC"/>
    <w:rsid w:val="0075547C"/>
    <w:rsid w:val="007579E4"/>
    <w:rsid w:val="00760E0B"/>
    <w:rsid w:val="00765885"/>
    <w:rsid w:val="007676B8"/>
    <w:rsid w:val="00767A79"/>
    <w:rsid w:val="00770F7D"/>
    <w:rsid w:val="007718ED"/>
    <w:rsid w:val="00774821"/>
    <w:rsid w:val="00776870"/>
    <w:rsid w:val="00777328"/>
    <w:rsid w:val="00780E84"/>
    <w:rsid w:val="00780EF0"/>
    <w:rsid w:val="0078154F"/>
    <w:rsid w:val="00781FC2"/>
    <w:rsid w:val="00782DC4"/>
    <w:rsid w:val="007830C3"/>
    <w:rsid w:val="0078442F"/>
    <w:rsid w:val="007853F8"/>
    <w:rsid w:val="007863EC"/>
    <w:rsid w:val="0078767B"/>
    <w:rsid w:val="00790344"/>
    <w:rsid w:val="0079348C"/>
    <w:rsid w:val="007945EA"/>
    <w:rsid w:val="0079592E"/>
    <w:rsid w:val="00797528"/>
    <w:rsid w:val="00797C92"/>
    <w:rsid w:val="007A03F3"/>
    <w:rsid w:val="007A18AB"/>
    <w:rsid w:val="007A6C09"/>
    <w:rsid w:val="007A7335"/>
    <w:rsid w:val="007B1C4C"/>
    <w:rsid w:val="007B1D36"/>
    <w:rsid w:val="007B2EDF"/>
    <w:rsid w:val="007B3F99"/>
    <w:rsid w:val="007B5833"/>
    <w:rsid w:val="007B605C"/>
    <w:rsid w:val="007B70C6"/>
    <w:rsid w:val="007B71FC"/>
    <w:rsid w:val="007B7F4F"/>
    <w:rsid w:val="007C0102"/>
    <w:rsid w:val="007C0DBB"/>
    <w:rsid w:val="007C14D9"/>
    <w:rsid w:val="007C1C37"/>
    <w:rsid w:val="007C40AC"/>
    <w:rsid w:val="007C6679"/>
    <w:rsid w:val="007C6815"/>
    <w:rsid w:val="007C6995"/>
    <w:rsid w:val="007C707D"/>
    <w:rsid w:val="007D0964"/>
    <w:rsid w:val="007D0E90"/>
    <w:rsid w:val="007D1A88"/>
    <w:rsid w:val="007D23CB"/>
    <w:rsid w:val="007D3CA5"/>
    <w:rsid w:val="007D4B6A"/>
    <w:rsid w:val="007D72B2"/>
    <w:rsid w:val="007E057D"/>
    <w:rsid w:val="007E518A"/>
    <w:rsid w:val="007E7246"/>
    <w:rsid w:val="007E7517"/>
    <w:rsid w:val="007E75AB"/>
    <w:rsid w:val="007E768F"/>
    <w:rsid w:val="007E7879"/>
    <w:rsid w:val="007F20E8"/>
    <w:rsid w:val="007F561A"/>
    <w:rsid w:val="007F5FCE"/>
    <w:rsid w:val="007F6935"/>
    <w:rsid w:val="0080195B"/>
    <w:rsid w:val="00801A1E"/>
    <w:rsid w:val="00801D20"/>
    <w:rsid w:val="00804691"/>
    <w:rsid w:val="008046E9"/>
    <w:rsid w:val="00810C7A"/>
    <w:rsid w:val="00813E13"/>
    <w:rsid w:val="00814319"/>
    <w:rsid w:val="008144C0"/>
    <w:rsid w:val="008156BB"/>
    <w:rsid w:val="00817008"/>
    <w:rsid w:val="00817DD5"/>
    <w:rsid w:val="008210D6"/>
    <w:rsid w:val="00822676"/>
    <w:rsid w:val="00823095"/>
    <w:rsid w:val="0082446F"/>
    <w:rsid w:val="008250D3"/>
    <w:rsid w:val="00825627"/>
    <w:rsid w:val="00825B47"/>
    <w:rsid w:val="0082605D"/>
    <w:rsid w:val="00826159"/>
    <w:rsid w:val="008266F7"/>
    <w:rsid w:val="00830271"/>
    <w:rsid w:val="00833724"/>
    <w:rsid w:val="0083694F"/>
    <w:rsid w:val="00840932"/>
    <w:rsid w:val="00840C7D"/>
    <w:rsid w:val="008412E3"/>
    <w:rsid w:val="008416AF"/>
    <w:rsid w:val="00842859"/>
    <w:rsid w:val="00842CE4"/>
    <w:rsid w:val="00842D60"/>
    <w:rsid w:val="008430B7"/>
    <w:rsid w:val="00843352"/>
    <w:rsid w:val="00844254"/>
    <w:rsid w:val="008443BB"/>
    <w:rsid w:val="008447F0"/>
    <w:rsid w:val="00844F40"/>
    <w:rsid w:val="00845D9F"/>
    <w:rsid w:val="00846209"/>
    <w:rsid w:val="00846B2C"/>
    <w:rsid w:val="0085158A"/>
    <w:rsid w:val="00852FE9"/>
    <w:rsid w:val="00853548"/>
    <w:rsid w:val="00854E06"/>
    <w:rsid w:val="0085536F"/>
    <w:rsid w:val="00856063"/>
    <w:rsid w:val="00856206"/>
    <w:rsid w:val="008563A2"/>
    <w:rsid w:val="00856483"/>
    <w:rsid w:val="00856587"/>
    <w:rsid w:val="00857F83"/>
    <w:rsid w:val="00857FD4"/>
    <w:rsid w:val="00861758"/>
    <w:rsid w:val="00861A32"/>
    <w:rsid w:val="00861BB0"/>
    <w:rsid w:val="00862CE5"/>
    <w:rsid w:val="00867602"/>
    <w:rsid w:val="00870F06"/>
    <w:rsid w:val="00872394"/>
    <w:rsid w:val="00872CC0"/>
    <w:rsid w:val="008732AD"/>
    <w:rsid w:val="00874237"/>
    <w:rsid w:val="00874ADA"/>
    <w:rsid w:val="0087588F"/>
    <w:rsid w:val="00880B99"/>
    <w:rsid w:val="00881BD1"/>
    <w:rsid w:val="00881E0E"/>
    <w:rsid w:val="00882D57"/>
    <w:rsid w:val="00884DEE"/>
    <w:rsid w:val="008901E8"/>
    <w:rsid w:val="008920A2"/>
    <w:rsid w:val="00892CD6"/>
    <w:rsid w:val="008931E6"/>
    <w:rsid w:val="00894D43"/>
    <w:rsid w:val="008951D0"/>
    <w:rsid w:val="00895482"/>
    <w:rsid w:val="00896B89"/>
    <w:rsid w:val="008977B1"/>
    <w:rsid w:val="00897A0A"/>
    <w:rsid w:val="008A0545"/>
    <w:rsid w:val="008A0596"/>
    <w:rsid w:val="008A46A4"/>
    <w:rsid w:val="008A5248"/>
    <w:rsid w:val="008B078D"/>
    <w:rsid w:val="008B1C33"/>
    <w:rsid w:val="008B1F3E"/>
    <w:rsid w:val="008B20D6"/>
    <w:rsid w:val="008B26D0"/>
    <w:rsid w:val="008B34A3"/>
    <w:rsid w:val="008B36B3"/>
    <w:rsid w:val="008B3E70"/>
    <w:rsid w:val="008B58F2"/>
    <w:rsid w:val="008B6CFC"/>
    <w:rsid w:val="008C0AAF"/>
    <w:rsid w:val="008C181E"/>
    <w:rsid w:val="008C1B67"/>
    <w:rsid w:val="008C3BD6"/>
    <w:rsid w:val="008C5185"/>
    <w:rsid w:val="008C53E6"/>
    <w:rsid w:val="008C5489"/>
    <w:rsid w:val="008C7757"/>
    <w:rsid w:val="008D0371"/>
    <w:rsid w:val="008D15FB"/>
    <w:rsid w:val="008D307C"/>
    <w:rsid w:val="008D592D"/>
    <w:rsid w:val="008D713D"/>
    <w:rsid w:val="008E146B"/>
    <w:rsid w:val="008E2527"/>
    <w:rsid w:val="008E6732"/>
    <w:rsid w:val="008E6948"/>
    <w:rsid w:val="008E7B63"/>
    <w:rsid w:val="008F0BB2"/>
    <w:rsid w:val="008F1AA1"/>
    <w:rsid w:val="008F25EA"/>
    <w:rsid w:val="008F2E4E"/>
    <w:rsid w:val="008F33F2"/>
    <w:rsid w:val="008F3EC8"/>
    <w:rsid w:val="008F727D"/>
    <w:rsid w:val="008F7897"/>
    <w:rsid w:val="008F7D18"/>
    <w:rsid w:val="00900352"/>
    <w:rsid w:val="0090140D"/>
    <w:rsid w:val="00903F7E"/>
    <w:rsid w:val="009042DD"/>
    <w:rsid w:val="00905028"/>
    <w:rsid w:val="0090520C"/>
    <w:rsid w:val="00906138"/>
    <w:rsid w:val="0090781B"/>
    <w:rsid w:val="00910C7F"/>
    <w:rsid w:val="00915C2A"/>
    <w:rsid w:val="009164B2"/>
    <w:rsid w:val="009166E5"/>
    <w:rsid w:val="00917253"/>
    <w:rsid w:val="00917A16"/>
    <w:rsid w:val="00917B47"/>
    <w:rsid w:val="009210C1"/>
    <w:rsid w:val="00921BDB"/>
    <w:rsid w:val="00921F99"/>
    <w:rsid w:val="0092383E"/>
    <w:rsid w:val="00923CAA"/>
    <w:rsid w:val="00925207"/>
    <w:rsid w:val="00926008"/>
    <w:rsid w:val="0092612B"/>
    <w:rsid w:val="0092682D"/>
    <w:rsid w:val="00927239"/>
    <w:rsid w:val="0092741D"/>
    <w:rsid w:val="0093183E"/>
    <w:rsid w:val="00931A06"/>
    <w:rsid w:val="009320C8"/>
    <w:rsid w:val="00934070"/>
    <w:rsid w:val="0093679F"/>
    <w:rsid w:val="00937246"/>
    <w:rsid w:val="00947A46"/>
    <w:rsid w:val="00950127"/>
    <w:rsid w:val="0095220B"/>
    <w:rsid w:val="00952962"/>
    <w:rsid w:val="0095403E"/>
    <w:rsid w:val="00955814"/>
    <w:rsid w:val="00955DB5"/>
    <w:rsid w:val="00956750"/>
    <w:rsid w:val="009609CE"/>
    <w:rsid w:val="00960B08"/>
    <w:rsid w:val="009611E1"/>
    <w:rsid w:val="00964958"/>
    <w:rsid w:val="0096711B"/>
    <w:rsid w:val="009676BC"/>
    <w:rsid w:val="0097035C"/>
    <w:rsid w:val="00970B67"/>
    <w:rsid w:val="00972C45"/>
    <w:rsid w:val="00973290"/>
    <w:rsid w:val="00973D4B"/>
    <w:rsid w:val="00975854"/>
    <w:rsid w:val="00976430"/>
    <w:rsid w:val="009801FF"/>
    <w:rsid w:val="0098028E"/>
    <w:rsid w:val="009840DE"/>
    <w:rsid w:val="00985F24"/>
    <w:rsid w:val="00986B22"/>
    <w:rsid w:val="0098758B"/>
    <w:rsid w:val="00987B1E"/>
    <w:rsid w:val="009900E5"/>
    <w:rsid w:val="009928AB"/>
    <w:rsid w:val="00993AA2"/>
    <w:rsid w:val="00993CC3"/>
    <w:rsid w:val="009950A0"/>
    <w:rsid w:val="009950B6"/>
    <w:rsid w:val="00996C1B"/>
    <w:rsid w:val="0099709A"/>
    <w:rsid w:val="009A03A1"/>
    <w:rsid w:val="009A04D9"/>
    <w:rsid w:val="009A1B5A"/>
    <w:rsid w:val="009A377B"/>
    <w:rsid w:val="009A3D30"/>
    <w:rsid w:val="009A4632"/>
    <w:rsid w:val="009A620B"/>
    <w:rsid w:val="009A69E9"/>
    <w:rsid w:val="009A77A0"/>
    <w:rsid w:val="009B1A2C"/>
    <w:rsid w:val="009B1F0B"/>
    <w:rsid w:val="009B1F35"/>
    <w:rsid w:val="009B281E"/>
    <w:rsid w:val="009B3217"/>
    <w:rsid w:val="009B5036"/>
    <w:rsid w:val="009B5D65"/>
    <w:rsid w:val="009C1E46"/>
    <w:rsid w:val="009C34D7"/>
    <w:rsid w:val="009C3D92"/>
    <w:rsid w:val="009C4910"/>
    <w:rsid w:val="009C504E"/>
    <w:rsid w:val="009C5944"/>
    <w:rsid w:val="009C6AC8"/>
    <w:rsid w:val="009C6ED2"/>
    <w:rsid w:val="009D109D"/>
    <w:rsid w:val="009D14E6"/>
    <w:rsid w:val="009D2935"/>
    <w:rsid w:val="009D30CF"/>
    <w:rsid w:val="009D4F1A"/>
    <w:rsid w:val="009D6FF6"/>
    <w:rsid w:val="009D79A7"/>
    <w:rsid w:val="009D7AA1"/>
    <w:rsid w:val="009E3101"/>
    <w:rsid w:val="009E3C6B"/>
    <w:rsid w:val="009E4F03"/>
    <w:rsid w:val="009E57E9"/>
    <w:rsid w:val="009E67EA"/>
    <w:rsid w:val="009F0350"/>
    <w:rsid w:val="009F0502"/>
    <w:rsid w:val="009F1C39"/>
    <w:rsid w:val="009F3519"/>
    <w:rsid w:val="009F433E"/>
    <w:rsid w:val="009F5CC1"/>
    <w:rsid w:val="009F700C"/>
    <w:rsid w:val="009F70CF"/>
    <w:rsid w:val="009F7374"/>
    <w:rsid w:val="00A01C04"/>
    <w:rsid w:val="00A034E8"/>
    <w:rsid w:val="00A03F0E"/>
    <w:rsid w:val="00A059D6"/>
    <w:rsid w:val="00A123A6"/>
    <w:rsid w:val="00A12E1E"/>
    <w:rsid w:val="00A132A2"/>
    <w:rsid w:val="00A13AEC"/>
    <w:rsid w:val="00A1414A"/>
    <w:rsid w:val="00A14162"/>
    <w:rsid w:val="00A167F9"/>
    <w:rsid w:val="00A16CE6"/>
    <w:rsid w:val="00A20267"/>
    <w:rsid w:val="00A2396F"/>
    <w:rsid w:val="00A26563"/>
    <w:rsid w:val="00A2676D"/>
    <w:rsid w:val="00A26ED1"/>
    <w:rsid w:val="00A27567"/>
    <w:rsid w:val="00A275B4"/>
    <w:rsid w:val="00A31D29"/>
    <w:rsid w:val="00A32712"/>
    <w:rsid w:val="00A34659"/>
    <w:rsid w:val="00A35339"/>
    <w:rsid w:val="00A36428"/>
    <w:rsid w:val="00A37230"/>
    <w:rsid w:val="00A37AC9"/>
    <w:rsid w:val="00A40E77"/>
    <w:rsid w:val="00A41371"/>
    <w:rsid w:val="00A42817"/>
    <w:rsid w:val="00A42E55"/>
    <w:rsid w:val="00A4616F"/>
    <w:rsid w:val="00A466D0"/>
    <w:rsid w:val="00A50711"/>
    <w:rsid w:val="00A51783"/>
    <w:rsid w:val="00A54366"/>
    <w:rsid w:val="00A543BC"/>
    <w:rsid w:val="00A55A28"/>
    <w:rsid w:val="00A56081"/>
    <w:rsid w:val="00A57084"/>
    <w:rsid w:val="00A57A77"/>
    <w:rsid w:val="00A57F56"/>
    <w:rsid w:val="00A609CA"/>
    <w:rsid w:val="00A62F2A"/>
    <w:rsid w:val="00A6306B"/>
    <w:rsid w:val="00A63687"/>
    <w:rsid w:val="00A637B6"/>
    <w:rsid w:val="00A63C0A"/>
    <w:rsid w:val="00A65403"/>
    <w:rsid w:val="00A65F07"/>
    <w:rsid w:val="00A6687A"/>
    <w:rsid w:val="00A676B0"/>
    <w:rsid w:val="00A67BFC"/>
    <w:rsid w:val="00A67E3D"/>
    <w:rsid w:val="00A70E91"/>
    <w:rsid w:val="00A72BF6"/>
    <w:rsid w:val="00A72E8E"/>
    <w:rsid w:val="00A7537D"/>
    <w:rsid w:val="00A754DE"/>
    <w:rsid w:val="00A7636C"/>
    <w:rsid w:val="00A76ED0"/>
    <w:rsid w:val="00A76EF6"/>
    <w:rsid w:val="00A77672"/>
    <w:rsid w:val="00A80261"/>
    <w:rsid w:val="00A80863"/>
    <w:rsid w:val="00A8195D"/>
    <w:rsid w:val="00A858D2"/>
    <w:rsid w:val="00A85FCE"/>
    <w:rsid w:val="00A875A4"/>
    <w:rsid w:val="00A9112B"/>
    <w:rsid w:val="00A9154D"/>
    <w:rsid w:val="00A9600C"/>
    <w:rsid w:val="00A97A9A"/>
    <w:rsid w:val="00AA081E"/>
    <w:rsid w:val="00AA0A23"/>
    <w:rsid w:val="00AA100E"/>
    <w:rsid w:val="00AA26FE"/>
    <w:rsid w:val="00AA3DB9"/>
    <w:rsid w:val="00AA6BDF"/>
    <w:rsid w:val="00AA75D2"/>
    <w:rsid w:val="00AB0770"/>
    <w:rsid w:val="00AB24EE"/>
    <w:rsid w:val="00AB2C05"/>
    <w:rsid w:val="00AB4527"/>
    <w:rsid w:val="00AB45BA"/>
    <w:rsid w:val="00AB48BD"/>
    <w:rsid w:val="00AB4C7F"/>
    <w:rsid w:val="00AB4CAF"/>
    <w:rsid w:val="00AB5E30"/>
    <w:rsid w:val="00AB755B"/>
    <w:rsid w:val="00AC05B0"/>
    <w:rsid w:val="00AC1816"/>
    <w:rsid w:val="00AC3EDA"/>
    <w:rsid w:val="00AC42D7"/>
    <w:rsid w:val="00AC4966"/>
    <w:rsid w:val="00AC7257"/>
    <w:rsid w:val="00AD1C3D"/>
    <w:rsid w:val="00AD2E76"/>
    <w:rsid w:val="00AD50DD"/>
    <w:rsid w:val="00AD58F7"/>
    <w:rsid w:val="00AD6184"/>
    <w:rsid w:val="00AD6DF7"/>
    <w:rsid w:val="00AD7C8A"/>
    <w:rsid w:val="00AE0A91"/>
    <w:rsid w:val="00AE0BBA"/>
    <w:rsid w:val="00AE1F41"/>
    <w:rsid w:val="00AE2892"/>
    <w:rsid w:val="00AE34CA"/>
    <w:rsid w:val="00AE36BC"/>
    <w:rsid w:val="00AE37AD"/>
    <w:rsid w:val="00AE4FE8"/>
    <w:rsid w:val="00AE6525"/>
    <w:rsid w:val="00AE6A4D"/>
    <w:rsid w:val="00AF0786"/>
    <w:rsid w:val="00AF14F7"/>
    <w:rsid w:val="00AF364C"/>
    <w:rsid w:val="00AF380B"/>
    <w:rsid w:val="00AF4B70"/>
    <w:rsid w:val="00AF554C"/>
    <w:rsid w:val="00AF5752"/>
    <w:rsid w:val="00AF6E9E"/>
    <w:rsid w:val="00B00BD1"/>
    <w:rsid w:val="00B02A51"/>
    <w:rsid w:val="00B02B2B"/>
    <w:rsid w:val="00B04BDE"/>
    <w:rsid w:val="00B0502F"/>
    <w:rsid w:val="00B070DF"/>
    <w:rsid w:val="00B1012E"/>
    <w:rsid w:val="00B12289"/>
    <w:rsid w:val="00B13AAA"/>
    <w:rsid w:val="00B15D83"/>
    <w:rsid w:val="00B17FF6"/>
    <w:rsid w:val="00B20F82"/>
    <w:rsid w:val="00B21BE5"/>
    <w:rsid w:val="00B23A08"/>
    <w:rsid w:val="00B24CAE"/>
    <w:rsid w:val="00B2545A"/>
    <w:rsid w:val="00B25C78"/>
    <w:rsid w:val="00B27B5F"/>
    <w:rsid w:val="00B31484"/>
    <w:rsid w:val="00B3194C"/>
    <w:rsid w:val="00B32D84"/>
    <w:rsid w:val="00B32FE7"/>
    <w:rsid w:val="00B34B9B"/>
    <w:rsid w:val="00B35E85"/>
    <w:rsid w:val="00B36322"/>
    <w:rsid w:val="00B365E9"/>
    <w:rsid w:val="00B3660C"/>
    <w:rsid w:val="00B37922"/>
    <w:rsid w:val="00B40739"/>
    <w:rsid w:val="00B42B39"/>
    <w:rsid w:val="00B431DA"/>
    <w:rsid w:val="00B43838"/>
    <w:rsid w:val="00B43DC3"/>
    <w:rsid w:val="00B440CA"/>
    <w:rsid w:val="00B447C7"/>
    <w:rsid w:val="00B457E5"/>
    <w:rsid w:val="00B462A8"/>
    <w:rsid w:val="00B46E26"/>
    <w:rsid w:val="00B46F97"/>
    <w:rsid w:val="00B50202"/>
    <w:rsid w:val="00B50CB6"/>
    <w:rsid w:val="00B50D8A"/>
    <w:rsid w:val="00B51437"/>
    <w:rsid w:val="00B51881"/>
    <w:rsid w:val="00B55AAF"/>
    <w:rsid w:val="00B57271"/>
    <w:rsid w:val="00B6139B"/>
    <w:rsid w:val="00B619F2"/>
    <w:rsid w:val="00B620EE"/>
    <w:rsid w:val="00B63C65"/>
    <w:rsid w:val="00B655D4"/>
    <w:rsid w:val="00B65960"/>
    <w:rsid w:val="00B6608F"/>
    <w:rsid w:val="00B667C5"/>
    <w:rsid w:val="00B67015"/>
    <w:rsid w:val="00B674D8"/>
    <w:rsid w:val="00B7151C"/>
    <w:rsid w:val="00B71C4E"/>
    <w:rsid w:val="00B7210F"/>
    <w:rsid w:val="00B72AF5"/>
    <w:rsid w:val="00B748C9"/>
    <w:rsid w:val="00B748F9"/>
    <w:rsid w:val="00B74D3A"/>
    <w:rsid w:val="00B822A8"/>
    <w:rsid w:val="00B853B2"/>
    <w:rsid w:val="00B85DFA"/>
    <w:rsid w:val="00B8629E"/>
    <w:rsid w:val="00B86B25"/>
    <w:rsid w:val="00B94072"/>
    <w:rsid w:val="00B9433F"/>
    <w:rsid w:val="00B9499B"/>
    <w:rsid w:val="00B971A7"/>
    <w:rsid w:val="00B97C0C"/>
    <w:rsid w:val="00B97DFD"/>
    <w:rsid w:val="00BA0024"/>
    <w:rsid w:val="00BA3B4E"/>
    <w:rsid w:val="00BA5270"/>
    <w:rsid w:val="00BA5D21"/>
    <w:rsid w:val="00BA69C5"/>
    <w:rsid w:val="00BB0C75"/>
    <w:rsid w:val="00BB14CD"/>
    <w:rsid w:val="00BB4569"/>
    <w:rsid w:val="00BB7431"/>
    <w:rsid w:val="00BB799F"/>
    <w:rsid w:val="00BC08E8"/>
    <w:rsid w:val="00BC3673"/>
    <w:rsid w:val="00BC7C5E"/>
    <w:rsid w:val="00BC7E57"/>
    <w:rsid w:val="00BD00EF"/>
    <w:rsid w:val="00BD04C0"/>
    <w:rsid w:val="00BD16B5"/>
    <w:rsid w:val="00BD23F5"/>
    <w:rsid w:val="00BD3AA0"/>
    <w:rsid w:val="00BD51CF"/>
    <w:rsid w:val="00BD5701"/>
    <w:rsid w:val="00BD58C0"/>
    <w:rsid w:val="00BD6668"/>
    <w:rsid w:val="00BE06B8"/>
    <w:rsid w:val="00BE106B"/>
    <w:rsid w:val="00BE61A6"/>
    <w:rsid w:val="00BE672D"/>
    <w:rsid w:val="00BE6E6E"/>
    <w:rsid w:val="00BE78A9"/>
    <w:rsid w:val="00BF1158"/>
    <w:rsid w:val="00BF149F"/>
    <w:rsid w:val="00BF1FD6"/>
    <w:rsid w:val="00BF257E"/>
    <w:rsid w:val="00BF3E47"/>
    <w:rsid w:val="00BF4921"/>
    <w:rsid w:val="00BF4D22"/>
    <w:rsid w:val="00BF5C4C"/>
    <w:rsid w:val="00BF5F3C"/>
    <w:rsid w:val="00BF60A6"/>
    <w:rsid w:val="00BF67D8"/>
    <w:rsid w:val="00BF70DB"/>
    <w:rsid w:val="00BF75C3"/>
    <w:rsid w:val="00C00189"/>
    <w:rsid w:val="00C003E8"/>
    <w:rsid w:val="00C006AB"/>
    <w:rsid w:val="00C00F11"/>
    <w:rsid w:val="00C01046"/>
    <w:rsid w:val="00C0132C"/>
    <w:rsid w:val="00C013EB"/>
    <w:rsid w:val="00C021FC"/>
    <w:rsid w:val="00C04113"/>
    <w:rsid w:val="00C05C9B"/>
    <w:rsid w:val="00C05EC5"/>
    <w:rsid w:val="00C06184"/>
    <w:rsid w:val="00C06D71"/>
    <w:rsid w:val="00C07834"/>
    <w:rsid w:val="00C0792B"/>
    <w:rsid w:val="00C101FE"/>
    <w:rsid w:val="00C1148C"/>
    <w:rsid w:val="00C11ECD"/>
    <w:rsid w:val="00C205F4"/>
    <w:rsid w:val="00C20CED"/>
    <w:rsid w:val="00C21979"/>
    <w:rsid w:val="00C23B4C"/>
    <w:rsid w:val="00C247A7"/>
    <w:rsid w:val="00C307BA"/>
    <w:rsid w:val="00C308D9"/>
    <w:rsid w:val="00C309B1"/>
    <w:rsid w:val="00C32413"/>
    <w:rsid w:val="00C324E2"/>
    <w:rsid w:val="00C32F1F"/>
    <w:rsid w:val="00C35542"/>
    <w:rsid w:val="00C3752C"/>
    <w:rsid w:val="00C3764D"/>
    <w:rsid w:val="00C37B1A"/>
    <w:rsid w:val="00C40A22"/>
    <w:rsid w:val="00C42936"/>
    <w:rsid w:val="00C429BA"/>
    <w:rsid w:val="00C44AE5"/>
    <w:rsid w:val="00C4721D"/>
    <w:rsid w:val="00C51472"/>
    <w:rsid w:val="00C51544"/>
    <w:rsid w:val="00C5326B"/>
    <w:rsid w:val="00C54024"/>
    <w:rsid w:val="00C6023E"/>
    <w:rsid w:val="00C61709"/>
    <w:rsid w:val="00C645AB"/>
    <w:rsid w:val="00C64B4F"/>
    <w:rsid w:val="00C651CE"/>
    <w:rsid w:val="00C65F5D"/>
    <w:rsid w:val="00C65F7F"/>
    <w:rsid w:val="00C70622"/>
    <w:rsid w:val="00C71D7F"/>
    <w:rsid w:val="00C72073"/>
    <w:rsid w:val="00C7256C"/>
    <w:rsid w:val="00C7367F"/>
    <w:rsid w:val="00C73FF5"/>
    <w:rsid w:val="00C74DD0"/>
    <w:rsid w:val="00C7612D"/>
    <w:rsid w:val="00C764E2"/>
    <w:rsid w:val="00C7770B"/>
    <w:rsid w:val="00C77C14"/>
    <w:rsid w:val="00C80599"/>
    <w:rsid w:val="00C81D21"/>
    <w:rsid w:val="00C822F8"/>
    <w:rsid w:val="00C82B9A"/>
    <w:rsid w:val="00C83FBD"/>
    <w:rsid w:val="00C84D27"/>
    <w:rsid w:val="00C858A6"/>
    <w:rsid w:val="00C85F86"/>
    <w:rsid w:val="00C87874"/>
    <w:rsid w:val="00C87F82"/>
    <w:rsid w:val="00C90008"/>
    <w:rsid w:val="00C9161C"/>
    <w:rsid w:val="00C925D8"/>
    <w:rsid w:val="00C93620"/>
    <w:rsid w:val="00C9506B"/>
    <w:rsid w:val="00C954BB"/>
    <w:rsid w:val="00C97B46"/>
    <w:rsid w:val="00CA0E37"/>
    <w:rsid w:val="00CA12E8"/>
    <w:rsid w:val="00CA137F"/>
    <w:rsid w:val="00CA2578"/>
    <w:rsid w:val="00CA34B9"/>
    <w:rsid w:val="00CA60F1"/>
    <w:rsid w:val="00CA62C1"/>
    <w:rsid w:val="00CB2576"/>
    <w:rsid w:val="00CB2C4A"/>
    <w:rsid w:val="00CB4098"/>
    <w:rsid w:val="00CB432F"/>
    <w:rsid w:val="00CB4732"/>
    <w:rsid w:val="00CB5451"/>
    <w:rsid w:val="00CB7268"/>
    <w:rsid w:val="00CB7273"/>
    <w:rsid w:val="00CC026A"/>
    <w:rsid w:val="00CC2A7B"/>
    <w:rsid w:val="00CC2B2A"/>
    <w:rsid w:val="00CC5EE2"/>
    <w:rsid w:val="00CC787A"/>
    <w:rsid w:val="00CD0723"/>
    <w:rsid w:val="00CD3FB9"/>
    <w:rsid w:val="00CD505D"/>
    <w:rsid w:val="00CD5BDB"/>
    <w:rsid w:val="00CD609B"/>
    <w:rsid w:val="00CE0EC7"/>
    <w:rsid w:val="00CE14CC"/>
    <w:rsid w:val="00CE3448"/>
    <w:rsid w:val="00CE3D11"/>
    <w:rsid w:val="00CE62C5"/>
    <w:rsid w:val="00CF03AB"/>
    <w:rsid w:val="00CF16BF"/>
    <w:rsid w:val="00CF1A04"/>
    <w:rsid w:val="00CF1A12"/>
    <w:rsid w:val="00CF40E6"/>
    <w:rsid w:val="00D007CD"/>
    <w:rsid w:val="00D00B8C"/>
    <w:rsid w:val="00D0472F"/>
    <w:rsid w:val="00D0536B"/>
    <w:rsid w:val="00D06B92"/>
    <w:rsid w:val="00D07234"/>
    <w:rsid w:val="00D0778E"/>
    <w:rsid w:val="00D0786B"/>
    <w:rsid w:val="00D108AC"/>
    <w:rsid w:val="00D1130D"/>
    <w:rsid w:val="00D12D39"/>
    <w:rsid w:val="00D13C42"/>
    <w:rsid w:val="00D1454F"/>
    <w:rsid w:val="00D16D7A"/>
    <w:rsid w:val="00D177A0"/>
    <w:rsid w:val="00D17C64"/>
    <w:rsid w:val="00D26F51"/>
    <w:rsid w:val="00D27331"/>
    <w:rsid w:val="00D30304"/>
    <w:rsid w:val="00D304A4"/>
    <w:rsid w:val="00D32C49"/>
    <w:rsid w:val="00D3395B"/>
    <w:rsid w:val="00D3467A"/>
    <w:rsid w:val="00D34B29"/>
    <w:rsid w:val="00D35329"/>
    <w:rsid w:val="00D355B5"/>
    <w:rsid w:val="00D43339"/>
    <w:rsid w:val="00D43A59"/>
    <w:rsid w:val="00D44045"/>
    <w:rsid w:val="00D44250"/>
    <w:rsid w:val="00D45A09"/>
    <w:rsid w:val="00D47C41"/>
    <w:rsid w:val="00D524E9"/>
    <w:rsid w:val="00D531BC"/>
    <w:rsid w:val="00D53BD9"/>
    <w:rsid w:val="00D53CB9"/>
    <w:rsid w:val="00D54E2C"/>
    <w:rsid w:val="00D552E1"/>
    <w:rsid w:val="00D566E0"/>
    <w:rsid w:val="00D62FE5"/>
    <w:rsid w:val="00D63EF0"/>
    <w:rsid w:val="00D64461"/>
    <w:rsid w:val="00D6645C"/>
    <w:rsid w:val="00D67978"/>
    <w:rsid w:val="00D70413"/>
    <w:rsid w:val="00D71DDB"/>
    <w:rsid w:val="00D72B1A"/>
    <w:rsid w:val="00D74213"/>
    <w:rsid w:val="00D74722"/>
    <w:rsid w:val="00D74979"/>
    <w:rsid w:val="00D74C06"/>
    <w:rsid w:val="00D75E2C"/>
    <w:rsid w:val="00D7729A"/>
    <w:rsid w:val="00D804C3"/>
    <w:rsid w:val="00D819A9"/>
    <w:rsid w:val="00D828BD"/>
    <w:rsid w:val="00D83506"/>
    <w:rsid w:val="00D836B1"/>
    <w:rsid w:val="00D84F55"/>
    <w:rsid w:val="00D85143"/>
    <w:rsid w:val="00D854B3"/>
    <w:rsid w:val="00D857A4"/>
    <w:rsid w:val="00D85989"/>
    <w:rsid w:val="00D912A7"/>
    <w:rsid w:val="00D9154A"/>
    <w:rsid w:val="00D9187B"/>
    <w:rsid w:val="00D92886"/>
    <w:rsid w:val="00D941D6"/>
    <w:rsid w:val="00D970DE"/>
    <w:rsid w:val="00DA04A4"/>
    <w:rsid w:val="00DA0886"/>
    <w:rsid w:val="00DA097F"/>
    <w:rsid w:val="00DA26B2"/>
    <w:rsid w:val="00DA3760"/>
    <w:rsid w:val="00DA3ADF"/>
    <w:rsid w:val="00DA3D9F"/>
    <w:rsid w:val="00DA4F38"/>
    <w:rsid w:val="00DA594E"/>
    <w:rsid w:val="00DA670B"/>
    <w:rsid w:val="00DA68AD"/>
    <w:rsid w:val="00DB130B"/>
    <w:rsid w:val="00DB2DCB"/>
    <w:rsid w:val="00DB35EA"/>
    <w:rsid w:val="00DB3A9D"/>
    <w:rsid w:val="00DB3C31"/>
    <w:rsid w:val="00DB48CE"/>
    <w:rsid w:val="00DB5236"/>
    <w:rsid w:val="00DB53BE"/>
    <w:rsid w:val="00DB5E00"/>
    <w:rsid w:val="00DB6EDC"/>
    <w:rsid w:val="00DB7E79"/>
    <w:rsid w:val="00DC1294"/>
    <w:rsid w:val="00DC19CC"/>
    <w:rsid w:val="00DC3A3C"/>
    <w:rsid w:val="00DC3F86"/>
    <w:rsid w:val="00DC4EAD"/>
    <w:rsid w:val="00DC7D4C"/>
    <w:rsid w:val="00DD1D87"/>
    <w:rsid w:val="00DD3802"/>
    <w:rsid w:val="00DD3CD9"/>
    <w:rsid w:val="00DD6169"/>
    <w:rsid w:val="00DD68D2"/>
    <w:rsid w:val="00DD6F99"/>
    <w:rsid w:val="00DD7ECE"/>
    <w:rsid w:val="00DE03B3"/>
    <w:rsid w:val="00DE2B2D"/>
    <w:rsid w:val="00DE3EBF"/>
    <w:rsid w:val="00DE4D5F"/>
    <w:rsid w:val="00DE6FF6"/>
    <w:rsid w:val="00DE7CB5"/>
    <w:rsid w:val="00DF0334"/>
    <w:rsid w:val="00DF0B1F"/>
    <w:rsid w:val="00DF2D83"/>
    <w:rsid w:val="00DF3E29"/>
    <w:rsid w:val="00DF67E1"/>
    <w:rsid w:val="00DF7FCA"/>
    <w:rsid w:val="00E00AB9"/>
    <w:rsid w:val="00E01DBF"/>
    <w:rsid w:val="00E0210E"/>
    <w:rsid w:val="00E03618"/>
    <w:rsid w:val="00E04D8B"/>
    <w:rsid w:val="00E0520E"/>
    <w:rsid w:val="00E057CB"/>
    <w:rsid w:val="00E05947"/>
    <w:rsid w:val="00E06A3E"/>
    <w:rsid w:val="00E06CCF"/>
    <w:rsid w:val="00E1173E"/>
    <w:rsid w:val="00E13D35"/>
    <w:rsid w:val="00E1484C"/>
    <w:rsid w:val="00E14CF2"/>
    <w:rsid w:val="00E1664F"/>
    <w:rsid w:val="00E16BA7"/>
    <w:rsid w:val="00E17272"/>
    <w:rsid w:val="00E205C8"/>
    <w:rsid w:val="00E2234D"/>
    <w:rsid w:val="00E223CC"/>
    <w:rsid w:val="00E23F90"/>
    <w:rsid w:val="00E24278"/>
    <w:rsid w:val="00E26392"/>
    <w:rsid w:val="00E26CD7"/>
    <w:rsid w:val="00E2788E"/>
    <w:rsid w:val="00E30644"/>
    <w:rsid w:val="00E31699"/>
    <w:rsid w:val="00E31FD3"/>
    <w:rsid w:val="00E33F37"/>
    <w:rsid w:val="00E36F2B"/>
    <w:rsid w:val="00E404BB"/>
    <w:rsid w:val="00E420A0"/>
    <w:rsid w:val="00E42CC2"/>
    <w:rsid w:val="00E43333"/>
    <w:rsid w:val="00E43723"/>
    <w:rsid w:val="00E4570D"/>
    <w:rsid w:val="00E457DD"/>
    <w:rsid w:val="00E4655D"/>
    <w:rsid w:val="00E4720A"/>
    <w:rsid w:val="00E5003E"/>
    <w:rsid w:val="00E5570D"/>
    <w:rsid w:val="00E55859"/>
    <w:rsid w:val="00E55957"/>
    <w:rsid w:val="00E56E1F"/>
    <w:rsid w:val="00E571D4"/>
    <w:rsid w:val="00E60607"/>
    <w:rsid w:val="00E6154F"/>
    <w:rsid w:val="00E61591"/>
    <w:rsid w:val="00E6172A"/>
    <w:rsid w:val="00E6397C"/>
    <w:rsid w:val="00E66EFC"/>
    <w:rsid w:val="00E70688"/>
    <w:rsid w:val="00E7202B"/>
    <w:rsid w:val="00E734B4"/>
    <w:rsid w:val="00E736BC"/>
    <w:rsid w:val="00E737C8"/>
    <w:rsid w:val="00E73B04"/>
    <w:rsid w:val="00E7415A"/>
    <w:rsid w:val="00E7531C"/>
    <w:rsid w:val="00E7644C"/>
    <w:rsid w:val="00E76975"/>
    <w:rsid w:val="00E76BA9"/>
    <w:rsid w:val="00E80EE2"/>
    <w:rsid w:val="00E81BB4"/>
    <w:rsid w:val="00E86733"/>
    <w:rsid w:val="00E86D11"/>
    <w:rsid w:val="00E87220"/>
    <w:rsid w:val="00E9307F"/>
    <w:rsid w:val="00E9435A"/>
    <w:rsid w:val="00E95941"/>
    <w:rsid w:val="00E95944"/>
    <w:rsid w:val="00E95D71"/>
    <w:rsid w:val="00E9633B"/>
    <w:rsid w:val="00E96757"/>
    <w:rsid w:val="00EA086C"/>
    <w:rsid w:val="00EA0C8A"/>
    <w:rsid w:val="00EA16A5"/>
    <w:rsid w:val="00EA29C9"/>
    <w:rsid w:val="00EA30A2"/>
    <w:rsid w:val="00EA4C3A"/>
    <w:rsid w:val="00EA54E3"/>
    <w:rsid w:val="00EA5BDD"/>
    <w:rsid w:val="00EA6F04"/>
    <w:rsid w:val="00EB0E89"/>
    <w:rsid w:val="00EB1C49"/>
    <w:rsid w:val="00EB1E92"/>
    <w:rsid w:val="00EB211B"/>
    <w:rsid w:val="00EB53CE"/>
    <w:rsid w:val="00EB6636"/>
    <w:rsid w:val="00EB66A4"/>
    <w:rsid w:val="00EC016D"/>
    <w:rsid w:val="00EC0BD0"/>
    <w:rsid w:val="00EC13E6"/>
    <w:rsid w:val="00EC5537"/>
    <w:rsid w:val="00ED0A3B"/>
    <w:rsid w:val="00ED1107"/>
    <w:rsid w:val="00ED6890"/>
    <w:rsid w:val="00ED6951"/>
    <w:rsid w:val="00EE2A06"/>
    <w:rsid w:val="00EE3CAD"/>
    <w:rsid w:val="00EE41DE"/>
    <w:rsid w:val="00EE4472"/>
    <w:rsid w:val="00EE44C4"/>
    <w:rsid w:val="00EE5DE5"/>
    <w:rsid w:val="00EE5E63"/>
    <w:rsid w:val="00EE6208"/>
    <w:rsid w:val="00EE62C0"/>
    <w:rsid w:val="00EE65A9"/>
    <w:rsid w:val="00EE77A8"/>
    <w:rsid w:val="00EF0271"/>
    <w:rsid w:val="00EF08D4"/>
    <w:rsid w:val="00EF1188"/>
    <w:rsid w:val="00EF2C98"/>
    <w:rsid w:val="00EF35FE"/>
    <w:rsid w:val="00EF612D"/>
    <w:rsid w:val="00EF6EAE"/>
    <w:rsid w:val="00EF77C6"/>
    <w:rsid w:val="00F0087A"/>
    <w:rsid w:val="00F01BDF"/>
    <w:rsid w:val="00F03CD4"/>
    <w:rsid w:val="00F041F0"/>
    <w:rsid w:val="00F042F6"/>
    <w:rsid w:val="00F043EA"/>
    <w:rsid w:val="00F057BE"/>
    <w:rsid w:val="00F05A39"/>
    <w:rsid w:val="00F05A8A"/>
    <w:rsid w:val="00F06472"/>
    <w:rsid w:val="00F07F4F"/>
    <w:rsid w:val="00F11A44"/>
    <w:rsid w:val="00F11CC8"/>
    <w:rsid w:val="00F13CFB"/>
    <w:rsid w:val="00F14947"/>
    <w:rsid w:val="00F14EC6"/>
    <w:rsid w:val="00F172AD"/>
    <w:rsid w:val="00F2092C"/>
    <w:rsid w:val="00F20CDF"/>
    <w:rsid w:val="00F211D8"/>
    <w:rsid w:val="00F22235"/>
    <w:rsid w:val="00F22BC4"/>
    <w:rsid w:val="00F24923"/>
    <w:rsid w:val="00F255B3"/>
    <w:rsid w:val="00F25E52"/>
    <w:rsid w:val="00F261FC"/>
    <w:rsid w:val="00F2735C"/>
    <w:rsid w:val="00F302D2"/>
    <w:rsid w:val="00F30355"/>
    <w:rsid w:val="00F31A8D"/>
    <w:rsid w:val="00F32153"/>
    <w:rsid w:val="00F3277B"/>
    <w:rsid w:val="00F33B05"/>
    <w:rsid w:val="00F3734B"/>
    <w:rsid w:val="00F40099"/>
    <w:rsid w:val="00F409BD"/>
    <w:rsid w:val="00F40F51"/>
    <w:rsid w:val="00F42B0C"/>
    <w:rsid w:val="00F42E99"/>
    <w:rsid w:val="00F4369F"/>
    <w:rsid w:val="00F44319"/>
    <w:rsid w:val="00F44A16"/>
    <w:rsid w:val="00F45E2A"/>
    <w:rsid w:val="00F45EBE"/>
    <w:rsid w:val="00F460F0"/>
    <w:rsid w:val="00F4697F"/>
    <w:rsid w:val="00F4704D"/>
    <w:rsid w:val="00F502D4"/>
    <w:rsid w:val="00F5114A"/>
    <w:rsid w:val="00F53A59"/>
    <w:rsid w:val="00F53FF5"/>
    <w:rsid w:val="00F54ABE"/>
    <w:rsid w:val="00F56BAC"/>
    <w:rsid w:val="00F57455"/>
    <w:rsid w:val="00F60F46"/>
    <w:rsid w:val="00F617B2"/>
    <w:rsid w:val="00F63A9A"/>
    <w:rsid w:val="00F64DBD"/>
    <w:rsid w:val="00F67C88"/>
    <w:rsid w:val="00F71553"/>
    <w:rsid w:val="00F71B4B"/>
    <w:rsid w:val="00F72C96"/>
    <w:rsid w:val="00F73F04"/>
    <w:rsid w:val="00F76493"/>
    <w:rsid w:val="00F7732B"/>
    <w:rsid w:val="00F774CD"/>
    <w:rsid w:val="00F813C4"/>
    <w:rsid w:val="00F82F2C"/>
    <w:rsid w:val="00F83338"/>
    <w:rsid w:val="00F852AA"/>
    <w:rsid w:val="00F905F1"/>
    <w:rsid w:val="00F90D7E"/>
    <w:rsid w:val="00F91D81"/>
    <w:rsid w:val="00F94224"/>
    <w:rsid w:val="00F959EA"/>
    <w:rsid w:val="00F96EA1"/>
    <w:rsid w:val="00F970A6"/>
    <w:rsid w:val="00FA075C"/>
    <w:rsid w:val="00FA5508"/>
    <w:rsid w:val="00FB1497"/>
    <w:rsid w:val="00FB2247"/>
    <w:rsid w:val="00FB2F86"/>
    <w:rsid w:val="00FB342E"/>
    <w:rsid w:val="00FB3BE5"/>
    <w:rsid w:val="00FB452C"/>
    <w:rsid w:val="00FB5578"/>
    <w:rsid w:val="00FB5E5F"/>
    <w:rsid w:val="00FB6B8B"/>
    <w:rsid w:val="00FB7912"/>
    <w:rsid w:val="00FC0DB2"/>
    <w:rsid w:val="00FC23B4"/>
    <w:rsid w:val="00FC3E1E"/>
    <w:rsid w:val="00FC3E9C"/>
    <w:rsid w:val="00FC4857"/>
    <w:rsid w:val="00FC6E69"/>
    <w:rsid w:val="00FC7803"/>
    <w:rsid w:val="00FD041A"/>
    <w:rsid w:val="00FD1798"/>
    <w:rsid w:val="00FD514C"/>
    <w:rsid w:val="00FD5316"/>
    <w:rsid w:val="00FD6B99"/>
    <w:rsid w:val="00FE19B3"/>
    <w:rsid w:val="00FE2D39"/>
    <w:rsid w:val="00FE3C51"/>
    <w:rsid w:val="00FE4523"/>
    <w:rsid w:val="00FE47F2"/>
    <w:rsid w:val="00FE77D8"/>
    <w:rsid w:val="00FF0245"/>
    <w:rsid w:val="00FF0A7A"/>
    <w:rsid w:val="00FF0E5D"/>
    <w:rsid w:val="00FF0E61"/>
    <w:rsid w:val="00FF16C4"/>
    <w:rsid w:val="00FF345D"/>
    <w:rsid w:val="00FF52FF"/>
    <w:rsid w:val="00FF6356"/>
    <w:rsid w:val="00FF6EB5"/>
    <w:rsid w:val="1EC0A0AE"/>
    <w:rsid w:val="48873BD5"/>
    <w:rsid w:val="6B5AC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F9B3B"/>
  <w15:docId w15:val="{7228EBD6-7438-47E0-B624-6D80B49AB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7256C"/>
    <w:pPr>
      <w:spacing w:before="240" w:after="240" w:line="240" w:lineRule="auto"/>
    </w:pPr>
    <w:rPr>
      <w:rFonts w:ascii="Arial" w:hAnsi="Arial"/>
      <w:sz w:val="24"/>
    </w:rPr>
  </w:style>
  <w:style w:type="paragraph" w:styleId="Heading1">
    <w:name w:val="heading 1"/>
    <w:basedOn w:val="Normal"/>
    <w:next w:val="Normal"/>
    <w:link w:val="Heading1Char"/>
    <w:uiPriority w:val="9"/>
    <w:qFormat/>
    <w:rsid w:val="007D0E90"/>
    <w:pPr>
      <w:spacing w:after="120"/>
      <w:outlineLvl w:val="0"/>
    </w:pPr>
    <w:rPr>
      <w:rFonts w:eastAsia="Times" w:cs="Times New Roman"/>
      <w:color w:val="000000" w:themeColor="text1"/>
      <w:sz w:val="44"/>
      <w:szCs w:val="44"/>
    </w:rPr>
  </w:style>
  <w:style w:type="paragraph" w:styleId="Heading2">
    <w:name w:val="heading 2"/>
    <w:basedOn w:val="Heading3"/>
    <w:next w:val="Normal"/>
    <w:link w:val="Heading2Char"/>
    <w:uiPriority w:val="9"/>
    <w:unhideWhenUsed/>
    <w:qFormat/>
    <w:rsid w:val="00DE6FF6"/>
    <w:pPr>
      <w:outlineLvl w:val="1"/>
    </w:pPr>
    <w:rPr>
      <w:color w:val="auto"/>
      <w:sz w:val="32"/>
      <w:szCs w:val="32"/>
    </w:rPr>
  </w:style>
  <w:style w:type="paragraph" w:styleId="Heading3">
    <w:name w:val="heading 3"/>
    <w:basedOn w:val="NHSCBChapterAnnex"/>
    <w:next w:val="Normal"/>
    <w:link w:val="Heading3Char"/>
    <w:uiPriority w:val="9"/>
    <w:unhideWhenUsed/>
    <w:qFormat/>
    <w:rsid w:val="00C645AB"/>
    <w:pPr>
      <w:outlineLvl w:val="2"/>
    </w:pPr>
    <w:rPr>
      <w:b/>
      <w:bCs/>
      <w:color w:val="000000" w:themeColor="text1"/>
      <w:szCs w:val="28"/>
    </w:rPr>
  </w:style>
  <w:style w:type="paragraph" w:styleId="Heading4">
    <w:name w:val="heading 4"/>
    <w:basedOn w:val="Normal"/>
    <w:next w:val="Normal"/>
    <w:link w:val="Heading4Char"/>
    <w:uiPriority w:val="9"/>
    <w:unhideWhenUsed/>
    <w:qFormat/>
    <w:rsid w:val="00CC2B2A"/>
    <w:pPr>
      <w:keepNext/>
      <w:keepLines/>
      <w:spacing w:before="200" w:after="0"/>
      <w:outlineLvl w:val="3"/>
    </w:pPr>
    <w:rPr>
      <w:rFonts w:eastAsiaTheme="majorEastAsia" w:cs="Arial"/>
      <w:b/>
      <w:bCs/>
      <w:color w:val="000000" w:themeColor="text1"/>
    </w:rPr>
  </w:style>
  <w:style w:type="paragraph" w:styleId="Heading5">
    <w:name w:val="heading 5"/>
    <w:basedOn w:val="Normal"/>
    <w:next w:val="Normal"/>
    <w:link w:val="Heading5Char"/>
    <w:uiPriority w:val="9"/>
    <w:unhideWhenUsed/>
    <w:qFormat/>
    <w:rsid w:val="0058127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7256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5A7B93"/>
    <w:pPr>
      <w:ind w:left="720"/>
      <w:contextualSpacing/>
    </w:pPr>
  </w:style>
  <w:style w:type="character" w:customStyle="1" w:styleId="Heading1Char">
    <w:name w:val="Heading 1 Char"/>
    <w:basedOn w:val="DefaultParagraphFont"/>
    <w:link w:val="Heading1"/>
    <w:uiPriority w:val="9"/>
    <w:rsid w:val="007D0E90"/>
    <w:rPr>
      <w:rFonts w:ascii="Arial" w:eastAsia="Times" w:hAnsi="Arial" w:cs="Times New Roman"/>
      <w:color w:val="000000" w:themeColor="text1"/>
      <w:sz w:val="44"/>
      <w:szCs w:val="44"/>
    </w:rPr>
  </w:style>
  <w:style w:type="paragraph" w:styleId="TOC1">
    <w:name w:val="toc 1"/>
    <w:basedOn w:val="Normal"/>
    <w:next w:val="Normal"/>
    <w:autoRedefine/>
    <w:uiPriority w:val="39"/>
    <w:unhideWhenUsed/>
    <w:qFormat/>
    <w:rsid w:val="00591E47"/>
    <w:pPr>
      <w:tabs>
        <w:tab w:val="right" w:leader="dot" w:pos="9016"/>
      </w:tabs>
      <w:spacing w:before="120"/>
    </w:pPr>
    <w:rPr>
      <w:rFonts w:eastAsiaTheme="majorEastAsia" w:cs="Arial"/>
      <w:b/>
      <w:noProof/>
      <w:szCs w:val="24"/>
    </w:rPr>
  </w:style>
  <w:style w:type="character" w:styleId="Hyperlink">
    <w:name w:val="Hyperlink"/>
    <w:basedOn w:val="DefaultParagraphFont"/>
    <w:unhideWhenUsed/>
    <w:rsid w:val="00717953"/>
    <w:rPr>
      <w:color w:val="0000FF" w:themeColor="hyperlink"/>
      <w:u w:val="single"/>
    </w:rPr>
  </w:style>
  <w:style w:type="character" w:customStyle="1" w:styleId="Heading2Char">
    <w:name w:val="Heading 2 Char"/>
    <w:basedOn w:val="DefaultParagraphFont"/>
    <w:link w:val="Heading2"/>
    <w:uiPriority w:val="9"/>
    <w:rsid w:val="00DE6FF6"/>
    <w:rPr>
      <w:rFonts w:ascii="Arial" w:eastAsia="Times" w:hAnsi="Arial" w:cs="Times New Roman"/>
      <w:b/>
      <w:bCs/>
      <w:sz w:val="32"/>
      <w:szCs w:val="32"/>
    </w:rPr>
  </w:style>
  <w:style w:type="character" w:customStyle="1" w:styleId="Heading3Char">
    <w:name w:val="Heading 3 Char"/>
    <w:basedOn w:val="DefaultParagraphFont"/>
    <w:link w:val="Heading3"/>
    <w:uiPriority w:val="9"/>
    <w:rsid w:val="00C645AB"/>
    <w:rPr>
      <w:rFonts w:ascii="Arial" w:eastAsia="Times" w:hAnsi="Arial" w:cs="Times New Roman"/>
      <w:b/>
      <w:bCs/>
      <w:color w:val="000000" w:themeColor="text1"/>
      <w:sz w:val="28"/>
      <w:szCs w:val="28"/>
    </w:rPr>
  </w:style>
  <w:style w:type="paragraph" w:styleId="NormalWeb">
    <w:name w:val="Normal (Web)"/>
    <w:basedOn w:val="Normal"/>
    <w:uiPriority w:val="99"/>
    <w:unhideWhenUsed/>
    <w:rsid w:val="00717953"/>
    <w:pPr>
      <w:spacing w:after="0"/>
    </w:pPr>
    <w:rPr>
      <w:rFonts w:ascii="Times New Roman" w:eastAsia="Times New Roman" w:hAnsi="Times New Roman" w:cs="Times New Roman"/>
      <w:szCs w:val="24"/>
      <w:lang w:eastAsia="en-GB"/>
    </w:rPr>
  </w:style>
  <w:style w:type="paragraph" w:customStyle="1" w:styleId="Normal1">
    <w:name w:val="Normal1"/>
    <w:basedOn w:val="Normal"/>
    <w:rsid w:val="00717953"/>
    <w:pPr>
      <w:spacing w:after="0"/>
    </w:pPr>
    <w:rPr>
      <w:rFonts w:eastAsia="Times New Roman" w:cs="Arial"/>
      <w:szCs w:val="24"/>
      <w:lang w:eastAsia="en-GB"/>
    </w:rPr>
  </w:style>
  <w:style w:type="paragraph" w:customStyle="1" w:styleId="list0020paragraph">
    <w:name w:val="list_0020paragraph"/>
    <w:basedOn w:val="Normal"/>
    <w:rsid w:val="00717953"/>
    <w:pPr>
      <w:spacing w:after="0"/>
      <w:ind w:left="720"/>
    </w:pPr>
    <w:rPr>
      <w:rFonts w:eastAsia="Times New Roman" w:cs="Arial"/>
      <w:szCs w:val="24"/>
      <w:lang w:eastAsia="en-GB"/>
    </w:rPr>
  </w:style>
  <w:style w:type="paragraph" w:customStyle="1" w:styleId="nhs0020cb0020no0020paragragh0020number">
    <w:name w:val="nhs_0020cb_0020no_0020paragragh_0020number"/>
    <w:basedOn w:val="Normal"/>
    <w:rsid w:val="00717953"/>
    <w:pPr>
      <w:spacing w:after="120" w:line="360" w:lineRule="atLeast"/>
    </w:pPr>
    <w:rPr>
      <w:rFonts w:eastAsia="Times New Roman" w:cs="Arial"/>
      <w:szCs w:val="24"/>
      <w:lang w:eastAsia="en-GB"/>
    </w:rPr>
  </w:style>
  <w:style w:type="paragraph" w:customStyle="1" w:styleId="body0020text">
    <w:name w:val="body_0020text"/>
    <w:basedOn w:val="Normal"/>
    <w:rsid w:val="00717953"/>
    <w:pPr>
      <w:spacing w:after="0"/>
      <w:ind w:left="360" w:hanging="360"/>
    </w:pPr>
    <w:rPr>
      <w:rFonts w:eastAsia="Times New Roman" w:cs="Arial"/>
      <w:szCs w:val="24"/>
      <w:lang w:eastAsia="en-GB"/>
    </w:rPr>
  </w:style>
  <w:style w:type="character" w:customStyle="1" w:styleId="normalchar1">
    <w:name w:val="normal__char1"/>
    <w:basedOn w:val="DefaultParagraphFont"/>
    <w:rsid w:val="00717953"/>
    <w:rPr>
      <w:rFonts w:ascii="Arial" w:hAnsi="Arial" w:cs="Arial" w:hint="default"/>
      <w:sz w:val="24"/>
      <w:szCs w:val="24"/>
    </w:rPr>
  </w:style>
  <w:style w:type="character" w:customStyle="1" w:styleId="list0020paragraphchar1">
    <w:name w:val="list_0020paragraph__char1"/>
    <w:basedOn w:val="DefaultParagraphFont"/>
    <w:rsid w:val="00717953"/>
    <w:rPr>
      <w:rFonts w:ascii="Arial" w:hAnsi="Arial" w:cs="Arial" w:hint="default"/>
      <w:sz w:val="24"/>
      <w:szCs w:val="24"/>
    </w:rPr>
  </w:style>
  <w:style w:type="paragraph" w:customStyle="1" w:styleId="table0020grid1">
    <w:name w:val="table_0020grid1"/>
    <w:basedOn w:val="Normal"/>
    <w:rsid w:val="00717953"/>
    <w:pPr>
      <w:spacing w:after="0"/>
    </w:pPr>
    <w:rPr>
      <w:rFonts w:ascii="Times New Roman" w:eastAsia="Times New Roman" w:hAnsi="Times New Roman" w:cs="Times New Roman"/>
      <w:szCs w:val="24"/>
      <w:lang w:eastAsia="en-GB"/>
    </w:rPr>
  </w:style>
  <w:style w:type="character" w:customStyle="1" w:styleId="table0020gridchar">
    <w:name w:val="table_0020grid__char"/>
    <w:basedOn w:val="DefaultParagraphFont"/>
    <w:rsid w:val="00717953"/>
  </w:style>
  <w:style w:type="character" w:customStyle="1" w:styleId="nhs0020cb0020no0020paragragh0020numberchar1">
    <w:name w:val="nhs_0020cb_0020no_0020paragragh_0020number__char1"/>
    <w:basedOn w:val="DefaultParagraphFont"/>
    <w:rsid w:val="00717953"/>
    <w:rPr>
      <w:rFonts w:ascii="Arial" w:hAnsi="Arial" w:cs="Arial" w:hint="default"/>
      <w:sz w:val="24"/>
      <w:szCs w:val="24"/>
    </w:rPr>
  </w:style>
  <w:style w:type="character" w:customStyle="1" w:styleId="s5char">
    <w:name w:val="s5__char"/>
    <w:basedOn w:val="DefaultParagraphFont"/>
    <w:rsid w:val="00717953"/>
  </w:style>
  <w:style w:type="character" w:customStyle="1" w:styleId="body0020textchar1">
    <w:name w:val="body_0020text__char1"/>
    <w:basedOn w:val="DefaultParagraphFont"/>
    <w:rsid w:val="00717953"/>
    <w:rPr>
      <w:rFonts w:ascii="Arial" w:hAnsi="Arial" w:cs="Arial" w:hint="default"/>
      <w:sz w:val="24"/>
      <w:szCs w:val="24"/>
    </w:rPr>
  </w:style>
  <w:style w:type="paragraph" w:customStyle="1" w:styleId="normal0020table1">
    <w:name w:val="normal_0020table1"/>
    <w:basedOn w:val="Normal"/>
    <w:rsid w:val="00717953"/>
    <w:pPr>
      <w:spacing w:after="0"/>
    </w:pPr>
    <w:rPr>
      <w:rFonts w:ascii="Times New Roman" w:eastAsia="Times New Roman" w:hAnsi="Times New Roman" w:cs="Times New Roman"/>
      <w:szCs w:val="24"/>
      <w:lang w:eastAsia="en-GB"/>
    </w:rPr>
  </w:style>
  <w:style w:type="character" w:customStyle="1" w:styleId="normal0020tablechar">
    <w:name w:val="normal_0020table__char"/>
    <w:basedOn w:val="DefaultParagraphFont"/>
    <w:rsid w:val="00717953"/>
  </w:style>
  <w:style w:type="character" w:styleId="CommentReference">
    <w:name w:val="annotation reference"/>
    <w:basedOn w:val="DefaultParagraphFont"/>
    <w:uiPriority w:val="99"/>
    <w:semiHidden/>
    <w:unhideWhenUsed/>
    <w:rsid w:val="00717953"/>
    <w:rPr>
      <w:sz w:val="16"/>
      <w:szCs w:val="16"/>
    </w:rPr>
  </w:style>
  <w:style w:type="paragraph" w:styleId="CommentText">
    <w:name w:val="annotation text"/>
    <w:basedOn w:val="Normal"/>
    <w:link w:val="CommentTextChar"/>
    <w:uiPriority w:val="99"/>
    <w:unhideWhenUsed/>
    <w:rsid w:val="00717953"/>
    <w:rPr>
      <w:sz w:val="20"/>
      <w:szCs w:val="20"/>
    </w:rPr>
  </w:style>
  <w:style w:type="character" w:customStyle="1" w:styleId="CommentTextChar">
    <w:name w:val="Comment Text Char"/>
    <w:basedOn w:val="DefaultParagraphFont"/>
    <w:link w:val="CommentText"/>
    <w:uiPriority w:val="99"/>
    <w:rsid w:val="00717953"/>
    <w:rPr>
      <w:sz w:val="20"/>
      <w:szCs w:val="20"/>
    </w:rPr>
  </w:style>
  <w:style w:type="paragraph" w:styleId="CommentSubject">
    <w:name w:val="annotation subject"/>
    <w:basedOn w:val="CommentText"/>
    <w:next w:val="CommentText"/>
    <w:link w:val="CommentSubjectChar"/>
    <w:uiPriority w:val="99"/>
    <w:semiHidden/>
    <w:unhideWhenUsed/>
    <w:rsid w:val="00717953"/>
    <w:rPr>
      <w:b/>
      <w:bCs/>
    </w:rPr>
  </w:style>
  <w:style w:type="character" w:customStyle="1" w:styleId="CommentSubjectChar">
    <w:name w:val="Comment Subject Char"/>
    <w:basedOn w:val="CommentTextChar"/>
    <w:link w:val="CommentSubject"/>
    <w:uiPriority w:val="99"/>
    <w:semiHidden/>
    <w:rsid w:val="00717953"/>
    <w:rPr>
      <w:b/>
      <w:bCs/>
      <w:sz w:val="20"/>
      <w:szCs w:val="20"/>
    </w:rPr>
  </w:style>
  <w:style w:type="paragraph" w:styleId="BalloonText">
    <w:name w:val="Balloon Text"/>
    <w:basedOn w:val="Normal"/>
    <w:link w:val="BalloonTextChar"/>
    <w:uiPriority w:val="99"/>
    <w:semiHidden/>
    <w:unhideWhenUsed/>
    <w:rsid w:val="0071795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953"/>
    <w:rPr>
      <w:rFonts w:ascii="Tahoma" w:hAnsi="Tahoma" w:cs="Tahoma"/>
      <w:sz w:val="16"/>
      <w:szCs w:val="16"/>
    </w:rPr>
  </w:style>
  <w:style w:type="paragraph" w:styleId="ListNumber">
    <w:name w:val="List Number"/>
    <w:basedOn w:val="Normal"/>
    <w:uiPriority w:val="99"/>
    <w:unhideWhenUsed/>
    <w:rsid w:val="00717953"/>
    <w:pPr>
      <w:numPr>
        <w:numId w:val="1"/>
      </w:numPr>
      <w:contextualSpacing/>
    </w:pPr>
  </w:style>
  <w:style w:type="paragraph" w:styleId="Header">
    <w:name w:val="header"/>
    <w:basedOn w:val="Normal"/>
    <w:link w:val="HeaderChar"/>
    <w:uiPriority w:val="99"/>
    <w:unhideWhenUsed/>
    <w:rsid w:val="00717953"/>
    <w:pPr>
      <w:tabs>
        <w:tab w:val="center" w:pos="4513"/>
        <w:tab w:val="right" w:pos="9026"/>
      </w:tabs>
      <w:spacing w:after="0"/>
    </w:pPr>
  </w:style>
  <w:style w:type="character" w:customStyle="1" w:styleId="HeaderChar">
    <w:name w:val="Header Char"/>
    <w:basedOn w:val="DefaultParagraphFont"/>
    <w:link w:val="Header"/>
    <w:uiPriority w:val="99"/>
    <w:rsid w:val="00717953"/>
  </w:style>
  <w:style w:type="paragraph" w:styleId="Footer">
    <w:name w:val="footer"/>
    <w:basedOn w:val="Normal"/>
    <w:link w:val="FooterChar"/>
    <w:uiPriority w:val="99"/>
    <w:unhideWhenUsed/>
    <w:rsid w:val="00717953"/>
    <w:pPr>
      <w:tabs>
        <w:tab w:val="center" w:pos="4513"/>
        <w:tab w:val="right" w:pos="9026"/>
      </w:tabs>
      <w:spacing w:after="0"/>
    </w:pPr>
  </w:style>
  <w:style w:type="character" w:customStyle="1" w:styleId="FooterChar">
    <w:name w:val="Footer Char"/>
    <w:basedOn w:val="DefaultParagraphFont"/>
    <w:link w:val="Footer"/>
    <w:uiPriority w:val="99"/>
    <w:rsid w:val="00717953"/>
  </w:style>
  <w:style w:type="paragraph" w:customStyle="1" w:styleId="Default">
    <w:name w:val="Default"/>
    <w:basedOn w:val="Normal"/>
    <w:rsid w:val="00717953"/>
    <w:pPr>
      <w:autoSpaceDE w:val="0"/>
      <w:autoSpaceDN w:val="0"/>
      <w:spacing w:after="0"/>
    </w:pPr>
    <w:rPr>
      <w:rFonts w:cs="Arial"/>
      <w:color w:val="000000"/>
      <w:szCs w:val="24"/>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717953"/>
  </w:style>
  <w:style w:type="table" w:styleId="TableGrid">
    <w:name w:val="Table Grid"/>
    <w:basedOn w:val="TableNormal"/>
    <w:uiPriority w:val="59"/>
    <w:qFormat/>
    <w:rsid w:val="00717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717953"/>
    <w:pPr>
      <w:spacing w:after="0"/>
    </w:pPr>
    <w:rPr>
      <w:rFonts w:ascii="Calibri" w:hAnsi="Calibri" w:cs="Calibri"/>
      <w:lang w:eastAsia="en-GB"/>
    </w:rPr>
  </w:style>
  <w:style w:type="paragraph" w:styleId="Revision">
    <w:name w:val="Revision"/>
    <w:hidden/>
    <w:uiPriority w:val="99"/>
    <w:semiHidden/>
    <w:rsid w:val="00717953"/>
    <w:pPr>
      <w:spacing w:after="0" w:line="240" w:lineRule="auto"/>
    </w:pPr>
  </w:style>
  <w:style w:type="paragraph" w:styleId="FootnoteText">
    <w:name w:val="footnote text"/>
    <w:basedOn w:val="Normal"/>
    <w:link w:val="FootnoteTextChar"/>
    <w:uiPriority w:val="99"/>
    <w:semiHidden/>
    <w:unhideWhenUsed/>
    <w:rsid w:val="00717953"/>
    <w:pPr>
      <w:spacing w:after="0"/>
    </w:pPr>
    <w:rPr>
      <w:sz w:val="20"/>
      <w:szCs w:val="20"/>
    </w:rPr>
  </w:style>
  <w:style w:type="character" w:customStyle="1" w:styleId="FootnoteTextChar">
    <w:name w:val="Footnote Text Char"/>
    <w:basedOn w:val="DefaultParagraphFont"/>
    <w:link w:val="FootnoteText"/>
    <w:uiPriority w:val="99"/>
    <w:semiHidden/>
    <w:rsid w:val="00717953"/>
    <w:rPr>
      <w:sz w:val="20"/>
      <w:szCs w:val="20"/>
    </w:rPr>
  </w:style>
  <w:style w:type="character" w:styleId="FootnoteReference">
    <w:name w:val="footnote reference"/>
    <w:semiHidden/>
    <w:rsid w:val="00717953"/>
    <w:rPr>
      <w:vertAlign w:val="superscript"/>
    </w:rPr>
  </w:style>
  <w:style w:type="paragraph" w:styleId="PlainText">
    <w:name w:val="Plain Text"/>
    <w:basedOn w:val="Normal"/>
    <w:link w:val="PlainTextChar"/>
    <w:uiPriority w:val="99"/>
    <w:unhideWhenUsed/>
    <w:rsid w:val="00717953"/>
    <w:pPr>
      <w:spacing w:after="0"/>
    </w:pPr>
    <w:rPr>
      <w:rFonts w:ascii="Calibri" w:hAnsi="Calibri"/>
      <w:szCs w:val="21"/>
    </w:rPr>
  </w:style>
  <w:style w:type="character" w:customStyle="1" w:styleId="PlainTextChar">
    <w:name w:val="Plain Text Char"/>
    <w:basedOn w:val="DefaultParagraphFont"/>
    <w:link w:val="PlainText"/>
    <w:uiPriority w:val="99"/>
    <w:rsid w:val="00717953"/>
    <w:rPr>
      <w:rFonts w:ascii="Calibri" w:hAnsi="Calibri"/>
      <w:szCs w:val="21"/>
    </w:rPr>
  </w:style>
  <w:style w:type="paragraph" w:styleId="TOCHeading">
    <w:name w:val="TOC Heading"/>
    <w:basedOn w:val="Heading1"/>
    <w:next w:val="Normal"/>
    <w:uiPriority w:val="39"/>
    <w:unhideWhenUsed/>
    <w:qFormat/>
    <w:rsid w:val="00717953"/>
    <w:pPr>
      <w:outlineLvl w:val="9"/>
    </w:pPr>
    <w:rPr>
      <w:lang w:val="en-US" w:eastAsia="ja-JP"/>
    </w:rPr>
  </w:style>
  <w:style w:type="paragraph" w:styleId="TOC2">
    <w:name w:val="toc 2"/>
    <w:basedOn w:val="Normal"/>
    <w:next w:val="Normal"/>
    <w:autoRedefine/>
    <w:uiPriority w:val="39"/>
    <w:unhideWhenUsed/>
    <w:qFormat/>
    <w:rsid w:val="00797528"/>
    <w:pPr>
      <w:tabs>
        <w:tab w:val="right" w:leader="dot" w:pos="9016"/>
      </w:tabs>
      <w:spacing w:before="120" w:after="120"/>
    </w:pPr>
    <w:rPr>
      <w:rFonts w:eastAsiaTheme="minorEastAsia"/>
      <w:b/>
      <w:bCs/>
      <w:noProof/>
      <w:lang w:val="en-US" w:eastAsia="ja-JP"/>
    </w:rPr>
  </w:style>
  <w:style w:type="paragraph" w:styleId="TOC3">
    <w:name w:val="toc 3"/>
    <w:basedOn w:val="Normal"/>
    <w:next w:val="Normal"/>
    <w:autoRedefine/>
    <w:uiPriority w:val="39"/>
    <w:unhideWhenUsed/>
    <w:qFormat/>
    <w:rsid w:val="00591E47"/>
    <w:pPr>
      <w:tabs>
        <w:tab w:val="right" w:leader="dot" w:pos="9072"/>
      </w:tabs>
      <w:ind w:left="440" w:right="1023"/>
    </w:pPr>
    <w:rPr>
      <w:rFonts w:eastAsiaTheme="minorEastAsia"/>
      <w:lang w:val="en-US" w:eastAsia="ja-JP"/>
    </w:rPr>
  </w:style>
  <w:style w:type="table" w:customStyle="1" w:styleId="TableGrid4">
    <w:name w:val="Table Grid4"/>
    <w:basedOn w:val="TableNormal"/>
    <w:next w:val="TableGrid"/>
    <w:uiPriority w:val="59"/>
    <w:rsid w:val="00717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1">
    <w:name w:val="s11"/>
    <w:basedOn w:val="Normal"/>
    <w:rsid w:val="00717953"/>
    <w:pPr>
      <w:spacing w:before="100" w:beforeAutospacing="1" w:after="100" w:afterAutospacing="1"/>
    </w:pPr>
    <w:rPr>
      <w:rFonts w:ascii="Times New Roman" w:hAnsi="Times New Roman" w:cs="Times New Roman"/>
      <w:szCs w:val="24"/>
      <w:lang w:eastAsia="en-GB"/>
    </w:rPr>
  </w:style>
  <w:style w:type="paragraph" w:customStyle="1" w:styleId="pa0">
    <w:name w:val="pa0"/>
    <w:basedOn w:val="Normal"/>
    <w:rsid w:val="00717953"/>
    <w:pPr>
      <w:spacing w:before="100" w:beforeAutospacing="1" w:after="100" w:afterAutospacing="1"/>
    </w:pPr>
    <w:rPr>
      <w:rFonts w:ascii="Times New Roman" w:hAnsi="Times New Roman" w:cs="Times New Roman"/>
      <w:szCs w:val="24"/>
      <w:lang w:eastAsia="en-GB"/>
    </w:rPr>
  </w:style>
  <w:style w:type="character" w:customStyle="1" w:styleId="s29">
    <w:name w:val="s29"/>
    <w:basedOn w:val="DefaultParagraphFont"/>
    <w:rsid w:val="00422ACF"/>
  </w:style>
  <w:style w:type="paragraph" w:customStyle="1" w:styleId="Pa00">
    <w:name w:val="Pa0"/>
    <w:basedOn w:val="Normal"/>
    <w:next w:val="Normal"/>
    <w:uiPriority w:val="99"/>
    <w:rsid w:val="000A61E1"/>
    <w:pPr>
      <w:autoSpaceDE w:val="0"/>
      <w:autoSpaceDN w:val="0"/>
      <w:adjustRightInd w:val="0"/>
      <w:spacing w:after="0" w:line="241" w:lineRule="atLeast"/>
    </w:pPr>
    <w:rPr>
      <w:rFonts w:ascii="Frutiger 45 Light" w:hAnsi="Frutiger 45 Light"/>
      <w:szCs w:val="24"/>
    </w:rPr>
  </w:style>
  <w:style w:type="character" w:customStyle="1" w:styleId="Heading4Char">
    <w:name w:val="Heading 4 Char"/>
    <w:basedOn w:val="DefaultParagraphFont"/>
    <w:link w:val="Heading4"/>
    <w:uiPriority w:val="9"/>
    <w:rsid w:val="00CC2B2A"/>
    <w:rPr>
      <w:rFonts w:ascii="Arial" w:eastAsiaTheme="majorEastAsia" w:hAnsi="Arial" w:cs="Arial"/>
      <w:b/>
      <w:bCs/>
      <w:color w:val="000000" w:themeColor="text1"/>
      <w:sz w:val="24"/>
    </w:rPr>
  </w:style>
  <w:style w:type="table" w:customStyle="1" w:styleId="TableGrid2">
    <w:name w:val="Table Grid2"/>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HSCBNoParagraghNumber">
    <w:name w:val="NHS CB No Paragragh Number"/>
    <w:basedOn w:val="Normal"/>
    <w:uiPriority w:val="99"/>
    <w:qFormat/>
    <w:rsid w:val="005E3421"/>
    <w:pPr>
      <w:spacing w:after="120" w:line="360" w:lineRule="auto"/>
      <w:jc w:val="both"/>
    </w:pPr>
    <w:rPr>
      <w:rFonts w:eastAsia="Times New Roman" w:cs="Arial"/>
    </w:rPr>
  </w:style>
  <w:style w:type="table" w:customStyle="1" w:styleId="TableGrid1">
    <w:name w:val="Table Grid1"/>
    <w:basedOn w:val="TableNormal"/>
    <w:next w:val="TableGrid"/>
    <w:uiPriority w:val="3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5">
    <w:name w:val="Pa25"/>
    <w:basedOn w:val="Normal"/>
    <w:next w:val="Normal"/>
    <w:uiPriority w:val="99"/>
    <w:rsid w:val="005E3421"/>
    <w:pPr>
      <w:autoSpaceDE w:val="0"/>
      <w:autoSpaceDN w:val="0"/>
      <w:adjustRightInd w:val="0"/>
      <w:spacing w:after="0" w:line="181" w:lineRule="atLeast"/>
    </w:pPr>
    <w:rPr>
      <w:rFonts w:ascii="Frutiger 45 Light" w:hAnsi="Frutiger 45 Light"/>
      <w:szCs w:val="24"/>
    </w:rPr>
  </w:style>
  <w:style w:type="numbering" w:customStyle="1" w:styleId="NoList1">
    <w:name w:val="No List1"/>
    <w:next w:val="NoList"/>
    <w:uiPriority w:val="99"/>
    <w:semiHidden/>
    <w:unhideWhenUsed/>
    <w:rsid w:val="005E3421"/>
  </w:style>
  <w:style w:type="table" w:customStyle="1" w:styleId="TableGrid5">
    <w:name w:val="Table Grid5"/>
    <w:basedOn w:val="TableNormal"/>
    <w:next w:val="TableGrid"/>
    <w:uiPriority w:val="3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E3421"/>
  </w:style>
  <w:style w:type="table" w:customStyle="1" w:styleId="TableGrid6">
    <w:name w:val="Table Grid6"/>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1">
    <w:name w:val="Pa11"/>
    <w:basedOn w:val="Normal"/>
    <w:uiPriority w:val="99"/>
    <w:rsid w:val="00067A43"/>
    <w:pPr>
      <w:autoSpaceDE w:val="0"/>
      <w:autoSpaceDN w:val="0"/>
      <w:spacing w:after="0" w:line="281" w:lineRule="atLeast"/>
    </w:pPr>
    <w:rPr>
      <w:rFonts w:ascii="Frutiger 45 Light" w:hAnsi="Frutiger 45 Light" w:cs="Times New Roman"/>
      <w:szCs w:val="24"/>
    </w:rPr>
  </w:style>
  <w:style w:type="table" w:customStyle="1" w:styleId="TableGrid42">
    <w:name w:val="Table Grid42"/>
    <w:basedOn w:val="TableNormal"/>
    <w:next w:val="TableGrid"/>
    <w:uiPriority w:val="59"/>
    <w:rsid w:val="00633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HSCBTableParagraph">
    <w:name w:val="NHS CB Table Paragraph"/>
    <w:basedOn w:val="Normal"/>
    <w:rsid w:val="00633F7D"/>
    <w:pPr>
      <w:spacing w:before="120" w:after="0" w:line="360" w:lineRule="auto"/>
      <w:ind w:left="-11" w:firstLine="11"/>
    </w:pPr>
    <w:rPr>
      <w:rFonts w:cs="Arial"/>
      <w:b/>
      <w:i/>
    </w:rPr>
  </w:style>
  <w:style w:type="paragraph" w:customStyle="1" w:styleId="Pa17">
    <w:name w:val="Pa17"/>
    <w:basedOn w:val="Normal"/>
    <w:next w:val="Normal"/>
    <w:uiPriority w:val="99"/>
    <w:rsid w:val="00633F7D"/>
    <w:pPr>
      <w:autoSpaceDE w:val="0"/>
      <w:autoSpaceDN w:val="0"/>
      <w:adjustRightInd w:val="0"/>
      <w:spacing w:after="0" w:line="161" w:lineRule="atLeast"/>
    </w:pPr>
    <w:rPr>
      <w:rFonts w:ascii="Frutiger 45 Light" w:hAnsi="Frutiger 45 Light"/>
      <w:szCs w:val="24"/>
    </w:rPr>
  </w:style>
  <w:style w:type="character" w:customStyle="1" w:styleId="s3">
    <w:name w:val="s3"/>
    <w:basedOn w:val="DefaultParagraphFont"/>
    <w:rsid w:val="00B65960"/>
  </w:style>
  <w:style w:type="character" w:customStyle="1" w:styleId="s24">
    <w:name w:val="s24"/>
    <w:basedOn w:val="DefaultParagraphFont"/>
    <w:rsid w:val="00D0786B"/>
  </w:style>
  <w:style w:type="character" w:styleId="FollowedHyperlink">
    <w:name w:val="FollowedHyperlink"/>
    <w:basedOn w:val="DefaultParagraphFont"/>
    <w:uiPriority w:val="99"/>
    <w:semiHidden/>
    <w:unhideWhenUsed/>
    <w:rsid w:val="00240D44"/>
    <w:rPr>
      <w:color w:val="800080"/>
      <w:u w:val="single"/>
    </w:rPr>
  </w:style>
  <w:style w:type="paragraph" w:customStyle="1" w:styleId="xl41603">
    <w:name w:val="xl41603"/>
    <w:basedOn w:val="Normal"/>
    <w:rsid w:val="00240D44"/>
    <w:pPr>
      <w:shd w:val="clear" w:color="000000" w:fill="FFFFFF"/>
      <w:spacing w:before="100" w:beforeAutospacing="1" w:after="100" w:afterAutospacing="1"/>
    </w:pPr>
    <w:rPr>
      <w:rFonts w:ascii="Times New Roman" w:eastAsia="Times New Roman" w:hAnsi="Times New Roman" w:cs="Times New Roman"/>
      <w:szCs w:val="24"/>
      <w:lang w:eastAsia="en-GB"/>
    </w:rPr>
  </w:style>
  <w:style w:type="paragraph" w:customStyle="1" w:styleId="xl41604">
    <w:name w:val="xl41604"/>
    <w:basedOn w:val="Normal"/>
    <w:rsid w:val="00240D44"/>
    <w:pPr>
      <w:shd w:val="clear" w:color="000000" w:fill="FFFFFF"/>
      <w:spacing w:before="100" w:beforeAutospacing="1" w:after="100" w:afterAutospacing="1"/>
      <w:jc w:val="center"/>
    </w:pPr>
    <w:rPr>
      <w:rFonts w:eastAsia="Times New Roman" w:cs="Arial"/>
      <w:b/>
      <w:bCs/>
      <w:szCs w:val="24"/>
      <w:lang w:eastAsia="en-GB"/>
    </w:rPr>
  </w:style>
  <w:style w:type="paragraph" w:customStyle="1" w:styleId="xl41605">
    <w:name w:val="xl41605"/>
    <w:basedOn w:val="Normal"/>
    <w:rsid w:val="00240D44"/>
    <w:pPr>
      <w:shd w:val="clear" w:color="000000" w:fill="FFFFFF"/>
      <w:spacing w:before="100" w:beforeAutospacing="1" w:after="100" w:afterAutospacing="1"/>
      <w:jc w:val="center"/>
    </w:pPr>
    <w:rPr>
      <w:rFonts w:eastAsia="Times New Roman" w:cs="Arial"/>
      <w:b/>
      <w:bCs/>
      <w:szCs w:val="24"/>
      <w:lang w:eastAsia="en-GB"/>
    </w:rPr>
  </w:style>
  <w:style w:type="paragraph" w:customStyle="1" w:styleId="xl41606">
    <w:name w:val="xl41606"/>
    <w:basedOn w:val="Normal"/>
    <w:rsid w:val="00240D44"/>
    <w:pPr>
      <w:shd w:val="clear" w:color="000000" w:fill="FFFFFF"/>
      <w:spacing w:before="100" w:beforeAutospacing="1" w:after="100" w:afterAutospacing="1"/>
    </w:pPr>
    <w:rPr>
      <w:rFonts w:ascii="Times New Roman" w:eastAsia="Times New Roman" w:hAnsi="Times New Roman" w:cs="Times New Roman"/>
      <w:szCs w:val="24"/>
      <w:lang w:eastAsia="en-GB"/>
    </w:rPr>
  </w:style>
  <w:style w:type="paragraph" w:customStyle="1" w:styleId="xl41607">
    <w:name w:val="xl41607"/>
    <w:basedOn w:val="Normal"/>
    <w:rsid w:val="00240D44"/>
    <w:pPr>
      <w:shd w:val="clear" w:color="000000" w:fill="FFFFFF"/>
      <w:spacing w:before="100" w:beforeAutospacing="1" w:after="100" w:afterAutospacing="1"/>
    </w:pPr>
    <w:rPr>
      <w:rFonts w:eastAsia="Times New Roman" w:cs="Arial"/>
      <w:szCs w:val="24"/>
      <w:lang w:eastAsia="en-GB"/>
    </w:rPr>
  </w:style>
  <w:style w:type="paragraph" w:customStyle="1" w:styleId="xl41608">
    <w:name w:val="xl41608"/>
    <w:basedOn w:val="Normal"/>
    <w:rsid w:val="00240D44"/>
    <w:pPr>
      <w:pBdr>
        <w:top w:val="single" w:sz="4" w:space="0" w:color="auto"/>
        <w:bottom w:val="single" w:sz="4" w:space="0" w:color="auto"/>
      </w:pBdr>
      <w:shd w:val="clear" w:color="000000" w:fill="FFFFFF"/>
      <w:spacing w:before="100" w:beforeAutospacing="1" w:after="100" w:afterAutospacing="1"/>
    </w:pPr>
    <w:rPr>
      <w:rFonts w:eastAsia="Times New Roman" w:cs="Arial"/>
      <w:b/>
      <w:bCs/>
      <w:szCs w:val="24"/>
      <w:lang w:eastAsia="en-GB"/>
    </w:rPr>
  </w:style>
  <w:style w:type="paragraph" w:customStyle="1" w:styleId="xl41609">
    <w:name w:val="xl41609"/>
    <w:basedOn w:val="Normal"/>
    <w:rsid w:val="00240D44"/>
    <w:pPr>
      <w:shd w:val="clear" w:color="000000" w:fill="FFFFFF"/>
      <w:spacing w:before="100" w:beforeAutospacing="1" w:after="100" w:afterAutospacing="1"/>
    </w:pPr>
    <w:rPr>
      <w:rFonts w:eastAsia="Times New Roman" w:cs="Arial"/>
      <w:b/>
      <w:bCs/>
      <w:szCs w:val="24"/>
      <w:lang w:eastAsia="en-GB"/>
    </w:rPr>
  </w:style>
  <w:style w:type="paragraph" w:customStyle="1" w:styleId="xl41610">
    <w:name w:val="xl41610"/>
    <w:basedOn w:val="Normal"/>
    <w:rsid w:val="00240D44"/>
    <w:pPr>
      <w:shd w:val="clear" w:color="000000" w:fill="FFFFFF"/>
      <w:spacing w:before="100" w:beforeAutospacing="1" w:after="100" w:afterAutospacing="1"/>
      <w:jc w:val="center"/>
    </w:pPr>
    <w:rPr>
      <w:rFonts w:eastAsia="Times New Roman" w:cs="Arial"/>
      <w:szCs w:val="24"/>
      <w:lang w:eastAsia="en-GB"/>
    </w:rPr>
  </w:style>
  <w:style w:type="paragraph" w:customStyle="1" w:styleId="xl41611">
    <w:name w:val="xl41611"/>
    <w:basedOn w:val="Normal"/>
    <w:rsid w:val="00240D44"/>
    <w:pPr>
      <w:shd w:val="clear" w:color="000000" w:fill="FFFFFF"/>
      <w:spacing w:before="100" w:beforeAutospacing="1" w:after="100" w:afterAutospacing="1"/>
    </w:pPr>
    <w:rPr>
      <w:rFonts w:eastAsia="Times New Roman" w:cs="Arial"/>
      <w:b/>
      <w:bCs/>
      <w:szCs w:val="24"/>
      <w:lang w:eastAsia="en-GB"/>
    </w:rPr>
  </w:style>
  <w:style w:type="paragraph" w:customStyle="1" w:styleId="xl41612">
    <w:name w:val="xl41612"/>
    <w:basedOn w:val="Normal"/>
    <w:rsid w:val="00240D44"/>
    <w:pPr>
      <w:shd w:val="clear" w:color="000000" w:fill="FFFFFF"/>
      <w:spacing w:before="100" w:beforeAutospacing="1" w:after="100" w:afterAutospacing="1"/>
      <w:jc w:val="center"/>
    </w:pPr>
    <w:rPr>
      <w:rFonts w:eastAsia="Times New Roman" w:cs="Arial"/>
      <w:szCs w:val="24"/>
      <w:lang w:eastAsia="en-GB"/>
    </w:rPr>
  </w:style>
  <w:style w:type="paragraph" w:customStyle="1" w:styleId="xl41613">
    <w:name w:val="xl41613"/>
    <w:basedOn w:val="Normal"/>
    <w:rsid w:val="00240D44"/>
    <w:pPr>
      <w:pBdr>
        <w:bottom w:val="single" w:sz="4" w:space="0" w:color="auto"/>
      </w:pBdr>
      <w:shd w:val="clear" w:color="000000" w:fill="FFFFFF"/>
      <w:spacing w:before="100" w:beforeAutospacing="1" w:after="100" w:afterAutospacing="1"/>
    </w:pPr>
    <w:rPr>
      <w:rFonts w:ascii="Times New Roman" w:eastAsia="Times New Roman" w:hAnsi="Times New Roman" w:cs="Times New Roman"/>
      <w:szCs w:val="24"/>
      <w:lang w:eastAsia="en-GB"/>
    </w:rPr>
  </w:style>
  <w:style w:type="paragraph" w:customStyle="1" w:styleId="xl41614">
    <w:name w:val="xl41614"/>
    <w:basedOn w:val="Normal"/>
    <w:rsid w:val="00240D44"/>
    <w:pPr>
      <w:shd w:val="clear" w:color="000000" w:fill="FFFFFF"/>
      <w:spacing w:before="100" w:beforeAutospacing="1" w:after="100" w:afterAutospacing="1"/>
    </w:pPr>
    <w:rPr>
      <w:rFonts w:eastAsia="Times New Roman" w:cs="Arial"/>
      <w:b/>
      <w:bCs/>
      <w:szCs w:val="24"/>
      <w:lang w:eastAsia="en-GB"/>
    </w:rPr>
  </w:style>
  <w:style w:type="paragraph" w:customStyle="1" w:styleId="xl41615">
    <w:name w:val="xl41615"/>
    <w:basedOn w:val="Normal"/>
    <w:rsid w:val="00240D44"/>
    <w:pPr>
      <w:spacing w:before="100" w:beforeAutospacing="1" w:after="100" w:afterAutospacing="1"/>
    </w:pPr>
    <w:rPr>
      <w:rFonts w:eastAsia="Times New Roman" w:cs="Arial"/>
      <w:szCs w:val="24"/>
      <w:lang w:eastAsia="en-GB"/>
    </w:rPr>
  </w:style>
  <w:style w:type="paragraph" w:customStyle="1" w:styleId="xl41616">
    <w:name w:val="xl41616"/>
    <w:basedOn w:val="Normal"/>
    <w:rsid w:val="00240D44"/>
    <w:pPr>
      <w:shd w:val="clear" w:color="000000" w:fill="FFFFFF"/>
      <w:spacing w:before="100" w:beforeAutospacing="1" w:after="100" w:afterAutospacing="1"/>
    </w:pPr>
    <w:rPr>
      <w:rFonts w:eastAsia="Times New Roman" w:cs="Arial"/>
      <w:szCs w:val="24"/>
      <w:lang w:eastAsia="en-GB"/>
    </w:rPr>
  </w:style>
  <w:style w:type="paragraph" w:customStyle="1" w:styleId="xl41617">
    <w:name w:val="xl41617"/>
    <w:basedOn w:val="Normal"/>
    <w:rsid w:val="00240D44"/>
    <w:pPr>
      <w:spacing w:before="100" w:beforeAutospacing="1" w:after="100" w:afterAutospacing="1"/>
    </w:pPr>
    <w:rPr>
      <w:rFonts w:eastAsia="Times New Roman" w:cs="Arial"/>
      <w:b/>
      <w:bCs/>
      <w:szCs w:val="24"/>
      <w:lang w:eastAsia="en-GB"/>
    </w:rPr>
  </w:style>
  <w:style w:type="paragraph" w:customStyle="1" w:styleId="xl41618">
    <w:name w:val="xl41618"/>
    <w:basedOn w:val="Normal"/>
    <w:rsid w:val="00240D44"/>
    <w:pPr>
      <w:shd w:val="clear" w:color="000000" w:fill="FFFFFF"/>
      <w:spacing w:before="100" w:beforeAutospacing="1" w:after="100" w:afterAutospacing="1"/>
    </w:pPr>
    <w:rPr>
      <w:rFonts w:eastAsia="Times New Roman" w:cs="Arial"/>
      <w:szCs w:val="24"/>
      <w:lang w:eastAsia="en-GB"/>
    </w:rPr>
  </w:style>
  <w:style w:type="paragraph" w:customStyle="1" w:styleId="xl41619">
    <w:name w:val="xl41619"/>
    <w:basedOn w:val="Normal"/>
    <w:rsid w:val="00240D44"/>
    <w:pPr>
      <w:shd w:val="clear" w:color="000000" w:fill="FFFFFF"/>
      <w:spacing w:before="100" w:beforeAutospacing="1" w:after="100" w:afterAutospacing="1"/>
    </w:pPr>
    <w:rPr>
      <w:rFonts w:ascii="Times New Roman" w:eastAsia="Times New Roman" w:hAnsi="Times New Roman" w:cs="Times New Roman"/>
      <w:szCs w:val="24"/>
      <w:lang w:eastAsia="en-GB"/>
    </w:rPr>
  </w:style>
  <w:style w:type="paragraph" w:customStyle="1" w:styleId="xl41620">
    <w:name w:val="xl41620"/>
    <w:basedOn w:val="Normal"/>
    <w:rsid w:val="00240D44"/>
    <w:pPr>
      <w:shd w:val="clear" w:color="000000" w:fill="FFFFFF"/>
      <w:spacing w:before="100" w:beforeAutospacing="1" w:after="100" w:afterAutospacing="1"/>
    </w:pPr>
    <w:rPr>
      <w:rFonts w:eastAsia="Times New Roman" w:cs="Arial"/>
      <w:b/>
      <w:bCs/>
      <w:sz w:val="32"/>
      <w:szCs w:val="32"/>
      <w:lang w:eastAsia="en-GB"/>
    </w:rPr>
  </w:style>
  <w:style w:type="paragraph" w:customStyle="1" w:styleId="xl41621">
    <w:name w:val="xl41621"/>
    <w:basedOn w:val="Normal"/>
    <w:rsid w:val="00240D44"/>
    <w:pPr>
      <w:spacing w:before="100" w:beforeAutospacing="1" w:after="100" w:afterAutospacing="1"/>
    </w:pPr>
    <w:rPr>
      <w:rFonts w:eastAsia="Times New Roman" w:cs="Arial"/>
      <w:b/>
      <w:bCs/>
      <w:szCs w:val="24"/>
      <w:lang w:eastAsia="en-GB"/>
    </w:rPr>
  </w:style>
  <w:style w:type="paragraph" w:customStyle="1" w:styleId="xl41622">
    <w:name w:val="xl41622"/>
    <w:basedOn w:val="Normal"/>
    <w:rsid w:val="00240D44"/>
    <w:pPr>
      <w:pBdr>
        <w:bottom w:val="single" w:sz="4" w:space="0" w:color="auto"/>
      </w:pBdr>
      <w:shd w:val="clear" w:color="000000" w:fill="FFFFFF"/>
      <w:spacing w:before="100" w:beforeAutospacing="1" w:after="100" w:afterAutospacing="1"/>
      <w:jc w:val="center"/>
    </w:pPr>
    <w:rPr>
      <w:rFonts w:eastAsia="Times New Roman" w:cs="Arial"/>
      <w:b/>
      <w:bCs/>
      <w:szCs w:val="24"/>
      <w:lang w:eastAsia="en-GB"/>
    </w:rPr>
  </w:style>
  <w:style w:type="paragraph" w:customStyle="1" w:styleId="xl41623">
    <w:name w:val="xl41623"/>
    <w:basedOn w:val="Normal"/>
    <w:rsid w:val="00240D44"/>
    <w:pPr>
      <w:spacing w:before="100" w:beforeAutospacing="1" w:after="100" w:afterAutospacing="1"/>
    </w:pPr>
    <w:rPr>
      <w:rFonts w:eastAsia="Times New Roman" w:cs="Arial"/>
      <w:szCs w:val="24"/>
      <w:lang w:eastAsia="en-GB"/>
    </w:rPr>
  </w:style>
  <w:style w:type="paragraph" w:customStyle="1" w:styleId="xl41624">
    <w:name w:val="xl41624"/>
    <w:basedOn w:val="Normal"/>
    <w:rsid w:val="00240D44"/>
    <w:pPr>
      <w:spacing w:before="100" w:beforeAutospacing="1" w:after="100" w:afterAutospacing="1"/>
    </w:pPr>
    <w:rPr>
      <w:rFonts w:ascii="Times New Roman" w:eastAsia="Times New Roman" w:hAnsi="Times New Roman" w:cs="Times New Roman"/>
      <w:szCs w:val="24"/>
      <w:lang w:eastAsia="en-GB"/>
    </w:rPr>
  </w:style>
  <w:style w:type="paragraph" w:customStyle="1" w:styleId="xl41625">
    <w:name w:val="xl41625"/>
    <w:basedOn w:val="Normal"/>
    <w:rsid w:val="00240D44"/>
    <w:pPr>
      <w:shd w:val="clear" w:color="000000" w:fill="FFFFFF"/>
      <w:spacing w:before="100" w:beforeAutospacing="1" w:after="100" w:afterAutospacing="1"/>
    </w:pPr>
    <w:rPr>
      <w:rFonts w:ascii="Times New Roman" w:eastAsia="Times New Roman" w:hAnsi="Times New Roman" w:cs="Times New Roman"/>
      <w:szCs w:val="24"/>
      <w:lang w:eastAsia="en-GB"/>
    </w:rPr>
  </w:style>
  <w:style w:type="paragraph" w:customStyle="1" w:styleId="xl41626">
    <w:name w:val="xl41626"/>
    <w:basedOn w:val="Normal"/>
    <w:rsid w:val="00240D44"/>
    <w:pPr>
      <w:spacing w:before="100" w:beforeAutospacing="1" w:after="100" w:afterAutospacing="1"/>
      <w:textAlignment w:val="top"/>
    </w:pPr>
    <w:rPr>
      <w:rFonts w:eastAsia="Times New Roman" w:cs="Arial"/>
      <w:szCs w:val="24"/>
      <w:lang w:eastAsia="en-GB"/>
    </w:rPr>
  </w:style>
  <w:style w:type="paragraph" w:customStyle="1" w:styleId="xl41627">
    <w:name w:val="xl41627"/>
    <w:basedOn w:val="Normal"/>
    <w:rsid w:val="00240D44"/>
    <w:pPr>
      <w:spacing w:before="100" w:beforeAutospacing="1" w:after="100" w:afterAutospacing="1"/>
      <w:textAlignment w:val="top"/>
    </w:pPr>
    <w:rPr>
      <w:rFonts w:ascii="Times New Roman" w:eastAsia="Times New Roman" w:hAnsi="Times New Roman" w:cs="Times New Roman"/>
      <w:szCs w:val="24"/>
      <w:lang w:eastAsia="en-GB"/>
    </w:rPr>
  </w:style>
  <w:style w:type="paragraph" w:styleId="EndnoteText">
    <w:name w:val="endnote text"/>
    <w:basedOn w:val="Normal"/>
    <w:link w:val="EndnoteTextChar"/>
    <w:uiPriority w:val="99"/>
    <w:semiHidden/>
    <w:unhideWhenUsed/>
    <w:rsid w:val="009C3D92"/>
    <w:pPr>
      <w:spacing w:after="0"/>
    </w:pPr>
    <w:rPr>
      <w:sz w:val="20"/>
      <w:szCs w:val="20"/>
    </w:rPr>
  </w:style>
  <w:style w:type="character" w:customStyle="1" w:styleId="EndnoteTextChar">
    <w:name w:val="Endnote Text Char"/>
    <w:basedOn w:val="DefaultParagraphFont"/>
    <w:link w:val="EndnoteText"/>
    <w:uiPriority w:val="99"/>
    <w:semiHidden/>
    <w:rsid w:val="009C3D92"/>
    <w:rPr>
      <w:sz w:val="20"/>
      <w:szCs w:val="20"/>
    </w:rPr>
  </w:style>
  <w:style w:type="character" w:styleId="EndnoteReference">
    <w:name w:val="endnote reference"/>
    <w:basedOn w:val="DefaultParagraphFont"/>
    <w:uiPriority w:val="99"/>
    <w:semiHidden/>
    <w:unhideWhenUsed/>
    <w:rsid w:val="009C3D92"/>
    <w:rPr>
      <w:vertAlign w:val="superscript"/>
    </w:rPr>
  </w:style>
  <w:style w:type="character" w:styleId="Strong">
    <w:name w:val="Strong"/>
    <w:uiPriority w:val="22"/>
    <w:qFormat/>
    <w:rsid w:val="008F727D"/>
    <w:rPr>
      <w:b/>
      <w:bCs/>
    </w:rPr>
  </w:style>
  <w:style w:type="character" w:customStyle="1" w:styleId="apple-converted-space">
    <w:name w:val="apple-converted-space"/>
    <w:rsid w:val="008F727D"/>
  </w:style>
  <w:style w:type="paragraph" w:customStyle="1" w:styleId="xmsonormal">
    <w:name w:val="x_msonormal"/>
    <w:basedOn w:val="Normal"/>
    <w:rsid w:val="008B078D"/>
    <w:pPr>
      <w:spacing w:before="100" w:beforeAutospacing="1" w:after="100" w:afterAutospacing="1"/>
    </w:pPr>
    <w:rPr>
      <w:rFonts w:ascii="Times New Roman" w:eastAsia="Times New Roman" w:hAnsi="Times New Roman" w:cs="Times New Roman"/>
      <w:szCs w:val="24"/>
      <w:lang w:eastAsia="en-GB"/>
    </w:rPr>
  </w:style>
  <w:style w:type="paragraph" w:customStyle="1" w:styleId="NHSCBBulletPoint">
    <w:name w:val="NHS CB Bullet Point"/>
    <w:basedOn w:val="Normal"/>
    <w:rsid w:val="0054387C"/>
    <w:pPr>
      <w:numPr>
        <w:numId w:val="2"/>
      </w:numPr>
      <w:spacing w:after="120" w:line="360" w:lineRule="auto"/>
    </w:pPr>
    <w:rPr>
      <w:rFonts w:eastAsia="SimSun" w:cs="Times New Roman"/>
      <w:szCs w:val="20"/>
    </w:rPr>
  </w:style>
  <w:style w:type="paragraph" w:customStyle="1" w:styleId="NHSCBChapterAnnex">
    <w:name w:val="NHS CB Chapter Annex"/>
    <w:next w:val="NHSCBNoParagraghNumber"/>
    <w:rsid w:val="0022130A"/>
    <w:pPr>
      <w:spacing w:before="240" w:after="120" w:line="240" w:lineRule="auto"/>
    </w:pPr>
    <w:rPr>
      <w:rFonts w:ascii="Arial" w:eastAsia="Times" w:hAnsi="Arial" w:cs="Times New Roman"/>
      <w:color w:val="0072C6"/>
      <w:sz w:val="28"/>
      <w:szCs w:val="20"/>
    </w:rPr>
  </w:style>
  <w:style w:type="paragraph" w:customStyle="1" w:styleId="NHSCBNoParagraphNumberBulletPoint">
    <w:name w:val="NHS CB No Paragraph Number Bullet Point"/>
    <w:basedOn w:val="Normal"/>
    <w:uiPriority w:val="99"/>
    <w:qFormat/>
    <w:rsid w:val="0054387C"/>
    <w:pPr>
      <w:tabs>
        <w:tab w:val="num" w:pos="360"/>
      </w:tabs>
      <w:spacing w:after="120" w:line="360" w:lineRule="auto"/>
      <w:ind w:left="567" w:hanging="567"/>
    </w:pPr>
    <w:rPr>
      <w:rFonts w:eastAsia="SimSun" w:cs="Times New Roman"/>
      <w:szCs w:val="20"/>
    </w:rPr>
  </w:style>
  <w:style w:type="character" w:customStyle="1" w:styleId="Heading5Char">
    <w:name w:val="Heading 5 Char"/>
    <w:basedOn w:val="DefaultParagraphFont"/>
    <w:link w:val="Heading5"/>
    <w:uiPriority w:val="9"/>
    <w:rsid w:val="0058127D"/>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210878"/>
    <w:rPr>
      <w:color w:val="808080"/>
      <w:shd w:val="clear" w:color="auto" w:fill="E6E6E6"/>
    </w:rPr>
  </w:style>
  <w:style w:type="paragraph" w:styleId="BodyText">
    <w:name w:val="Body Text"/>
    <w:basedOn w:val="Normal"/>
    <w:link w:val="BodyTextChar"/>
    <w:uiPriority w:val="1"/>
    <w:qFormat/>
    <w:rsid w:val="00D85989"/>
  </w:style>
  <w:style w:type="character" w:customStyle="1" w:styleId="BodyTextChar">
    <w:name w:val="Body Text Char"/>
    <w:basedOn w:val="DefaultParagraphFont"/>
    <w:link w:val="BodyText"/>
    <w:uiPriority w:val="1"/>
    <w:rsid w:val="00D85989"/>
    <w:rPr>
      <w:rFonts w:ascii="Arial" w:hAnsi="Arial"/>
      <w:sz w:val="24"/>
    </w:rPr>
  </w:style>
  <w:style w:type="paragraph" w:styleId="Title">
    <w:name w:val="Title"/>
    <w:basedOn w:val="Normal"/>
    <w:next w:val="Normal"/>
    <w:link w:val="TitleChar"/>
    <w:uiPriority w:val="10"/>
    <w:qFormat/>
    <w:rsid w:val="00D85989"/>
    <w:pPr>
      <w:spacing w:before="0" w:after="0"/>
      <w:contextualSpacing/>
    </w:pPr>
    <w:rPr>
      <w:rFonts w:eastAsiaTheme="majorEastAsia" w:cs="Arial"/>
      <w:b/>
      <w:bCs/>
      <w:spacing w:val="-10"/>
      <w:kern w:val="28"/>
      <w:sz w:val="72"/>
      <w:szCs w:val="72"/>
    </w:rPr>
  </w:style>
  <w:style w:type="character" w:customStyle="1" w:styleId="TitleChar">
    <w:name w:val="Title Char"/>
    <w:basedOn w:val="DefaultParagraphFont"/>
    <w:link w:val="Title"/>
    <w:uiPriority w:val="10"/>
    <w:rsid w:val="00D85989"/>
    <w:rPr>
      <w:rFonts w:ascii="Arial" w:eastAsiaTheme="majorEastAsia" w:hAnsi="Arial" w:cs="Arial"/>
      <w:b/>
      <w:bCs/>
      <w:spacing w:val="-10"/>
      <w:kern w:val="28"/>
      <w:sz w:val="72"/>
      <w:szCs w:val="72"/>
    </w:rPr>
  </w:style>
  <w:style w:type="character" w:customStyle="1" w:styleId="Heading6Char">
    <w:name w:val="Heading 6 Char"/>
    <w:basedOn w:val="DefaultParagraphFont"/>
    <w:link w:val="Heading6"/>
    <w:uiPriority w:val="9"/>
    <w:rsid w:val="00C7256C"/>
    <w:rPr>
      <w:rFonts w:asciiTheme="majorHAnsi" w:eastAsiaTheme="majorEastAsia" w:hAnsiTheme="majorHAnsi" w:cstheme="majorBidi"/>
      <w:color w:val="243F60" w:themeColor="accent1" w:themeShade="7F"/>
      <w:sz w:val="24"/>
    </w:rPr>
  </w:style>
  <w:style w:type="paragraph" w:styleId="Subtitle">
    <w:name w:val="Subtitle"/>
    <w:basedOn w:val="Heading1"/>
    <w:next w:val="Normal"/>
    <w:link w:val="SubtitleChar"/>
    <w:uiPriority w:val="11"/>
    <w:qFormat/>
    <w:rsid w:val="007D0E90"/>
    <w:rPr>
      <w:b/>
      <w:bCs/>
      <w:sz w:val="48"/>
      <w:szCs w:val="48"/>
    </w:rPr>
  </w:style>
  <w:style w:type="character" w:customStyle="1" w:styleId="SubtitleChar">
    <w:name w:val="Subtitle Char"/>
    <w:basedOn w:val="DefaultParagraphFont"/>
    <w:link w:val="Subtitle"/>
    <w:uiPriority w:val="11"/>
    <w:rsid w:val="007D0E90"/>
    <w:rPr>
      <w:rFonts w:ascii="Arial" w:eastAsia="Times" w:hAnsi="Arial" w:cs="Times New Roman"/>
      <w:b/>
      <w:bCs/>
      <w:color w:val="000000" w:themeColor="text1"/>
      <w:sz w:val="48"/>
      <w:szCs w:val="48"/>
    </w:rPr>
  </w:style>
  <w:style w:type="table" w:customStyle="1" w:styleId="TableGrid7">
    <w:name w:val="Table Grid7"/>
    <w:basedOn w:val="TableNormal"/>
    <w:next w:val="TableGrid"/>
    <w:uiPriority w:val="59"/>
    <w:rsid w:val="00E06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65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F905F1"/>
    <w:pPr>
      <w:spacing w:before="120" w:after="120"/>
    </w:pPr>
    <w:rPr>
      <w:rFonts w:cs="Arial"/>
      <w:b/>
      <w:sz w:val="22"/>
      <w:lang w:val="en"/>
    </w:rPr>
  </w:style>
  <w:style w:type="character" w:customStyle="1" w:styleId="TAbleheaderChar">
    <w:name w:val="TAble header Char"/>
    <w:basedOn w:val="DefaultParagraphFont"/>
    <w:link w:val="TAbleheader"/>
    <w:rsid w:val="00F905F1"/>
    <w:rPr>
      <w:rFonts w:ascii="Arial" w:hAnsi="Arial" w:cs="Arial"/>
      <w:b/>
      <w:lang w:val="en"/>
    </w:rPr>
  </w:style>
  <w:style w:type="table" w:customStyle="1" w:styleId="TableGrid12">
    <w:name w:val="Table Grid12"/>
    <w:basedOn w:val="TableNormal"/>
    <w:next w:val="TableGrid"/>
    <w:uiPriority w:val="39"/>
    <w:rsid w:val="00780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99"/>
    <w:rsid w:val="00780EF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780EF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Accent1">
    <w:name w:val="Medium Grid 3 Accent 1"/>
    <w:basedOn w:val="TableNormal"/>
    <w:uiPriority w:val="69"/>
    <w:rsid w:val="00972C4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aragraph">
    <w:name w:val="paragraph"/>
    <w:basedOn w:val="Normal"/>
    <w:rsid w:val="0054504D"/>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54504D"/>
  </w:style>
  <w:style w:type="character" w:customStyle="1" w:styleId="eop">
    <w:name w:val="eop"/>
    <w:basedOn w:val="DefaultParagraphFont"/>
    <w:rsid w:val="0054504D"/>
  </w:style>
  <w:style w:type="table" w:customStyle="1" w:styleId="GridTable41">
    <w:name w:val="Grid Table 41"/>
    <w:basedOn w:val="TableNormal"/>
    <w:next w:val="GridTable4"/>
    <w:uiPriority w:val="49"/>
    <w:rsid w:val="00AF0786"/>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1">
    <w:name w:val="List Table 41"/>
    <w:basedOn w:val="TableNormal"/>
    <w:next w:val="ListTable4"/>
    <w:uiPriority w:val="49"/>
    <w:rsid w:val="00AF0786"/>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AF078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AF078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SpacingChar">
    <w:name w:val="No Spacing Char"/>
    <w:basedOn w:val="DefaultParagraphFont"/>
    <w:link w:val="NoSpacing"/>
    <w:uiPriority w:val="1"/>
    <w:rsid w:val="00EC016D"/>
    <w:rPr>
      <w:rFonts w:ascii="Calibri" w:hAnsi="Calibri" w:cs="Calibri"/>
      <w:sz w:val="24"/>
      <w:lang w:eastAsia="en-GB"/>
    </w:rPr>
  </w:style>
  <w:style w:type="paragraph" w:customStyle="1" w:styleId="summary">
    <w:name w:val="summary"/>
    <w:basedOn w:val="Normal"/>
    <w:rsid w:val="00163AC7"/>
    <w:pPr>
      <w:spacing w:before="100" w:beforeAutospacing="1" w:after="100" w:afterAutospacing="1"/>
    </w:pPr>
    <w:rPr>
      <w:rFonts w:ascii="Times New Roman" w:eastAsia="Times New Roman" w:hAnsi="Times New Roman" w:cs="Times New Roman"/>
      <w:szCs w:val="24"/>
      <w:lang w:eastAsia="en-GB"/>
    </w:rPr>
  </w:style>
  <w:style w:type="table" w:customStyle="1" w:styleId="TableGrid13">
    <w:name w:val="Table Grid13"/>
    <w:basedOn w:val="TableNormal"/>
    <w:uiPriority w:val="99"/>
    <w:qFormat/>
    <w:rsid w:val="0064211E"/>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2234D"/>
    <w:pPr>
      <w:spacing w:after="0" w:line="240" w:lineRule="auto"/>
    </w:pPr>
    <w:rPr>
      <w:rFonts w:ascii="Segoe UI Light" w:hAnsi="Segoe UI Light"/>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04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04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804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0D3041"/>
    <w:pPr>
      <w:spacing w:after="120" w:line="480" w:lineRule="auto"/>
    </w:pPr>
  </w:style>
  <w:style w:type="character" w:customStyle="1" w:styleId="BodyText2Char">
    <w:name w:val="Body Text 2 Char"/>
    <w:basedOn w:val="DefaultParagraphFont"/>
    <w:link w:val="BodyText2"/>
    <w:uiPriority w:val="99"/>
    <w:semiHidden/>
    <w:rsid w:val="000D3041"/>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061">
      <w:bodyDiv w:val="1"/>
      <w:marLeft w:val="0"/>
      <w:marRight w:val="0"/>
      <w:marTop w:val="0"/>
      <w:marBottom w:val="0"/>
      <w:divBdr>
        <w:top w:val="none" w:sz="0" w:space="0" w:color="auto"/>
        <w:left w:val="none" w:sz="0" w:space="0" w:color="auto"/>
        <w:bottom w:val="none" w:sz="0" w:space="0" w:color="auto"/>
        <w:right w:val="none" w:sz="0" w:space="0" w:color="auto"/>
      </w:divBdr>
    </w:div>
    <w:div w:id="58403437">
      <w:bodyDiv w:val="1"/>
      <w:marLeft w:val="0"/>
      <w:marRight w:val="0"/>
      <w:marTop w:val="0"/>
      <w:marBottom w:val="0"/>
      <w:divBdr>
        <w:top w:val="none" w:sz="0" w:space="0" w:color="auto"/>
        <w:left w:val="none" w:sz="0" w:space="0" w:color="auto"/>
        <w:bottom w:val="none" w:sz="0" w:space="0" w:color="auto"/>
        <w:right w:val="none" w:sz="0" w:space="0" w:color="auto"/>
      </w:divBdr>
    </w:div>
    <w:div w:id="63261344">
      <w:bodyDiv w:val="1"/>
      <w:marLeft w:val="0"/>
      <w:marRight w:val="0"/>
      <w:marTop w:val="0"/>
      <w:marBottom w:val="0"/>
      <w:divBdr>
        <w:top w:val="none" w:sz="0" w:space="0" w:color="auto"/>
        <w:left w:val="none" w:sz="0" w:space="0" w:color="auto"/>
        <w:bottom w:val="none" w:sz="0" w:space="0" w:color="auto"/>
        <w:right w:val="none" w:sz="0" w:space="0" w:color="auto"/>
      </w:divBdr>
    </w:div>
    <w:div w:id="75320939">
      <w:bodyDiv w:val="1"/>
      <w:marLeft w:val="0"/>
      <w:marRight w:val="0"/>
      <w:marTop w:val="0"/>
      <w:marBottom w:val="0"/>
      <w:divBdr>
        <w:top w:val="none" w:sz="0" w:space="0" w:color="auto"/>
        <w:left w:val="none" w:sz="0" w:space="0" w:color="auto"/>
        <w:bottom w:val="none" w:sz="0" w:space="0" w:color="auto"/>
        <w:right w:val="none" w:sz="0" w:space="0" w:color="auto"/>
      </w:divBdr>
    </w:div>
    <w:div w:id="81951468">
      <w:bodyDiv w:val="1"/>
      <w:marLeft w:val="0"/>
      <w:marRight w:val="0"/>
      <w:marTop w:val="0"/>
      <w:marBottom w:val="0"/>
      <w:divBdr>
        <w:top w:val="none" w:sz="0" w:space="0" w:color="auto"/>
        <w:left w:val="none" w:sz="0" w:space="0" w:color="auto"/>
        <w:bottom w:val="none" w:sz="0" w:space="0" w:color="auto"/>
        <w:right w:val="none" w:sz="0" w:space="0" w:color="auto"/>
      </w:divBdr>
    </w:div>
    <w:div w:id="95683599">
      <w:bodyDiv w:val="1"/>
      <w:marLeft w:val="0"/>
      <w:marRight w:val="0"/>
      <w:marTop w:val="0"/>
      <w:marBottom w:val="0"/>
      <w:divBdr>
        <w:top w:val="none" w:sz="0" w:space="0" w:color="auto"/>
        <w:left w:val="none" w:sz="0" w:space="0" w:color="auto"/>
        <w:bottom w:val="none" w:sz="0" w:space="0" w:color="auto"/>
        <w:right w:val="none" w:sz="0" w:space="0" w:color="auto"/>
      </w:divBdr>
    </w:div>
    <w:div w:id="101846754">
      <w:bodyDiv w:val="1"/>
      <w:marLeft w:val="0"/>
      <w:marRight w:val="0"/>
      <w:marTop w:val="0"/>
      <w:marBottom w:val="0"/>
      <w:divBdr>
        <w:top w:val="none" w:sz="0" w:space="0" w:color="auto"/>
        <w:left w:val="none" w:sz="0" w:space="0" w:color="auto"/>
        <w:bottom w:val="none" w:sz="0" w:space="0" w:color="auto"/>
        <w:right w:val="none" w:sz="0" w:space="0" w:color="auto"/>
      </w:divBdr>
    </w:div>
    <w:div w:id="155733647">
      <w:bodyDiv w:val="1"/>
      <w:marLeft w:val="0"/>
      <w:marRight w:val="0"/>
      <w:marTop w:val="0"/>
      <w:marBottom w:val="0"/>
      <w:divBdr>
        <w:top w:val="none" w:sz="0" w:space="0" w:color="auto"/>
        <w:left w:val="none" w:sz="0" w:space="0" w:color="auto"/>
        <w:bottom w:val="none" w:sz="0" w:space="0" w:color="auto"/>
        <w:right w:val="none" w:sz="0" w:space="0" w:color="auto"/>
      </w:divBdr>
    </w:div>
    <w:div w:id="156312902">
      <w:bodyDiv w:val="1"/>
      <w:marLeft w:val="0"/>
      <w:marRight w:val="0"/>
      <w:marTop w:val="0"/>
      <w:marBottom w:val="0"/>
      <w:divBdr>
        <w:top w:val="none" w:sz="0" w:space="0" w:color="auto"/>
        <w:left w:val="none" w:sz="0" w:space="0" w:color="auto"/>
        <w:bottom w:val="none" w:sz="0" w:space="0" w:color="auto"/>
        <w:right w:val="none" w:sz="0" w:space="0" w:color="auto"/>
      </w:divBdr>
    </w:div>
    <w:div w:id="169804619">
      <w:bodyDiv w:val="1"/>
      <w:marLeft w:val="0"/>
      <w:marRight w:val="0"/>
      <w:marTop w:val="0"/>
      <w:marBottom w:val="0"/>
      <w:divBdr>
        <w:top w:val="none" w:sz="0" w:space="0" w:color="auto"/>
        <w:left w:val="none" w:sz="0" w:space="0" w:color="auto"/>
        <w:bottom w:val="none" w:sz="0" w:space="0" w:color="auto"/>
        <w:right w:val="none" w:sz="0" w:space="0" w:color="auto"/>
      </w:divBdr>
    </w:div>
    <w:div w:id="177622917">
      <w:bodyDiv w:val="1"/>
      <w:marLeft w:val="0"/>
      <w:marRight w:val="0"/>
      <w:marTop w:val="0"/>
      <w:marBottom w:val="0"/>
      <w:divBdr>
        <w:top w:val="none" w:sz="0" w:space="0" w:color="auto"/>
        <w:left w:val="none" w:sz="0" w:space="0" w:color="auto"/>
        <w:bottom w:val="none" w:sz="0" w:space="0" w:color="auto"/>
        <w:right w:val="none" w:sz="0" w:space="0" w:color="auto"/>
      </w:divBdr>
    </w:div>
    <w:div w:id="182255790">
      <w:bodyDiv w:val="1"/>
      <w:marLeft w:val="0"/>
      <w:marRight w:val="0"/>
      <w:marTop w:val="0"/>
      <w:marBottom w:val="0"/>
      <w:divBdr>
        <w:top w:val="none" w:sz="0" w:space="0" w:color="auto"/>
        <w:left w:val="none" w:sz="0" w:space="0" w:color="auto"/>
        <w:bottom w:val="none" w:sz="0" w:space="0" w:color="auto"/>
        <w:right w:val="none" w:sz="0" w:space="0" w:color="auto"/>
      </w:divBdr>
    </w:div>
    <w:div w:id="182716824">
      <w:bodyDiv w:val="1"/>
      <w:marLeft w:val="0"/>
      <w:marRight w:val="0"/>
      <w:marTop w:val="0"/>
      <w:marBottom w:val="0"/>
      <w:divBdr>
        <w:top w:val="none" w:sz="0" w:space="0" w:color="auto"/>
        <w:left w:val="none" w:sz="0" w:space="0" w:color="auto"/>
        <w:bottom w:val="none" w:sz="0" w:space="0" w:color="auto"/>
        <w:right w:val="none" w:sz="0" w:space="0" w:color="auto"/>
      </w:divBdr>
    </w:div>
    <w:div w:id="184095052">
      <w:bodyDiv w:val="1"/>
      <w:marLeft w:val="0"/>
      <w:marRight w:val="0"/>
      <w:marTop w:val="0"/>
      <w:marBottom w:val="0"/>
      <w:divBdr>
        <w:top w:val="none" w:sz="0" w:space="0" w:color="auto"/>
        <w:left w:val="none" w:sz="0" w:space="0" w:color="auto"/>
        <w:bottom w:val="none" w:sz="0" w:space="0" w:color="auto"/>
        <w:right w:val="none" w:sz="0" w:space="0" w:color="auto"/>
      </w:divBdr>
    </w:div>
    <w:div w:id="202720655">
      <w:bodyDiv w:val="1"/>
      <w:marLeft w:val="0"/>
      <w:marRight w:val="0"/>
      <w:marTop w:val="0"/>
      <w:marBottom w:val="0"/>
      <w:divBdr>
        <w:top w:val="none" w:sz="0" w:space="0" w:color="auto"/>
        <w:left w:val="none" w:sz="0" w:space="0" w:color="auto"/>
        <w:bottom w:val="none" w:sz="0" w:space="0" w:color="auto"/>
        <w:right w:val="none" w:sz="0" w:space="0" w:color="auto"/>
      </w:divBdr>
    </w:div>
    <w:div w:id="216598838">
      <w:bodyDiv w:val="1"/>
      <w:marLeft w:val="0"/>
      <w:marRight w:val="0"/>
      <w:marTop w:val="0"/>
      <w:marBottom w:val="0"/>
      <w:divBdr>
        <w:top w:val="none" w:sz="0" w:space="0" w:color="auto"/>
        <w:left w:val="none" w:sz="0" w:space="0" w:color="auto"/>
        <w:bottom w:val="none" w:sz="0" w:space="0" w:color="auto"/>
        <w:right w:val="none" w:sz="0" w:space="0" w:color="auto"/>
      </w:divBdr>
    </w:div>
    <w:div w:id="231086366">
      <w:bodyDiv w:val="1"/>
      <w:marLeft w:val="0"/>
      <w:marRight w:val="0"/>
      <w:marTop w:val="0"/>
      <w:marBottom w:val="0"/>
      <w:divBdr>
        <w:top w:val="none" w:sz="0" w:space="0" w:color="auto"/>
        <w:left w:val="none" w:sz="0" w:space="0" w:color="auto"/>
        <w:bottom w:val="none" w:sz="0" w:space="0" w:color="auto"/>
        <w:right w:val="none" w:sz="0" w:space="0" w:color="auto"/>
      </w:divBdr>
    </w:div>
    <w:div w:id="274405879">
      <w:bodyDiv w:val="1"/>
      <w:marLeft w:val="0"/>
      <w:marRight w:val="0"/>
      <w:marTop w:val="0"/>
      <w:marBottom w:val="0"/>
      <w:divBdr>
        <w:top w:val="none" w:sz="0" w:space="0" w:color="auto"/>
        <w:left w:val="none" w:sz="0" w:space="0" w:color="auto"/>
        <w:bottom w:val="none" w:sz="0" w:space="0" w:color="auto"/>
        <w:right w:val="none" w:sz="0" w:space="0" w:color="auto"/>
      </w:divBdr>
    </w:div>
    <w:div w:id="285626919">
      <w:bodyDiv w:val="1"/>
      <w:marLeft w:val="0"/>
      <w:marRight w:val="0"/>
      <w:marTop w:val="0"/>
      <w:marBottom w:val="0"/>
      <w:divBdr>
        <w:top w:val="none" w:sz="0" w:space="0" w:color="auto"/>
        <w:left w:val="none" w:sz="0" w:space="0" w:color="auto"/>
        <w:bottom w:val="none" w:sz="0" w:space="0" w:color="auto"/>
        <w:right w:val="none" w:sz="0" w:space="0" w:color="auto"/>
      </w:divBdr>
    </w:div>
    <w:div w:id="287974233">
      <w:bodyDiv w:val="1"/>
      <w:marLeft w:val="0"/>
      <w:marRight w:val="0"/>
      <w:marTop w:val="0"/>
      <w:marBottom w:val="0"/>
      <w:divBdr>
        <w:top w:val="none" w:sz="0" w:space="0" w:color="auto"/>
        <w:left w:val="none" w:sz="0" w:space="0" w:color="auto"/>
        <w:bottom w:val="none" w:sz="0" w:space="0" w:color="auto"/>
        <w:right w:val="none" w:sz="0" w:space="0" w:color="auto"/>
      </w:divBdr>
    </w:div>
    <w:div w:id="302085584">
      <w:bodyDiv w:val="1"/>
      <w:marLeft w:val="0"/>
      <w:marRight w:val="0"/>
      <w:marTop w:val="0"/>
      <w:marBottom w:val="0"/>
      <w:divBdr>
        <w:top w:val="none" w:sz="0" w:space="0" w:color="auto"/>
        <w:left w:val="none" w:sz="0" w:space="0" w:color="auto"/>
        <w:bottom w:val="none" w:sz="0" w:space="0" w:color="auto"/>
        <w:right w:val="none" w:sz="0" w:space="0" w:color="auto"/>
      </w:divBdr>
    </w:div>
    <w:div w:id="308368538">
      <w:bodyDiv w:val="1"/>
      <w:marLeft w:val="0"/>
      <w:marRight w:val="0"/>
      <w:marTop w:val="0"/>
      <w:marBottom w:val="0"/>
      <w:divBdr>
        <w:top w:val="none" w:sz="0" w:space="0" w:color="auto"/>
        <w:left w:val="none" w:sz="0" w:space="0" w:color="auto"/>
        <w:bottom w:val="none" w:sz="0" w:space="0" w:color="auto"/>
        <w:right w:val="none" w:sz="0" w:space="0" w:color="auto"/>
      </w:divBdr>
    </w:div>
    <w:div w:id="342098999">
      <w:bodyDiv w:val="1"/>
      <w:marLeft w:val="0"/>
      <w:marRight w:val="0"/>
      <w:marTop w:val="0"/>
      <w:marBottom w:val="0"/>
      <w:divBdr>
        <w:top w:val="none" w:sz="0" w:space="0" w:color="auto"/>
        <w:left w:val="none" w:sz="0" w:space="0" w:color="auto"/>
        <w:bottom w:val="none" w:sz="0" w:space="0" w:color="auto"/>
        <w:right w:val="none" w:sz="0" w:space="0" w:color="auto"/>
      </w:divBdr>
    </w:div>
    <w:div w:id="350106464">
      <w:bodyDiv w:val="1"/>
      <w:marLeft w:val="0"/>
      <w:marRight w:val="0"/>
      <w:marTop w:val="0"/>
      <w:marBottom w:val="0"/>
      <w:divBdr>
        <w:top w:val="none" w:sz="0" w:space="0" w:color="auto"/>
        <w:left w:val="none" w:sz="0" w:space="0" w:color="auto"/>
        <w:bottom w:val="none" w:sz="0" w:space="0" w:color="auto"/>
        <w:right w:val="none" w:sz="0" w:space="0" w:color="auto"/>
      </w:divBdr>
    </w:div>
    <w:div w:id="364064160">
      <w:bodyDiv w:val="1"/>
      <w:marLeft w:val="0"/>
      <w:marRight w:val="0"/>
      <w:marTop w:val="0"/>
      <w:marBottom w:val="0"/>
      <w:divBdr>
        <w:top w:val="none" w:sz="0" w:space="0" w:color="auto"/>
        <w:left w:val="none" w:sz="0" w:space="0" w:color="auto"/>
        <w:bottom w:val="none" w:sz="0" w:space="0" w:color="auto"/>
        <w:right w:val="none" w:sz="0" w:space="0" w:color="auto"/>
      </w:divBdr>
    </w:div>
    <w:div w:id="365372690">
      <w:bodyDiv w:val="1"/>
      <w:marLeft w:val="0"/>
      <w:marRight w:val="0"/>
      <w:marTop w:val="0"/>
      <w:marBottom w:val="0"/>
      <w:divBdr>
        <w:top w:val="none" w:sz="0" w:space="0" w:color="auto"/>
        <w:left w:val="none" w:sz="0" w:space="0" w:color="auto"/>
        <w:bottom w:val="none" w:sz="0" w:space="0" w:color="auto"/>
        <w:right w:val="none" w:sz="0" w:space="0" w:color="auto"/>
      </w:divBdr>
    </w:div>
    <w:div w:id="398330751">
      <w:bodyDiv w:val="1"/>
      <w:marLeft w:val="0"/>
      <w:marRight w:val="0"/>
      <w:marTop w:val="0"/>
      <w:marBottom w:val="0"/>
      <w:divBdr>
        <w:top w:val="none" w:sz="0" w:space="0" w:color="auto"/>
        <w:left w:val="none" w:sz="0" w:space="0" w:color="auto"/>
        <w:bottom w:val="none" w:sz="0" w:space="0" w:color="auto"/>
        <w:right w:val="none" w:sz="0" w:space="0" w:color="auto"/>
      </w:divBdr>
    </w:div>
    <w:div w:id="403335452">
      <w:bodyDiv w:val="1"/>
      <w:marLeft w:val="0"/>
      <w:marRight w:val="0"/>
      <w:marTop w:val="0"/>
      <w:marBottom w:val="0"/>
      <w:divBdr>
        <w:top w:val="none" w:sz="0" w:space="0" w:color="auto"/>
        <w:left w:val="none" w:sz="0" w:space="0" w:color="auto"/>
        <w:bottom w:val="none" w:sz="0" w:space="0" w:color="auto"/>
        <w:right w:val="none" w:sz="0" w:space="0" w:color="auto"/>
      </w:divBdr>
    </w:div>
    <w:div w:id="406613379">
      <w:bodyDiv w:val="1"/>
      <w:marLeft w:val="0"/>
      <w:marRight w:val="0"/>
      <w:marTop w:val="0"/>
      <w:marBottom w:val="0"/>
      <w:divBdr>
        <w:top w:val="none" w:sz="0" w:space="0" w:color="auto"/>
        <w:left w:val="none" w:sz="0" w:space="0" w:color="auto"/>
        <w:bottom w:val="none" w:sz="0" w:space="0" w:color="auto"/>
        <w:right w:val="none" w:sz="0" w:space="0" w:color="auto"/>
      </w:divBdr>
      <w:divsChild>
        <w:div w:id="1625505276">
          <w:marLeft w:val="0"/>
          <w:marRight w:val="0"/>
          <w:marTop w:val="100"/>
          <w:marBottom w:val="100"/>
          <w:divBdr>
            <w:top w:val="none" w:sz="0" w:space="0" w:color="auto"/>
            <w:left w:val="none" w:sz="0" w:space="0" w:color="auto"/>
            <w:bottom w:val="none" w:sz="0" w:space="0" w:color="auto"/>
            <w:right w:val="none" w:sz="0" w:space="0" w:color="auto"/>
          </w:divBdr>
          <w:divsChild>
            <w:div w:id="1190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3987">
      <w:bodyDiv w:val="1"/>
      <w:marLeft w:val="0"/>
      <w:marRight w:val="0"/>
      <w:marTop w:val="0"/>
      <w:marBottom w:val="0"/>
      <w:divBdr>
        <w:top w:val="none" w:sz="0" w:space="0" w:color="auto"/>
        <w:left w:val="none" w:sz="0" w:space="0" w:color="auto"/>
        <w:bottom w:val="none" w:sz="0" w:space="0" w:color="auto"/>
        <w:right w:val="none" w:sz="0" w:space="0" w:color="auto"/>
      </w:divBdr>
    </w:div>
    <w:div w:id="422066700">
      <w:bodyDiv w:val="1"/>
      <w:marLeft w:val="0"/>
      <w:marRight w:val="0"/>
      <w:marTop w:val="0"/>
      <w:marBottom w:val="0"/>
      <w:divBdr>
        <w:top w:val="none" w:sz="0" w:space="0" w:color="auto"/>
        <w:left w:val="none" w:sz="0" w:space="0" w:color="auto"/>
        <w:bottom w:val="none" w:sz="0" w:space="0" w:color="auto"/>
        <w:right w:val="none" w:sz="0" w:space="0" w:color="auto"/>
      </w:divBdr>
    </w:div>
    <w:div w:id="425805062">
      <w:bodyDiv w:val="1"/>
      <w:marLeft w:val="0"/>
      <w:marRight w:val="0"/>
      <w:marTop w:val="0"/>
      <w:marBottom w:val="0"/>
      <w:divBdr>
        <w:top w:val="none" w:sz="0" w:space="0" w:color="auto"/>
        <w:left w:val="none" w:sz="0" w:space="0" w:color="auto"/>
        <w:bottom w:val="none" w:sz="0" w:space="0" w:color="auto"/>
        <w:right w:val="none" w:sz="0" w:space="0" w:color="auto"/>
      </w:divBdr>
    </w:div>
    <w:div w:id="431979604">
      <w:bodyDiv w:val="1"/>
      <w:marLeft w:val="0"/>
      <w:marRight w:val="0"/>
      <w:marTop w:val="0"/>
      <w:marBottom w:val="0"/>
      <w:divBdr>
        <w:top w:val="none" w:sz="0" w:space="0" w:color="auto"/>
        <w:left w:val="none" w:sz="0" w:space="0" w:color="auto"/>
        <w:bottom w:val="none" w:sz="0" w:space="0" w:color="auto"/>
        <w:right w:val="none" w:sz="0" w:space="0" w:color="auto"/>
      </w:divBdr>
    </w:div>
    <w:div w:id="445585907">
      <w:bodyDiv w:val="1"/>
      <w:marLeft w:val="0"/>
      <w:marRight w:val="0"/>
      <w:marTop w:val="0"/>
      <w:marBottom w:val="0"/>
      <w:divBdr>
        <w:top w:val="none" w:sz="0" w:space="0" w:color="auto"/>
        <w:left w:val="none" w:sz="0" w:space="0" w:color="auto"/>
        <w:bottom w:val="none" w:sz="0" w:space="0" w:color="auto"/>
        <w:right w:val="none" w:sz="0" w:space="0" w:color="auto"/>
      </w:divBdr>
    </w:div>
    <w:div w:id="470637240">
      <w:bodyDiv w:val="1"/>
      <w:marLeft w:val="0"/>
      <w:marRight w:val="0"/>
      <w:marTop w:val="0"/>
      <w:marBottom w:val="0"/>
      <w:divBdr>
        <w:top w:val="none" w:sz="0" w:space="0" w:color="auto"/>
        <w:left w:val="none" w:sz="0" w:space="0" w:color="auto"/>
        <w:bottom w:val="none" w:sz="0" w:space="0" w:color="auto"/>
        <w:right w:val="none" w:sz="0" w:space="0" w:color="auto"/>
      </w:divBdr>
    </w:div>
    <w:div w:id="477692697">
      <w:bodyDiv w:val="1"/>
      <w:marLeft w:val="0"/>
      <w:marRight w:val="0"/>
      <w:marTop w:val="0"/>
      <w:marBottom w:val="0"/>
      <w:divBdr>
        <w:top w:val="none" w:sz="0" w:space="0" w:color="auto"/>
        <w:left w:val="none" w:sz="0" w:space="0" w:color="auto"/>
        <w:bottom w:val="none" w:sz="0" w:space="0" w:color="auto"/>
        <w:right w:val="none" w:sz="0" w:space="0" w:color="auto"/>
      </w:divBdr>
    </w:div>
    <w:div w:id="486753141">
      <w:bodyDiv w:val="1"/>
      <w:marLeft w:val="0"/>
      <w:marRight w:val="0"/>
      <w:marTop w:val="0"/>
      <w:marBottom w:val="0"/>
      <w:divBdr>
        <w:top w:val="none" w:sz="0" w:space="0" w:color="auto"/>
        <w:left w:val="none" w:sz="0" w:space="0" w:color="auto"/>
        <w:bottom w:val="none" w:sz="0" w:space="0" w:color="auto"/>
        <w:right w:val="none" w:sz="0" w:space="0" w:color="auto"/>
      </w:divBdr>
    </w:div>
    <w:div w:id="529608546">
      <w:bodyDiv w:val="1"/>
      <w:marLeft w:val="0"/>
      <w:marRight w:val="0"/>
      <w:marTop w:val="0"/>
      <w:marBottom w:val="0"/>
      <w:divBdr>
        <w:top w:val="none" w:sz="0" w:space="0" w:color="auto"/>
        <w:left w:val="none" w:sz="0" w:space="0" w:color="auto"/>
        <w:bottom w:val="none" w:sz="0" w:space="0" w:color="auto"/>
        <w:right w:val="none" w:sz="0" w:space="0" w:color="auto"/>
      </w:divBdr>
    </w:div>
    <w:div w:id="540439663">
      <w:bodyDiv w:val="1"/>
      <w:marLeft w:val="0"/>
      <w:marRight w:val="0"/>
      <w:marTop w:val="0"/>
      <w:marBottom w:val="0"/>
      <w:divBdr>
        <w:top w:val="none" w:sz="0" w:space="0" w:color="auto"/>
        <w:left w:val="none" w:sz="0" w:space="0" w:color="auto"/>
        <w:bottom w:val="none" w:sz="0" w:space="0" w:color="auto"/>
        <w:right w:val="none" w:sz="0" w:space="0" w:color="auto"/>
      </w:divBdr>
    </w:div>
    <w:div w:id="563755532">
      <w:bodyDiv w:val="1"/>
      <w:marLeft w:val="0"/>
      <w:marRight w:val="0"/>
      <w:marTop w:val="0"/>
      <w:marBottom w:val="0"/>
      <w:divBdr>
        <w:top w:val="none" w:sz="0" w:space="0" w:color="auto"/>
        <w:left w:val="none" w:sz="0" w:space="0" w:color="auto"/>
        <w:bottom w:val="none" w:sz="0" w:space="0" w:color="auto"/>
        <w:right w:val="none" w:sz="0" w:space="0" w:color="auto"/>
      </w:divBdr>
    </w:div>
    <w:div w:id="573322989">
      <w:bodyDiv w:val="1"/>
      <w:marLeft w:val="0"/>
      <w:marRight w:val="0"/>
      <w:marTop w:val="0"/>
      <w:marBottom w:val="0"/>
      <w:divBdr>
        <w:top w:val="none" w:sz="0" w:space="0" w:color="auto"/>
        <w:left w:val="none" w:sz="0" w:space="0" w:color="auto"/>
        <w:bottom w:val="none" w:sz="0" w:space="0" w:color="auto"/>
        <w:right w:val="none" w:sz="0" w:space="0" w:color="auto"/>
      </w:divBdr>
    </w:div>
    <w:div w:id="575628864">
      <w:bodyDiv w:val="1"/>
      <w:marLeft w:val="0"/>
      <w:marRight w:val="0"/>
      <w:marTop w:val="0"/>
      <w:marBottom w:val="0"/>
      <w:divBdr>
        <w:top w:val="none" w:sz="0" w:space="0" w:color="auto"/>
        <w:left w:val="none" w:sz="0" w:space="0" w:color="auto"/>
        <w:bottom w:val="none" w:sz="0" w:space="0" w:color="auto"/>
        <w:right w:val="none" w:sz="0" w:space="0" w:color="auto"/>
      </w:divBdr>
    </w:div>
    <w:div w:id="585848058">
      <w:bodyDiv w:val="1"/>
      <w:marLeft w:val="0"/>
      <w:marRight w:val="0"/>
      <w:marTop w:val="0"/>
      <w:marBottom w:val="0"/>
      <w:divBdr>
        <w:top w:val="none" w:sz="0" w:space="0" w:color="auto"/>
        <w:left w:val="none" w:sz="0" w:space="0" w:color="auto"/>
        <w:bottom w:val="none" w:sz="0" w:space="0" w:color="auto"/>
        <w:right w:val="none" w:sz="0" w:space="0" w:color="auto"/>
      </w:divBdr>
    </w:div>
    <w:div w:id="603028698">
      <w:bodyDiv w:val="1"/>
      <w:marLeft w:val="0"/>
      <w:marRight w:val="0"/>
      <w:marTop w:val="0"/>
      <w:marBottom w:val="0"/>
      <w:divBdr>
        <w:top w:val="none" w:sz="0" w:space="0" w:color="auto"/>
        <w:left w:val="none" w:sz="0" w:space="0" w:color="auto"/>
        <w:bottom w:val="none" w:sz="0" w:space="0" w:color="auto"/>
        <w:right w:val="none" w:sz="0" w:space="0" w:color="auto"/>
      </w:divBdr>
    </w:div>
    <w:div w:id="609707898">
      <w:bodyDiv w:val="1"/>
      <w:marLeft w:val="0"/>
      <w:marRight w:val="0"/>
      <w:marTop w:val="0"/>
      <w:marBottom w:val="0"/>
      <w:divBdr>
        <w:top w:val="none" w:sz="0" w:space="0" w:color="auto"/>
        <w:left w:val="none" w:sz="0" w:space="0" w:color="auto"/>
        <w:bottom w:val="none" w:sz="0" w:space="0" w:color="auto"/>
        <w:right w:val="none" w:sz="0" w:space="0" w:color="auto"/>
      </w:divBdr>
    </w:div>
    <w:div w:id="614211007">
      <w:bodyDiv w:val="1"/>
      <w:marLeft w:val="0"/>
      <w:marRight w:val="0"/>
      <w:marTop w:val="0"/>
      <w:marBottom w:val="0"/>
      <w:divBdr>
        <w:top w:val="none" w:sz="0" w:space="0" w:color="auto"/>
        <w:left w:val="none" w:sz="0" w:space="0" w:color="auto"/>
        <w:bottom w:val="none" w:sz="0" w:space="0" w:color="auto"/>
        <w:right w:val="none" w:sz="0" w:space="0" w:color="auto"/>
      </w:divBdr>
    </w:div>
    <w:div w:id="625618625">
      <w:bodyDiv w:val="1"/>
      <w:marLeft w:val="0"/>
      <w:marRight w:val="0"/>
      <w:marTop w:val="0"/>
      <w:marBottom w:val="0"/>
      <w:divBdr>
        <w:top w:val="none" w:sz="0" w:space="0" w:color="auto"/>
        <w:left w:val="none" w:sz="0" w:space="0" w:color="auto"/>
        <w:bottom w:val="none" w:sz="0" w:space="0" w:color="auto"/>
        <w:right w:val="none" w:sz="0" w:space="0" w:color="auto"/>
      </w:divBdr>
    </w:div>
    <w:div w:id="650333190">
      <w:bodyDiv w:val="1"/>
      <w:marLeft w:val="0"/>
      <w:marRight w:val="0"/>
      <w:marTop w:val="0"/>
      <w:marBottom w:val="0"/>
      <w:divBdr>
        <w:top w:val="none" w:sz="0" w:space="0" w:color="auto"/>
        <w:left w:val="none" w:sz="0" w:space="0" w:color="auto"/>
        <w:bottom w:val="none" w:sz="0" w:space="0" w:color="auto"/>
        <w:right w:val="none" w:sz="0" w:space="0" w:color="auto"/>
      </w:divBdr>
    </w:div>
    <w:div w:id="673579365">
      <w:bodyDiv w:val="1"/>
      <w:marLeft w:val="0"/>
      <w:marRight w:val="0"/>
      <w:marTop w:val="0"/>
      <w:marBottom w:val="0"/>
      <w:divBdr>
        <w:top w:val="none" w:sz="0" w:space="0" w:color="auto"/>
        <w:left w:val="none" w:sz="0" w:space="0" w:color="auto"/>
        <w:bottom w:val="none" w:sz="0" w:space="0" w:color="auto"/>
        <w:right w:val="none" w:sz="0" w:space="0" w:color="auto"/>
      </w:divBdr>
    </w:div>
    <w:div w:id="688020527">
      <w:bodyDiv w:val="1"/>
      <w:marLeft w:val="0"/>
      <w:marRight w:val="0"/>
      <w:marTop w:val="0"/>
      <w:marBottom w:val="0"/>
      <w:divBdr>
        <w:top w:val="none" w:sz="0" w:space="0" w:color="auto"/>
        <w:left w:val="none" w:sz="0" w:space="0" w:color="auto"/>
        <w:bottom w:val="none" w:sz="0" w:space="0" w:color="auto"/>
        <w:right w:val="none" w:sz="0" w:space="0" w:color="auto"/>
      </w:divBdr>
    </w:div>
    <w:div w:id="699008599">
      <w:bodyDiv w:val="1"/>
      <w:marLeft w:val="0"/>
      <w:marRight w:val="0"/>
      <w:marTop w:val="0"/>
      <w:marBottom w:val="0"/>
      <w:divBdr>
        <w:top w:val="none" w:sz="0" w:space="0" w:color="auto"/>
        <w:left w:val="none" w:sz="0" w:space="0" w:color="auto"/>
        <w:bottom w:val="none" w:sz="0" w:space="0" w:color="auto"/>
        <w:right w:val="none" w:sz="0" w:space="0" w:color="auto"/>
      </w:divBdr>
    </w:div>
    <w:div w:id="702053387">
      <w:bodyDiv w:val="1"/>
      <w:marLeft w:val="0"/>
      <w:marRight w:val="0"/>
      <w:marTop w:val="0"/>
      <w:marBottom w:val="0"/>
      <w:divBdr>
        <w:top w:val="none" w:sz="0" w:space="0" w:color="auto"/>
        <w:left w:val="none" w:sz="0" w:space="0" w:color="auto"/>
        <w:bottom w:val="none" w:sz="0" w:space="0" w:color="auto"/>
        <w:right w:val="none" w:sz="0" w:space="0" w:color="auto"/>
      </w:divBdr>
    </w:div>
    <w:div w:id="710689738">
      <w:bodyDiv w:val="1"/>
      <w:marLeft w:val="0"/>
      <w:marRight w:val="0"/>
      <w:marTop w:val="0"/>
      <w:marBottom w:val="0"/>
      <w:divBdr>
        <w:top w:val="none" w:sz="0" w:space="0" w:color="auto"/>
        <w:left w:val="none" w:sz="0" w:space="0" w:color="auto"/>
        <w:bottom w:val="none" w:sz="0" w:space="0" w:color="auto"/>
        <w:right w:val="none" w:sz="0" w:space="0" w:color="auto"/>
      </w:divBdr>
    </w:div>
    <w:div w:id="751270972">
      <w:bodyDiv w:val="1"/>
      <w:marLeft w:val="0"/>
      <w:marRight w:val="0"/>
      <w:marTop w:val="0"/>
      <w:marBottom w:val="0"/>
      <w:divBdr>
        <w:top w:val="none" w:sz="0" w:space="0" w:color="auto"/>
        <w:left w:val="none" w:sz="0" w:space="0" w:color="auto"/>
        <w:bottom w:val="none" w:sz="0" w:space="0" w:color="auto"/>
        <w:right w:val="none" w:sz="0" w:space="0" w:color="auto"/>
      </w:divBdr>
    </w:div>
    <w:div w:id="773013601">
      <w:bodyDiv w:val="1"/>
      <w:marLeft w:val="0"/>
      <w:marRight w:val="0"/>
      <w:marTop w:val="0"/>
      <w:marBottom w:val="0"/>
      <w:divBdr>
        <w:top w:val="none" w:sz="0" w:space="0" w:color="auto"/>
        <w:left w:val="none" w:sz="0" w:space="0" w:color="auto"/>
        <w:bottom w:val="none" w:sz="0" w:space="0" w:color="auto"/>
        <w:right w:val="none" w:sz="0" w:space="0" w:color="auto"/>
      </w:divBdr>
    </w:div>
    <w:div w:id="784428120">
      <w:bodyDiv w:val="1"/>
      <w:marLeft w:val="0"/>
      <w:marRight w:val="0"/>
      <w:marTop w:val="0"/>
      <w:marBottom w:val="0"/>
      <w:divBdr>
        <w:top w:val="none" w:sz="0" w:space="0" w:color="auto"/>
        <w:left w:val="none" w:sz="0" w:space="0" w:color="auto"/>
        <w:bottom w:val="none" w:sz="0" w:space="0" w:color="auto"/>
        <w:right w:val="none" w:sz="0" w:space="0" w:color="auto"/>
      </w:divBdr>
    </w:div>
    <w:div w:id="791168687">
      <w:bodyDiv w:val="1"/>
      <w:marLeft w:val="0"/>
      <w:marRight w:val="0"/>
      <w:marTop w:val="0"/>
      <w:marBottom w:val="0"/>
      <w:divBdr>
        <w:top w:val="none" w:sz="0" w:space="0" w:color="auto"/>
        <w:left w:val="none" w:sz="0" w:space="0" w:color="auto"/>
        <w:bottom w:val="none" w:sz="0" w:space="0" w:color="auto"/>
        <w:right w:val="none" w:sz="0" w:space="0" w:color="auto"/>
      </w:divBdr>
    </w:div>
    <w:div w:id="861239868">
      <w:bodyDiv w:val="1"/>
      <w:marLeft w:val="0"/>
      <w:marRight w:val="0"/>
      <w:marTop w:val="0"/>
      <w:marBottom w:val="0"/>
      <w:divBdr>
        <w:top w:val="none" w:sz="0" w:space="0" w:color="auto"/>
        <w:left w:val="none" w:sz="0" w:space="0" w:color="auto"/>
        <w:bottom w:val="none" w:sz="0" w:space="0" w:color="auto"/>
        <w:right w:val="none" w:sz="0" w:space="0" w:color="auto"/>
      </w:divBdr>
    </w:div>
    <w:div w:id="867059928">
      <w:bodyDiv w:val="1"/>
      <w:marLeft w:val="0"/>
      <w:marRight w:val="0"/>
      <w:marTop w:val="0"/>
      <w:marBottom w:val="0"/>
      <w:divBdr>
        <w:top w:val="none" w:sz="0" w:space="0" w:color="auto"/>
        <w:left w:val="none" w:sz="0" w:space="0" w:color="auto"/>
        <w:bottom w:val="none" w:sz="0" w:space="0" w:color="auto"/>
        <w:right w:val="none" w:sz="0" w:space="0" w:color="auto"/>
      </w:divBdr>
    </w:div>
    <w:div w:id="869949903">
      <w:bodyDiv w:val="1"/>
      <w:marLeft w:val="0"/>
      <w:marRight w:val="0"/>
      <w:marTop w:val="0"/>
      <w:marBottom w:val="0"/>
      <w:divBdr>
        <w:top w:val="none" w:sz="0" w:space="0" w:color="auto"/>
        <w:left w:val="none" w:sz="0" w:space="0" w:color="auto"/>
        <w:bottom w:val="none" w:sz="0" w:space="0" w:color="auto"/>
        <w:right w:val="none" w:sz="0" w:space="0" w:color="auto"/>
      </w:divBdr>
    </w:div>
    <w:div w:id="880173095">
      <w:bodyDiv w:val="1"/>
      <w:marLeft w:val="0"/>
      <w:marRight w:val="0"/>
      <w:marTop w:val="0"/>
      <w:marBottom w:val="0"/>
      <w:divBdr>
        <w:top w:val="none" w:sz="0" w:space="0" w:color="auto"/>
        <w:left w:val="none" w:sz="0" w:space="0" w:color="auto"/>
        <w:bottom w:val="none" w:sz="0" w:space="0" w:color="auto"/>
        <w:right w:val="none" w:sz="0" w:space="0" w:color="auto"/>
      </w:divBdr>
    </w:div>
    <w:div w:id="895697460">
      <w:bodyDiv w:val="1"/>
      <w:marLeft w:val="0"/>
      <w:marRight w:val="0"/>
      <w:marTop w:val="0"/>
      <w:marBottom w:val="0"/>
      <w:divBdr>
        <w:top w:val="none" w:sz="0" w:space="0" w:color="auto"/>
        <w:left w:val="none" w:sz="0" w:space="0" w:color="auto"/>
        <w:bottom w:val="none" w:sz="0" w:space="0" w:color="auto"/>
        <w:right w:val="none" w:sz="0" w:space="0" w:color="auto"/>
      </w:divBdr>
    </w:div>
    <w:div w:id="904099820">
      <w:bodyDiv w:val="1"/>
      <w:marLeft w:val="0"/>
      <w:marRight w:val="0"/>
      <w:marTop w:val="0"/>
      <w:marBottom w:val="0"/>
      <w:divBdr>
        <w:top w:val="none" w:sz="0" w:space="0" w:color="auto"/>
        <w:left w:val="none" w:sz="0" w:space="0" w:color="auto"/>
        <w:bottom w:val="none" w:sz="0" w:space="0" w:color="auto"/>
        <w:right w:val="none" w:sz="0" w:space="0" w:color="auto"/>
      </w:divBdr>
    </w:div>
    <w:div w:id="906498495">
      <w:bodyDiv w:val="1"/>
      <w:marLeft w:val="0"/>
      <w:marRight w:val="0"/>
      <w:marTop w:val="0"/>
      <w:marBottom w:val="0"/>
      <w:divBdr>
        <w:top w:val="none" w:sz="0" w:space="0" w:color="auto"/>
        <w:left w:val="none" w:sz="0" w:space="0" w:color="auto"/>
        <w:bottom w:val="none" w:sz="0" w:space="0" w:color="auto"/>
        <w:right w:val="none" w:sz="0" w:space="0" w:color="auto"/>
      </w:divBdr>
    </w:div>
    <w:div w:id="911238327">
      <w:bodyDiv w:val="1"/>
      <w:marLeft w:val="0"/>
      <w:marRight w:val="0"/>
      <w:marTop w:val="0"/>
      <w:marBottom w:val="0"/>
      <w:divBdr>
        <w:top w:val="none" w:sz="0" w:space="0" w:color="auto"/>
        <w:left w:val="none" w:sz="0" w:space="0" w:color="auto"/>
        <w:bottom w:val="none" w:sz="0" w:space="0" w:color="auto"/>
        <w:right w:val="none" w:sz="0" w:space="0" w:color="auto"/>
      </w:divBdr>
    </w:div>
    <w:div w:id="921139149">
      <w:bodyDiv w:val="1"/>
      <w:marLeft w:val="0"/>
      <w:marRight w:val="0"/>
      <w:marTop w:val="0"/>
      <w:marBottom w:val="0"/>
      <w:divBdr>
        <w:top w:val="none" w:sz="0" w:space="0" w:color="auto"/>
        <w:left w:val="none" w:sz="0" w:space="0" w:color="auto"/>
        <w:bottom w:val="none" w:sz="0" w:space="0" w:color="auto"/>
        <w:right w:val="none" w:sz="0" w:space="0" w:color="auto"/>
      </w:divBdr>
    </w:div>
    <w:div w:id="928973277">
      <w:bodyDiv w:val="1"/>
      <w:marLeft w:val="0"/>
      <w:marRight w:val="0"/>
      <w:marTop w:val="0"/>
      <w:marBottom w:val="0"/>
      <w:divBdr>
        <w:top w:val="none" w:sz="0" w:space="0" w:color="auto"/>
        <w:left w:val="none" w:sz="0" w:space="0" w:color="auto"/>
        <w:bottom w:val="none" w:sz="0" w:space="0" w:color="auto"/>
        <w:right w:val="none" w:sz="0" w:space="0" w:color="auto"/>
      </w:divBdr>
    </w:div>
    <w:div w:id="944582957">
      <w:bodyDiv w:val="1"/>
      <w:marLeft w:val="0"/>
      <w:marRight w:val="0"/>
      <w:marTop w:val="0"/>
      <w:marBottom w:val="0"/>
      <w:divBdr>
        <w:top w:val="none" w:sz="0" w:space="0" w:color="auto"/>
        <w:left w:val="none" w:sz="0" w:space="0" w:color="auto"/>
        <w:bottom w:val="none" w:sz="0" w:space="0" w:color="auto"/>
        <w:right w:val="none" w:sz="0" w:space="0" w:color="auto"/>
      </w:divBdr>
    </w:div>
    <w:div w:id="964507433">
      <w:bodyDiv w:val="1"/>
      <w:marLeft w:val="0"/>
      <w:marRight w:val="0"/>
      <w:marTop w:val="0"/>
      <w:marBottom w:val="0"/>
      <w:divBdr>
        <w:top w:val="none" w:sz="0" w:space="0" w:color="auto"/>
        <w:left w:val="none" w:sz="0" w:space="0" w:color="auto"/>
        <w:bottom w:val="none" w:sz="0" w:space="0" w:color="auto"/>
        <w:right w:val="none" w:sz="0" w:space="0" w:color="auto"/>
      </w:divBdr>
    </w:div>
    <w:div w:id="971441786">
      <w:bodyDiv w:val="1"/>
      <w:marLeft w:val="0"/>
      <w:marRight w:val="0"/>
      <w:marTop w:val="0"/>
      <w:marBottom w:val="0"/>
      <w:divBdr>
        <w:top w:val="none" w:sz="0" w:space="0" w:color="auto"/>
        <w:left w:val="none" w:sz="0" w:space="0" w:color="auto"/>
        <w:bottom w:val="none" w:sz="0" w:space="0" w:color="auto"/>
        <w:right w:val="none" w:sz="0" w:space="0" w:color="auto"/>
      </w:divBdr>
    </w:div>
    <w:div w:id="972759997">
      <w:bodyDiv w:val="1"/>
      <w:marLeft w:val="0"/>
      <w:marRight w:val="0"/>
      <w:marTop w:val="0"/>
      <w:marBottom w:val="0"/>
      <w:divBdr>
        <w:top w:val="none" w:sz="0" w:space="0" w:color="auto"/>
        <w:left w:val="none" w:sz="0" w:space="0" w:color="auto"/>
        <w:bottom w:val="none" w:sz="0" w:space="0" w:color="auto"/>
        <w:right w:val="none" w:sz="0" w:space="0" w:color="auto"/>
      </w:divBdr>
    </w:div>
    <w:div w:id="974724094">
      <w:bodyDiv w:val="1"/>
      <w:marLeft w:val="0"/>
      <w:marRight w:val="0"/>
      <w:marTop w:val="0"/>
      <w:marBottom w:val="0"/>
      <w:divBdr>
        <w:top w:val="none" w:sz="0" w:space="0" w:color="auto"/>
        <w:left w:val="none" w:sz="0" w:space="0" w:color="auto"/>
        <w:bottom w:val="none" w:sz="0" w:space="0" w:color="auto"/>
        <w:right w:val="none" w:sz="0" w:space="0" w:color="auto"/>
      </w:divBdr>
    </w:div>
    <w:div w:id="975719458">
      <w:bodyDiv w:val="1"/>
      <w:marLeft w:val="0"/>
      <w:marRight w:val="0"/>
      <w:marTop w:val="0"/>
      <w:marBottom w:val="0"/>
      <w:divBdr>
        <w:top w:val="none" w:sz="0" w:space="0" w:color="auto"/>
        <w:left w:val="none" w:sz="0" w:space="0" w:color="auto"/>
        <w:bottom w:val="none" w:sz="0" w:space="0" w:color="auto"/>
        <w:right w:val="none" w:sz="0" w:space="0" w:color="auto"/>
      </w:divBdr>
    </w:div>
    <w:div w:id="989481547">
      <w:bodyDiv w:val="1"/>
      <w:marLeft w:val="0"/>
      <w:marRight w:val="0"/>
      <w:marTop w:val="0"/>
      <w:marBottom w:val="0"/>
      <w:divBdr>
        <w:top w:val="none" w:sz="0" w:space="0" w:color="auto"/>
        <w:left w:val="none" w:sz="0" w:space="0" w:color="auto"/>
        <w:bottom w:val="none" w:sz="0" w:space="0" w:color="auto"/>
        <w:right w:val="none" w:sz="0" w:space="0" w:color="auto"/>
      </w:divBdr>
    </w:div>
    <w:div w:id="1013536643">
      <w:bodyDiv w:val="1"/>
      <w:marLeft w:val="0"/>
      <w:marRight w:val="0"/>
      <w:marTop w:val="0"/>
      <w:marBottom w:val="0"/>
      <w:divBdr>
        <w:top w:val="none" w:sz="0" w:space="0" w:color="auto"/>
        <w:left w:val="none" w:sz="0" w:space="0" w:color="auto"/>
        <w:bottom w:val="none" w:sz="0" w:space="0" w:color="auto"/>
        <w:right w:val="none" w:sz="0" w:space="0" w:color="auto"/>
      </w:divBdr>
    </w:div>
    <w:div w:id="1014259945">
      <w:bodyDiv w:val="1"/>
      <w:marLeft w:val="0"/>
      <w:marRight w:val="0"/>
      <w:marTop w:val="0"/>
      <w:marBottom w:val="0"/>
      <w:divBdr>
        <w:top w:val="none" w:sz="0" w:space="0" w:color="auto"/>
        <w:left w:val="none" w:sz="0" w:space="0" w:color="auto"/>
        <w:bottom w:val="none" w:sz="0" w:space="0" w:color="auto"/>
        <w:right w:val="none" w:sz="0" w:space="0" w:color="auto"/>
      </w:divBdr>
    </w:div>
    <w:div w:id="1017121565">
      <w:bodyDiv w:val="1"/>
      <w:marLeft w:val="0"/>
      <w:marRight w:val="0"/>
      <w:marTop w:val="0"/>
      <w:marBottom w:val="0"/>
      <w:divBdr>
        <w:top w:val="none" w:sz="0" w:space="0" w:color="auto"/>
        <w:left w:val="none" w:sz="0" w:space="0" w:color="auto"/>
        <w:bottom w:val="none" w:sz="0" w:space="0" w:color="auto"/>
        <w:right w:val="none" w:sz="0" w:space="0" w:color="auto"/>
      </w:divBdr>
    </w:div>
    <w:div w:id="1021324974">
      <w:bodyDiv w:val="1"/>
      <w:marLeft w:val="0"/>
      <w:marRight w:val="0"/>
      <w:marTop w:val="0"/>
      <w:marBottom w:val="0"/>
      <w:divBdr>
        <w:top w:val="none" w:sz="0" w:space="0" w:color="auto"/>
        <w:left w:val="none" w:sz="0" w:space="0" w:color="auto"/>
        <w:bottom w:val="none" w:sz="0" w:space="0" w:color="auto"/>
        <w:right w:val="none" w:sz="0" w:space="0" w:color="auto"/>
      </w:divBdr>
    </w:div>
    <w:div w:id="1021859556">
      <w:bodyDiv w:val="1"/>
      <w:marLeft w:val="0"/>
      <w:marRight w:val="0"/>
      <w:marTop w:val="0"/>
      <w:marBottom w:val="0"/>
      <w:divBdr>
        <w:top w:val="none" w:sz="0" w:space="0" w:color="auto"/>
        <w:left w:val="none" w:sz="0" w:space="0" w:color="auto"/>
        <w:bottom w:val="none" w:sz="0" w:space="0" w:color="auto"/>
        <w:right w:val="none" w:sz="0" w:space="0" w:color="auto"/>
      </w:divBdr>
    </w:div>
    <w:div w:id="1053196064">
      <w:bodyDiv w:val="1"/>
      <w:marLeft w:val="0"/>
      <w:marRight w:val="0"/>
      <w:marTop w:val="0"/>
      <w:marBottom w:val="0"/>
      <w:divBdr>
        <w:top w:val="none" w:sz="0" w:space="0" w:color="auto"/>
        <w:left w:val="none" w:sz="0" w:space="0" w:color="auto"/>
        <w:bottom w:val="none" w:sz="0" w:space="0" w:color="auto"/>
        <w:right w:val="none" w:sz="0" w:space="0" w:color="auto"/>
      </w:divBdr>
    </w:div>
    <w:div w:id="1068766504">
      <w:bodyDiv w:val="1"/>
      <w:marLeft w:val="0"/>
      <w:marRight w:val="0"/>
      <w:marTop w:val="0"/>
      <w:marBottom w:val="0"/>
      <w:divBdr>
        <w:top w:val="none" w:sz="0" w:space="0" w:color="auto"/>
        <w:left w:val="none" w:sz="0" w:space="0" w:color="auto"/>
        <w:bottom w:val="none" w:sz="0" w:space="0" w:color="auto"/>
        <w:right w:val="none" w:sz="0" w:space="0" w:color="auto"/>
      </w:divBdr>
    </w:div>
    <w:div w:id="1076711999">
      <w:bodyDiv w:val="1"/>
      <w:marLeft w:val="0"/>
      <w:marRight w:val="0"/>
      <w:marTop w:val="0"/>
      <w:marBottom w:val="0"/>
      <w:divBdr>
        <w:top w:val="none" w:sz="0" w:space="0" w:color="auto"/>
        <w:left w:val="none" w:sz="0" w:space="0" w:color="auto"/>
        <w:bottom w:val="none" w:sz="0" w:space="0" w:color="auto"/>
        <w:right w:val="none" w:sz="0" w:space="0" w:color="auto"/>
      </w:divBdr>
    </w:div>
    <w:div w:id="1084304126">
      <w:bodyDiv w:val="1"/>
      <w:marLeft w:val="0"/>
      <w:marRight w:val="0"/>
      <w:marTop w:val="0"/>
      <w:marBottom w:val="0"/>
      <w:divBdr>
        <w:top w:val="none" w:sz="0" w:space="0" w:color="auto"/>
        <w:left w:val="none" w:sz="0" w:space="0" w:color="auto"/>
        <w:bottom w:val="none" w:sz="0" w:space="0" w:color="auto"/>
        <w:right w:val="none" w:sz="0" w:space="0" w:color="auto"/>
      </w:divBdr>
    </w:div>
    <w:div w:id="1085422417">
      <w:bodyDiv w:val="1"/>
      <w:marLeft w:val="0"/>
      <w:marRight w:val="0"/>
      <w:marTop w:val="0"/>
      <w:marBottom w:val="0"/>
      <w:divBdr>
        <w:top w:val="none" w:sz="0" w:space="0" w:color="auto"/>
        <w:left w:val="none" w:sz="0" w:space="0" w:color="auto"/>
        <w:bottom w:val="none" w:sz="0" w:space="0" w:color="auto"/>
        <w:right w:val="none" w:sz="0" w:space="0" w:color="auto"/>
      </w:divBdr>
    </w:div>
    <w:div w:id="1114399661">
      <w:bodyDiv w:val="1"/>
      <w:marLeft w:val="0"/>
      <w:marRight w:val="0"/>
      <w:marTop w:val="0"/>
      <w:marBottom w:val="0"/>
      <w:divBdr>
        <w:top w:val="none" w:sz="0" w:space="0" w:color="auto"/>
        <w:left w:val="none" w:sz="0" w:space="0" w:color="auto"/>
        <w:bottom w:val="none" w:sz="0" w:space="0" w:color="auto"/>
        <w:right w:val="none" w:sz="0" w:space="0" w:color="auto"/>
      </w:divBdr>
    </w:div>
    <w:div w:id="1115100874">
      <w:bodyDiv w:val="1"/>
      <w:marLeft w:val="0"/>
      <w:marRight w:val="0"/>
      <w:marTop w:val="0"/>
      <w:marBottom w:val="0"/>
      <w:divBdr>
        <w:top w:val="none" w:sz="0" w:space="0" w:color="auto"/>
        <w:left w:val="none" w:sz="0" w:space="0" w:color="auto"/>
        <w:bottom w:val="none" w:sz="0" w:space="0" w:color="auto"/>
        <w:right w:val="none" w:sz="0" w:space="0" w:color="auto"/>
      </w:divBdr>
    </w:div>
    <w:div w:id="1138761543">
      <w:bodyDiv w:val="1"/>
      <w:marLeft w:val="0"/>
      <w:marRight w:val="0"/>
      <w:marTop w:val="0"/>
      <w:marBottom w:val="0"/>
      <w:divBdr>
        <w:top w:val="none" w:sz="0" w:space="0" w:color="auto"/>
        <w:left w:val="none" w:sz="0" w:space="0" w:color="auto"/>
        <w:bottom w:val="none" w:sz="0" w:space="0" w:color="auto"/>
        <w:right w:val="none" w:sz="0" w:space="0" w:color="auto"/>
      </w:divBdr>
    </w:div>
    <w:div w:id="1138956467">
      <w:bodyDiv w:val="1"/>
      <w:marLeft w:val="0"/>
      <w:marRight w:val="0"/>
      <w:marTop w:val="0"/>
      <w:marBottom w:val="0"/>
      <w:divBdr>
        <w:top w:val="none" w:sz="0" w:space="0" w:color="auto"/>
        <w:left w:val="none" w:sz="0" w:space="0" w:color="auto"/>
        <w:bottom w:val="none" w:sz="0" w:space="0" w:color="auto"/>
        <w:right w:val="none" w:sz="0" w:space="0" w:color="auto"/>
      </w:divBdr>
    </w:div>
    <w:div w:id="1143041789">
      <w:bodyDiv w:val="1"/>
      <w:marLeft w:val="0"/>
      <w:marRight w:val="0"/>
      <w:marTop w:val="0"/>
      <w:marBottom w:val="0"/>
      <w:divBdr>
        <w:top w:val="none" w:sz="0" w:space="0" w:color="auto"/>
        <w:left w:val="none" w:sz="0" w:space="0" w:color="auto"/>
        <w:bottom w:val="none" w:sz="0" w:space="0" w:color="auto"/>
        <w:right w:val="none" w:sz="0" w:space="0" w:color="auto"/>
      </w:divBdr>
    </w:div>
    <w:div w:id="1166172034">
      <w:bodyDiv w:val="1"/>
      <w:marLeft w:val="0"/>
      <w:marRight w:val="0"/>
      <w:marTop w:val="0"/>
      <w:marBottom w:val="0"/>
      <w:divBdr>
        <w:top w:val="none" w:sz="0" w:space="0" w:color="auto"/>
        <w:left w:val="none" w:sz="0" w:space="0" w:color="auto"/>
        <w:bottom w:val="none" w:sz="0" w:space="0" w:color="auto"/>
        <w:right w:val="none" w:sz="0" w:space="0" w:color="auto"/>
      </w:divBdr>
    </w:div>
    <w:div w:id="1179537350">
      <w:bodyDiv w:val="1"/>
      <w:marLeft w:val="0"/>
      <w:marRight w:val="0"/>
      <w:marTop w:val="0"/>
      <w:marBottom w:val="0"/>
      <w:divBdr>
        <w:top w:val="none" w:sz="0" w:space="0" w:color="auto"/>
        <w:left w:val="none" w:sz="0" w:space="0" w:color="auto"/>
        <w:bottom w:val="none" w:sz="0" w:space="0" w:color="auto"/>
        <w:right w:val="none" w:sz="0" w:space="0" w:color="auto"/>
      </w:divBdr>
    </w:div>
    <w:div w:id="1216550702">
      <w:bodyDiv w:val="1"/>
      <w:marLeft w:val="0"/>
      <w:marRight w:val="0"/>
      <w:marTop w:val="0"/>
      <w:marBottom w:val="0"/>
      <w:divBdr>
        <w:top w:val="none" w:sz="0" w:space="0" w:color="auto"/>
        <w:left w:val="none" w:sz="0" w:space="0" w:color="auto"/>
        <w:bottom w:val="none" w:sz="0" w:space="0" w:color="auto"/>
        <w:right w:val="none" w:sz="0" w:space="0" w:color="auto"/>
      </w:divBdr>
    </w:div>
    <w:div w:id="1238592550">
      <w:bodyDiv w:val="1"/>
      <w:marLeft w:val="0"/>
      <w:marRight w:val="0"/>
      <w:marTop w:val="0"/>
      <w:marBottom w:val="0"/>
      <w:divBdr>
        <w:top w:val="none" w:sz="0" w:space="0" w:color="auto"/>
        <w:left w:val="none" w:sz="0" w:space="0" w:color="auto"/>
        <w:bottom w:val="none" w:sz="0" w:space="0" w:color="auto"/>
        <w:right w:val="none" w:sz="0" w:space="0" w:color="auto"/>
      </w:divBdr>
    </w:div>
    <w:div w:id="1239679768">
      <w:bodyDiv w:val="1"/>
      <w:marLeft w:val="0"/>
      <w:marRight w:val="0"/>
      <w:marTop w:val="0"/>
      <w:marBottom w:val="0"/>
      <w:divBdr>
        <w:top w:val="none" w:sz="0" w:space="0" w:color="auto"/>
        <w:left w:val="none" w:sz="0" w:space="0" w:color="auto"/>
        <w:bottom w:val="none" w:sz="0" w:space="0" w:color="auto"/>
        <w:right w:val="none" w:sz="0" w:space="0" w:color="auto"/>
      </w:divBdr>
    </w:div>
    <w:div w:id="1290042866">
      <w:bodyDiv w:val="1"/>
      <w:marLeft w:val="0"/>
      <w:marRight w:val="0"/>
      <w:marTop w:val="0"/>
      <w:marBottom w:val="0"/>
      <w:divBdr>
        <w:top w:val="none" w:sz="0" w:space="0" w:color="auto"/>
        <w:left w:val="none" w:sz="0" w:space="0" w:color="auto"/>
        <w:bottom w:val="none" w:sz="0" w:space="0" w:color="auto"/>
        <w:right w:val="none" w:sz="0" w:space="0" w:color="auto"/>
      </w:divBdr>
    </w:div>
    <w:div w:id="1292055216">
      <w:bodyDiv w:val="1"/>
      <w:marLeft w:val="0"/>
      <w:marRight w:val="0"/>
      <w:marTop w:val="0"/>
      <w:marBottom w:val="0"/>
      <w:divBdr>
        <w:top w:val="none" w:sz="0" w:space="0" w:color="auto"/>
        <w:left w:val="none" w:sz="0" w:space="0" w:color="auto"/>
        <w:bottom w:val="none" w:sz="0" w:space="0" w:color="auto"/>
        <w:right w:val="none" w:sz="0" w:space="0" w:color="auto"/>
      </w:divBdr>
    </w:div>
    <w:div w:id="1318416551">
      <w:bodyDiv w:val="1"/>
      <w:marLeft w:val="0"/>
      <w:marRight w:val="0"/>
      <w:marTop w:val="0"/>
      <w:marBottom w:val="0"/>
      <w:divBdr>
        <w:top w:val="none" w:sz="0" w:space="0" w:color="auto"/>
        <w:left w:val="none" w:sz="0" w:space="0" w:color="auto"/>
        <w:bottom w:val="none" w:sz="0" w:space="0" w:color="auto"/>
        <w:right w:val="none" w:sz="0" w:space="0" w:color="auto"/>
      </w:divBdr>
    </w:div>
    <w:div w:id="1328367305">
      <w:bodyDiv w:val="1"/>
      <w:marLeft w:val="0"/>
      <w:marRight w:val="0"/>
      <w:marTop w:val="0"/>
      <w:marBottom w:val="0"/>
      <w:divBdr>
        <w:top w:val="none" w:sz="0" w:space="0" w:color="auto"/>
        <w:left w:val="none" w:sz="0" w:space="0" w:color="auto"/>
        <w:bottom w:val="none" w:sz="0" w:space="0" w:color="auto"/>
        <w:right w:val="none" w:sz="0" w:space="0" w:color="auto"/>
      </w:divBdr>
    </w:div>
    <w:div w:id="1347248472">
      <w:bodyDiv w:val="1"/>
      <w:marLeft w:val="0"/>
      <w:marRight w:val="0"/>
      <w:marTop w:val="0"/>
      <w:marBottom w:val="0"/>
      <w:divBdr>
        <w:top w:val="none" w:sz="0" w:space="0" w:color="auto"/>
        <w:left w:val="none" w:sz="0" w:space="0" w:color="auto"/>
        <w:bottom w:val="none" w:sz="0" w:space="0" w:color="auto"/>
        <w:right w:val="none" w:sz="0" w:space="0" w:color="auto"/>
      </w:divBdr>
    </w:div>
    <w:div w:id="1401635562">
      <w:bodyDiv w:val="1"/>
      <w:marLeft w:val="0"/>
      <w:marRight w:val="0"/>
      <w:marTop w:val="0"/>
      <w:marBottom w:val="0"/>
      <w:divBdr>
        <w:top w:val="none" w:sz="0" w:space="0" w:color="auto"/>
        <w:left w:val="none" w:sz="0" w:space="0" w:color="auto"/>
        <w:bottom w:val="none" w:sz="0" w:space="0" w:color="auto"/>
        <w:right w:val="none" w:sz="0" w:space="0" w:color="auto"/>
      </w:divBdr>
    </w:div>
    <w:div w:id="1407265842">
      <w:bodyDiv w:val="1"/>
      <w:marLeft w:val="0"/>
      <w:marRight w:val="0"/>
      <w:marTop w:val="0"/>
      <w:marBottom w:val="0"/>
      <w:divBdr>
        <w:top w:val="none" w:sz="0" w:space="0" w:color="auto"/>
        <w:left w:val="none" w:sz="0" w:space="0" w:color="auto"/>
        <w:bottom w:val="none" w:sz="0" w:space="0" w:color="auto"/>
        <w:right w:val="none" w:sz="0" w:space="0" w:color="auto"/>
      </w:divBdr>
    </w:div>
    <w:div w:id="1407650386">
      <w:bodyDiv w:val="1"/>
      <w:marLeft w:val="0"/>
      <w:marRight w:val="0"/>
      <w:marTop w:val="0"/>
      <w:marBottom w:val="0"/>
      <w:divBdr>
        <w:top w:val="none" w:sz="0" w:space="0" w:color="auto"/>
        <w:left w:val="none" w:sz="0" w:space="0" w:color="auto"/>
        <w:bottom w:val="none" w:sz="0" w:space="0" w:color="auto"/>
        <w:right w:val="none" w:sz="0" w:space="0" w:color="auto"/>
      </w:divBdr>
    </w:div>
    <w:div w:id="1425345824">
      <w:bodyDiv w:val="1"/>
      <w:marLeft w:val="0"/>
      <w:marRight w:val="0"/>
      <w:marTop w:val="0"/>
      <w:marBottom w:val="0"/>
      <w:divBdr>
        <w:top w:val="none" w:sz="0" w:space="0" w:color="auto"/>
        <w:left w:val="none" w:sz="0" w:space="0" w:color="auto"/>
        <w:bottom w:val="none" w:sz="0" w:space="0" w:color="auto"/>
        <w:right w:val="none" w:sz="0" w:space="0" w:color="auto"/>
      </w:divBdr>
    </w:div>
    <w:div w:id="1456800250">
      <w:bodyDiv w:val="1"/>
      <w:marLeft w:val="0"/>
      <w:marRight w:val="0"/>
      <w:marTop w:val="0"/>
      <w:marBottom w:val="0"/>
      <w:divBdr>
        <w:top w:val="none" w:sz="0" w:space="0" w:color="auto"/>
        <w:left w:val="none" w:sz="0" w:space="0" w:color="auto"/>
        <w:bottom w:val="none" w:sz="0" w:space="0" w:color="auto"/>
        <w:right w:val="none" w:sz="0" w:space="0" w:color="auto"/>
      </w:divBdr>
    </w:div>
    <w:div w:id="1498688554">
      <w:bodyDiv w:val="1"/>
      <w:marLeft w:val="0"/>
      <w:marRight w:val="0"/>
      <w:marTop w:val="0"/>
      <w:marBottom w:val="0"/>
      <w:divBdr>
        <w:top w:val="none" w:sz="0" w:space="0" w:color="auto"/>
        <w:left w:val="none" w:sz="0" w:space="0" w:color="auto"/>
        <w:bottom w:val="none" w:sz="0" w:space="0" w:color="auto"/>
        <w:right w:val="none" w:sz="0" w:space="0" w:color="auto"/>
      </w:divBdr>
    </w:div>
    <w:div w:id="1532493925">
      <w:bodyDiv w:val="1"/>
      <w:marLeft w:val="0"/>
      <w:marRight w:val="0"/>
      <w:marTop w:val="0"/>
      <w:marBottom w:val="0"/>
      <w:divBdr>
        <w:top w:val="none" w:sz="0" w:space="0" w:color="auto"/>
        <w:left w:val="none" w:sz="0" w:space="0" w:color="auto"/>
        <w:bottom w:val="none" w:sz="0" w:space="0" w:color="auto"/>
        <w:right w:val="none" w:sz="0" w:space="0" w:color="auto"/>
      </w:divBdr>
    </w:div>
    <w:div w:id="1532568042">
      <w:bodyDiv w:val="1"/>
      <w:marLeft w:val="0"/>
      <w:marRight w:val="0"/>
      <w:marTop w:val="0"/>
      <w:marBottom w:val="0"/>
      <w:divBdr>
        <w:top w:val="none" w:sz="0" w:space="0" w:color="auto"/>
        <w:left w:val="none" w:sz="0" w:space="0" w:color="auto"/>
        <w:bottom w:val="none" w:sz="0" w:space="0" w:color="auto"/>
        <w:right w:val="none" w:sz="0" w:space="0" w:color="auto"/>
      </w:divBdr>
    </w:div>
    <w:div w:id="1544446098">
      <w:bodyDiv w:val="1"/>
      <w:marLeft w:val="0"/>
      <w:marRight w:val="0"/>
      <w:marTop w:val="0"/>
      <w:marBottom w:val="0"/>
      <w:divBdr>
        <w:top w:val="none" w:sz="0" w:space="0" w:color="auto"/>
        <w:left w:val="none" w:sz="0" w:space="0" w:color="auto"/>
        <w:bottom w:val="none" w:sz="0" w:space="0" w:color="auto"/>
        <w:right w:val="none" w:sz="0" w:space="0" w:color="auto"/>
      </w:divBdr>
    </w:div>
    <w:div w:id="1561937289">
      <w:bodyDiv w:val="1"/>
      <w:marLeft w:val="0"/>
      <w:marRight w:val="0"/>
      <w:marTop w:val="0"/>
      <w:marBottom w:val="0"/>
      <w:divBdr>
        <w:top w:val="none" w:sz="0" w:space="0" w:color="auto"/>
        <w:left w:val="none" w:sz="0" w:space="0" w:color="auto"/>
        <w:bottom w:val="none" w:sz="0" w:space="0" w:color="auto"/>
        <w:right w:val="none" w:sz="0" w:space="0" w:color="auto"/>
      </w:divBdr>
      <w:divsChild>
        <w:div w:id="583222550">
          <w:marLeft w:val="547"/>
          <w:marRight w:val="0"/>
          <w:marTop w:val="62"/>
          <w:marBottom w:val="0"/>
          <w:divBdr>
            <w:top w:val="none" w:sz="0" w:space="0" w:color="auto"/>
            <w:left w:val="none" w:sz="0" w:space="0" w:color="auto"/>
            <w:bottom w:val="none" w:sz="0" w:space="0" w:color="auto"/>
            <w:right w:val="none" w:sz="0" w:space="0" w:color="auto"/>
          </w:divBdr>
        </w:div>
        <w:div w:id="691296704">
          <w:marLeft w:val="547"/>
          <w:marRight w:val="0"/>
          <w:marTop w:val="62"/>
          <w:marBottom w:val="0"/>
          <w:divBdr>
            <w:top w:val="none" w:sz="0" w:space="0" w:color="auto"/>
            <w:left w:val="none" w:sz="0" w:space="0" w:color="auto"/>
            <w:bottom w:val="none" w:sz="0" w:space="0" w:color="auto"/>
            <w:right w:val="none" w:sz="0" w:space="0" w:color="auto"/>
          </w:divBdr>
        </w:div>
        <w:div w:id="449327396">
          <w:marLeft w:val="547"/>
          <w:marRight w:val="0"/>
          <w:marTop w:val="62"/>
          <w:marBottom w:val="0"/>
          <w:divBdr>
            <w:top w:val="none" w:sz="0" w:space="0" w:color="auto"/>
            <w:left w:val="none" w:sz="0" w:space="0" w:color="auto"/>
            <w:bottom w:val="none" w:sz="0" w:space="0" w:color="auto"/>
            <w:right w:val="none" w:sz="0" w:space="0" w:color="auto"/>
          </w:divBdr>
        </w:div>
        <w:div w:id="1769806798">
          <w:marLeft w:val="547"/>
          <w:marRight w:val="0"/>
          <w:marTop w:val="62"/>
          <w:marBottom w:val="0"/>
          <w:divBdr>
            <w:top w:val="none" w:sz="0" w:space="0" w:color="auto"/>
            <w:left w:val="none" w:sz="0" w:space="0" w:color="auto"/>
            <w:bottom w:val="none" w:sz="0" w:space="0" w:color="auto"/>
            <w:right w:val="none" w:sz="0" w:space="0" w:color="auto"/>
          </w:divBdr>
        </w:div>
        <w:div w:id="590045096">
          <w:marLeft w:val="547"/>
          <w:marRight w:val="0"/>
          <w:marTop w:val="62"/>
          <w:marBottom w:val="0"/>
          <w:divBdr>
            <w:top w:val="none" w:sz="0" w:space="0" w:color="auto"/>
            <w:left w:val="none" w:sz="0" w:space="0" w:color="auto"/>
            <w:bottom w:val="none" w:sz="0" w:space="0" w:color="auto"/>
            <w:right w:val="none" w:sz="0" w:space="0" w:color="auto"/>
          </w:divBdr>
        </w:div>
      </w:divsChild>
    </w:div>
    <w:div w:id="1568228100">
      <w:bodyDiv w:val="1"/>
      <w:marLeft w:val="0"/>
      <w:marRight w:val="0"/>
      <w:marTop w:val="0"/>
      <w:marBottom w:val="0"/>
      <w:divBdr>
        <w:top w:val="none" w:sz="0" w:space="0" w:color="auto"/>
        <w:left w:val="none" w:sz="0" w:space="0" w:color="auto"/>
        <w:bottom w:val="none" w:sz="0" w:space="0" w:color="auto"/>
        <w:right w:val="none" w:sz="0" w:space="0" w:color="auto"/>
      </w:divBdr>
    </w:div>
    <w:div w:id="1578787275">
      <w:bodyDiv w:val="1"/>
      <w:marLeft w:val="0"/>
      <w:marRight w:val="0"/>
      <w:marTop w:val="0"/>
      <w:marBottom w:val="0"/>
      <w:divBdr>
        <w:top w:val="none" w:sz="0" w:space="0" w:color="auto"/>
        <w:left w:val="none" w:sz="0" w:space="0" w:color="auto"/>
        <w:bottom w:val="none" w:sz="0" w:space="0" w:color="auto"/>
        <w:right w:val="none" w:sz="0" w:space="0" w:color="auto"/>
      </w:divBdr>
    </w:div>
    <w:div w:id="1581988964">
      <w:bodyDiv w:val="1"/>
      <w:marLeft w:val="0"/>
      <w:marRight w:val="0"/>
      <w:marTop w:val="0"/>
      <w:marBottom w:val="0"/>
      <w:divBdr>
        <w:top w:val="none" w:sz="0" w:space="0" w:color="auto"/>
        <w:left w:val="none" w:sz="0" w:space="0" w:color="auto"/>
        <w:bottom w:val="none" w:sz="0" w:space="0" w:color="auto"/>
        <w:right w:val="none" w:sz="0" w:space="0" w:color="auto"/>
      </w:divBdr>
    </w:div>
    <w:div w:id="1583759783">
      <w:bodyDiv w:val="1"/>
      <w:marLeft w:val="0"/>
      <w:marRight w:val="0"/>
      <w:marTop w:val="0"/>
      <w:marBottom w:val="0"/>
      <w:divBdr>
        <w:top w:val="none" w:sz="0" w:space="0" w:color="auto"/>
        <w:left w:val="none" w:sz="0" w:space="0" w:color="auto"/>
        <w:bottom w:val="none" w:sz="0" w:space="0" w:color="auto"/>
        <w:right w:val="none" w:sz="0" w:space="0" w:color="auto"/>
      </w:divBdr>
    </w:div>
    <w:div w:id="1605765932">
      <w:bodyDiv w:val="1"/>
      <w:marLeft w:val="0"/>
      <w:marRight w:val="0"/>
      <w:marTop w:val="0"/>
      <w:marBottom w:val="0"/>
      <w:divBdr>
        <w:top w:val="none" w:sz="0" w:space="0" w:color="auto"/>
        <w:left w:val="none" w:sz="0" w:space="0" w:color="auto"/>
        <w:bottom w:val="none" w:sz="0" w:space="0" w:color="auto"/>
        <w:right w:val="none" w:sz="0" w:space="0" w:color="auto"/>
      </w:divBdr>
    </w:div>
    <w:div w:id="1608343043">
      <w:bodyDiv w:val="1"/>
      <w:marLeft w:val="0"/>
      <w:marRight w:val="0"/>
      <w:marTop w:val="0"/>
      <w:marBottom w:val="0"/>
      <w:divBdr>
        <w:top w:val="none" w:sz="0" w:space="0" w:color="auto"/>
        <w:left w:val="none" w:sz="0" w:space="0" w:color="auto"/>
        <w:bottom w:val="none" w:sz="0" w:space="0" w:color="auto"/>
        <w:right w:val="none" w:sz="0" w:space="0" w:color="auto"/>
      </w:divBdr>
    </w:div>
    <w:div w:id="1637488614">
      <w:bodyDiv w:val="1"/>
      <w:marLeft w:val="0"/>
      <w:marRight w:val="0"/>
      <w:marTop w:val="0"/>
      <w:marBottom w:val="0"/>
      <w:divBdr>
        <w:top w:val="none" w:sz="0" w:space="0" w:color="auto"/>
        <w:left w:val="none" w:sz="0" w:space="0" w:color="auto"/>
        <w:bottom w:val="none" w:sz="0" w:space="0" w:color="auto"/>
        <w:right w:val="none" w:sz="0" w:space="0" w:color="auto"/>
      </w:divBdr>
    </w:div>
    <w:div w:id="1646621352">
      <w:bodyDiv w:val="1"/>
      <w:marLeft w:val="0"/>
      <w:marRight w:val="0"/>
      <w:marTop w:val="0"/>
      <w:marBottom w:val="0"/>
      <w:divBdr>
        <w:top w:val="none" w:sz="0" w:space="0" w:color="auto"/>
        <w:left w:val="none" w:sz="0" w:space="0" w:color="auto"/>
        <w:bottom w:val="none" w:sz="0" w:space="0" w:color="auto"/>
        <w:right w:val="none" w:sz="0" w:space="0" w:color="auto"/>
      </w:divBdr>
    </w:div>
    <w:div w:id="1674332461">
      <w:bodyDiv w:val="1"/>
      <w:marLeft w:val="0"/>
      <w:marRight w:val="0"/>
      <w:marTop w:val="0"/>
      <w:marBottom w:val="0"/>
      <w:divBdr>
        <w:top w:val="none" w:sz="0" w:space="0" w:color="auto"/>
        <w:left w:val="none" w:sz="0" w:space="0" w:color="auto"/>
        <w:bottom w:val="none" w:sz="0" w:space="0" w:color="auto"/>
        <w:right w:val="none" w:sz="0" w:space="0" w:color="auto"/>
      </w:divBdr>
    </w:div>
    <w:div w:id="1690449351">
      <w:bodyDiv w:val="1"/>
      <w:marLeft w:val="0"/>
      <w:marRight w:val="0"/>
      <w:marTop w:val="0"/>
      <w:marBottom w:val="0"/>
      <w:divBdr>
        <w:top w:val="none" w:sz="0" w:space="0" w:color="auto"/>
        <w:left w:val="none" w:sz="0" w:space="0" w:color="auto"/>
        <w:bottom w:val="none" w:sz="0" w:space="0" w:color="auto"/>
        <w:right w:val="none" w:sz="0" w:space="0" w:color="auto"/>
      </w:divBdr>
    </w:div>
    <w:div w:id="1738212590">
      <w:bodyDiv w:val="1"/>
      <w:marLeft w:val="0"/>
      <w:marRight w:val="0"/>
      <w:marTop w:val="0"/>
      <w:marBottom w:val="0"/>
      <w:divBdr>
        <w:top w:val="none" w:sz="0" w:space="0" w:color="auto"/>
        <w:left w:val="none" w:sz="0" w:space="0" w:color="auto"/>
        <w:bottom w:val="none" w:sz="0" w:space="0" w:color="auto"/>
        <w:right w:val="none" w:sz="0" w:space="0" w:color="auto"/>
      </w:divBdr>
    </w:div>
    <w:div w:id="1740397070">
      <w:bodyDiv w:val="1"/>
      <w:marLeft w:val="0"/>
      <w:marRight w:val="0"/>
      <w:marTop w:val="0"/>
      <w:marBottom w:val="0"/>
      <w:divBdr>
        <w:top w:val="none" w:sz="0" w:space="0" w:color="auto"/>
        <w:left w:val="none" w:sz="0" w:space="0" w:color="auto"/>
        <w:bottom w:val="none" w:sz="0" w:space="0" w:color="auto"/>
        <w:right w:val="none" w:sz="0" w:space="0" w:color="auto"/>
      </w:divBdr>
    </w:div>
    <w:div w:id="1746759443">
      <w:bodyDiv w:val="1"/>
      <w:marLeft w:val="0"/>
      <w:marRight w:val="0"/>
      <w:marTop w:val="0"/>
      <w:marBottom w:val="0"/>
      <w:divBdr>
        <w:top w:val="none" w:sz="0" w:space="0" w:color="auto"/>
        <w:left w:val="none" w:sz="0" w:space="0" w:color="auto"/>
        <w:bottom w:val="none" w:sz="0" w:space="0" w:color="auto"/>
        <w:right w:val="none" w:sz="0" w:space="0" w:color="auto"/>
      </w:divBdr>
      <w:divsChild>
        <w:div w:id="608700279">
          <w:marLeft w:val="0"/>
          <w:marRight w:val="0"/>
          <w:marTop w:val="0"/>
          <w:marBottom w:val="0"/>
          <w:divBdr>
            <w:top w:val="none" w:sz="0" w:space="0" w:color="auto"/>
            <w:left w:val="none" w:sz="0" w:space="0" w:color="auto"/>
            <w:bottom w:val="none" w:sz="0" w:space="0" w:color="auto"/>
            <w:right w:val="none" w:sz="0" w:space="0" w:color="auto"/>
          </w:divBdr>
          <w:divsChild>
            <w:div w:id="810825402">
              <w:marLeft w:val="0"/>
              <w:marRight w:val="0"/>
              <w:marTop w:val="0"/>
              <w:marBottom w:val="0"/>
              <w:divBdr>
                <w:top w:val="none" w:sz="0" w:space="0" w:color="auto"/>
                <w:left w:val="none" w:sz="0" w:space="0" w:color="auto"/>
                <w:bottom w:val="none" w:sz="0" w:space="0" w:color="auto"/>
                <w:right w:val="none" w:sz="0" w:space="0" w:color="auto"/>
              </w:divBdr>
              <w:divsChild>
                <w:div w:id="1700660519">
                  <w:marLeft w:val="0"/>
                  <w:marRight w:val="0"/>
                  <w:marTop w:val="0"/>
                  <w:marBottom w:val="0"/>
                  <w:divBdr>
                    <w:top w:val="none" w:sz="0" w:space="0" w:color="auto"/>
                    <w:left w:val="none" w:sz="0" w:space="0" w:color="auto"/>
                    <w:bottom w:val="none" w:sz="0" w:space="0" w:color="auto"/>
                    <w:right w:val="none" w:sz="0" w:space="0" w:color="auto"/>
                  </w:divBdr>
                  <w:divsChild>
                    <w:div w:id="1479032449">
                      <w:marLeft w:val="0"/>
                      <w:marRight w:val="0"/>
                      <w:marTop w:val="0"/>
                      <w:marBottom w:val="0"/>
                      <w:divBdr>
                        <w:top w:val="none" w:sz="0" w:space="0" w:color="auto"/>
                        <w:left w:val="none" w:sz="0" w:space="0" w:color="auto"/>
                        <w:bottom w:val="none" w:sz="0" w:space="0" w:color="auto"/>
                        <w:right w:val="none" w:sz="0" w:space="0" w:color="auto"/>
                      </w:divBdr>
                      <w:divsChild>
                        <w:div w:id="844898812">
                          <w:marLeft w:val="0"/>
                          <w:marRight w:val="0"/>
                          <w:marTop w:val="0"/>
                          <w:marBottom w:val="0"/>
                          <w:divBdr>
                            <w:top w:val="none" w:sz="0" w:space="0" w:color="auto"/>
                            <w:left w:val="none" w:sz="0" w:space="0" w:color="auto"/>
                            <w:bottom w:val="none" w:sz="0" w:space="0" w:color="auto"/>
                            <w:right w:val="none" w:sz="0" w:space="0" w:color="auto"/>
                          </w:divBdr>
                          <w:divsChild>
                            <w:div w:id="85381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751109">
      <w:bodyDiv w:val="1"/>
      <w:marLeft w:val="0"/>
      <w:marRight w:val="0"/>
      <w:marTop w:val="0"/>
      <w:marBottom w:val="0"/>
      <w:divBdr>
        <w:top w:val="none" w:sz="0" w:space="0" w:color="auto"/>
        <w:left w:val="none" w:sz="0" w:space="0" w:color="auto"/>
        <w:bottom w:val="none" w:sz="0" w:space="0" w:color="auto"/>
        <w:right w:val="none" w:sz="0" w:space="0" w:color="auto"/>
      </w:divBdr>
    </w:div>
    <w:div w:id="1783570109">
      <w:bodyDiv w:val="1"/>
      <w:marLeft w:val="0"/>
      <w:marRight w:val="0"/>
      <w:marTop w:val="0"/>
      <w:marBottom w:val="0"/>
      <w:divBdr>
        <w:top w:val="none" w:sz="0" w:space="0" w:color="auto"/>
        <w:left w:val="none" w:sz="0" w:space="0" w:color="auto"/>
        <w:bottom w:val="none" w:sz="0" w:space="0" w:color="auto"/>
        <w:right w:val="none" w:sz="0" w:space="0" w:color="auto"/>
      </w:divBdr>
    </w:div>
    <w:div w:id="1800995576">
      <w:bodyDiv w:val="1"/>
      <w:marLeft w:val="0"/>
      <w:marRight w:val="0"/>
      <w:marTop w:val="0"/>
      <w:marBottom w:val="0"/>
      <w:divBdr>
        <w:top w:val="none" w:sz="0" w:space="0" w:color="auto"/>
        <w:left w:val="none" w:sz="0" w:space="0" w:color="auto"/>
        <w:bottom w:val="none" w:sz="0" w:space="0" w:color="auto"/>
        <w:right w:val="none" w:sz="0" w:space="0" w:color="auto"/>
      </w:divBdr>
    </w:div>
    <w:div w:id="1805460318">
      <w:bodyDiv w:val="1"/>
      <w:marLeft w:val="0"/>
      <w:marRight w:val="0"/>
      <w:marTop w:val="0"/>
      <w:marBottom w:val="0"/>
      <w:divBdr>
        <w:top w:val="none" w:sz="0" w:space="0" w:color="auto"/>
        <w:left w:val="none" w:sz="0" w:space="0" w:color="auto"/>
        <w:bottom w:val="none" w:sz="0" w:space="0" w:color="auto"/>
        <w:right w:val="none" w:sz="0" w:space="0" w:color="auto"/>
      </w:divBdr>
    </w:div>
    <w:div w:id="1807619264">
      <w:bodyDiv w:val="1"/>
      <w:marLeft w:val="0"/>
      <w:marRight w:val="0"/>
      <w:marTop w:val="0"/>
      <w:marBottom w:val="0"/>
      <w:divBdr>
        <w:top w:val="none" w:sz="0" w:space="0" w:color="auto"/>
        <w:left w:val="none" w:sz="0" w:space="0" w:color="auto"/>
        <w:bottom w:val="none" w:sz="0" w:space="0" w:color="auto"/>
        <w:right w:val="none" w:sz="0" w:space="0" w:color="auto"/>
      </w:divBdr>
    </w:div>
    <w:div w:id="1825776402">
      <w:bodyDiv w:val="1"/>
      <w:marLeft w:val="0"/>
      <w:marRight w:val="0"/>
      <w:marTop w:val="0"/>
      <w:marBottom w:val="0"/>
      <w:divBdr>
        <w:top w:val="none" w:sz="0" w:space="0" w:color="auto"/>
        <w:left w:val="none" w:sz="0" w:space="0" w:color="auto"/>
        <w:bottom w:val="none" w:sz="0" w:space="0" w:color="auto"/>
        <w:right w:val="none" w:sz="0" w:space="0" w:color="auto"/>
      </w:divBdr>
    </w:div>
    <w:div w:id="1837108672">
      <w:bodyDiv w:val="1"/>
      <w:marLeft w:val="0"/>
      <w:marRight w:val="0"/>
      <w:marTop w:val="0"/>
      <w:marBottom w:val="0"/>
      <w:divBdr>
        <w:top w:val="none" w:sz="0" w:space="0" w:color="auto"/>
        <w:left w:val="none" w:sz="0" w:space="0" w:color="auto"/>
        <w:bottom w:val="none" w:sz="0" w:space="0" w:color="auto"/>
        <w:right w:val="none" w:sz="0" w:space="0" w:color="auto"/>
      </w:divBdr>
    </w:div>
    <w:div w:id="1877305498">
      <w:bodyDiv w:val="1"/>
      <w:marLeft w:val="0"/>
      <w:marRight w:val="0"/>
      <w:marTop w:val="0"/>
      <w:marBottom w:val="0"/>
      <w:divBdr>
        <w:top w:val="none" w:sz="0" w:space="0" w:color="auto"/>
        <w:left w:val="none" w:sz="0" w:space="0" w:color="auto"/>
        <w:bottom w:val="none" w:sz="0" w:space="0" w:color="auto"/>
        <w:right w:val="none" w:sz="0" w:space="0" w:color="auto"/>
      </w:divBdr>
    </w:div>
    <w:div w:id="1883512606">
      <w:bodyDiv w:val="1"/>
      <w:marLeft w:val="0"/>
      <w:marRight w:val="0"/>
      <w:marTop w:val="0"/>
      <w:marBottom w:val="0"/>
      <w:divBdr>
        <w:top w:val="none" w:sz="0" w:space="0" w:color="auto"/>
        <w:left w:val="none" w:sz="0" w:space="0" w:color="auto"/>
        <w:bottom w:val="none" w:sz="0" w:space="0" w:color="auto"/>
        <w:right w:val="none" w:sz="0" w:space="0" w:color="auto"/>
      </w:divBdr>
    </w:div>
    <w:div w:id="1886209612">
      <w:bodyDiv w:val="1"/>
      <w:marLeft w:val="0"/>
      <w:marRight w:val="0"/>
      <w:marTop w:val="0"/>
      <w:marBottom w:val="0"/>
      <w:divBdr>
        <w:top w:val="none" w:sz="0" w:space="0" w:color="auto"/>
        <w:left w:val="none" w:sz="0" w:space="0" w:color="auto"/>
        <w:bottom w:val="none" w:sz="0" w:space="0" w:color="auto"/>
        <w:right w:val="none" w:sz="0" w:space="0" w:color="auto"/>
      </w:divBdr>
      <w:divsChild>
        <w:div w:id="1381587259">
          <w:marLeft w:val="446"/>
          <w:marRight w:val="0"/>
          <w:marTop w:val="77"/>
          <w:marBottom w:val="0"/>
          <w:divBdr>
            <w:top w:val="none" w:sz="0" w:space="0" w:color="auto"/>
            <w:left w:val="none" w:sz="0" w:space="0" w:color="auto"/>
            <w:bottom w:val="none" w:sz="0" w:space="0" w:color="auto"/>
            <w:right w:val="none" w:sz="0" w:space="0" w:color="auto"/>
          </w:divBdr>
        </w:div>
        <w:div w:id="983044452">
          <w:marLeft w:val="446"/>
          <w:marRight w:val="0"/>
          <w:marTop w:val="77"/>
          <w:marBottom w:val="0"/>
          <w:divBdr>
            <w:top w:val="none" w:sz="0" w:space="0" w:color="auto"/>
            <w:left w:val="none" w:sz="0" w:space="0" w:color="auto"/>
            <w:bottom w:val="none" w:sz="0" w:space="0" w:color="auto"/>
            <w:right w:val="none" w:sz="0" w:space="0" w:color="auto"/>
          </w:divBdr>
        </w:div>
        <w:div w:id="1931936536">
          <w:marLeft w:val="446"/>
          <w:marRight w:val="0"/>
          <w:marTop w:val="0"/>
          <w:marBottom w:val="0"/>
          <w:divBdr>
            <w:top w:val="none" w:sz="0" w:space="0" w:color="auto"/>
            <w:left w:val="none" w:sz="0" w:space="0" w:color="auto"/>
            <w:bottom w:val="none" w:sz="0" w:space="0" w:color="auto"/>
            <w:right w:val="none" w:sz="0" w:space="0" w:color="auto"/>
          </w:divBdr>
        </w:div>
        <w:div w:id="1854613378">
          <w:marLeft w:val="446"/>
          <w:marRight w:val="0"/>
          <w:marTop w:val="0"/>
          <w:marBottom w:val="0"/>
          <w:divBdr>
            <w:top w:val="none" w:sz="0" w:space="0" w:color="auto"/>
            <w:left w:val="none" w:sz="0" w:space="0" w:color="auto"/>
            <w:bottom w:val="none" w:sz="0" w:space="0" w:color="auto"/>
            <w:right w:val="none" w:sz="0" w:space="0" w:color="auto"/>
          </w:divBdr>
        </w:div>
        <w:div w:id="939142614">
          <w:marLeft w:val="446"/>
          <w:marRight w:val="0"/>
          <w:marTop w:val="0"/>
          <w:marBottom w:val="0"/>
          <w:divBdr>
            <w:top w:val="none" w:sz="0" w:space="0" w:color="auto"/>
            <w:left w:val="none" w:sz="0" w:space="0" w:color="auto"/>
            <w:bottom w:val="none" w:sz="0" w:space="0" w:color="auto"/>
            <w:right w:val="none" w:sz="0" w:space="0" w:color="auto"/>
          </w:divBdr>
        </w:div>
        <w:div w:id="467938096">
          <w:marLeft w:val="446"/>
          <w:marRight w:val="0"/>
          <w:marTop w:val="0"/>
          <w:marBottom w:val="0"/>
          <w:divBdr>
            <w:top w:val="none" w:sz="0" w:space="0" w:color="auto"/>
            <w:left w:val="none" w:sz="0" w:space="0" w:color="auto"/>
            <w:bottom w:val="none" w:sz="0" w:space="0" w:color="auto"/>
            <w:right w:val="none" w:sz="0" w:space="0" w:color="auto"/>
          </w:divBdr>
        </w:div>
      </w:divsChild>
    </w:div>
    <w:div w:id="1887257926">
      <w:bodyDiv w:val="1"/>
      <w:marLeft w:val="0"/>
      <w:marRight w:val="0"/>
      <w:marTop w:val="0"/>
      <w:marBottom w:val="0"/>
      <w:divBdr>
        <w:top w:val="none" w:sz="0" w:space="0" w:color="auto"/>
        <w:left w:val="none" w:sz="0" w:space="0" w:color="auto"/>
        <w:bottom w:val="none" w:sz="0" w:space="0" w:color="auto"/>
        <w:right w:val="none" w:sz="0" w:space="0" w:color="auto"/>
      </w:divBdr>
    </w:div>
    <w:div w:id="1907377449">
      <w:bodyDiv w:val="1"/>
      <w:marLeft w:val="0"/>
      <w:marRight w:val="0"/>
      <w:marTop w:val="0"/>
      <w:marBottom w:val="0"/>
      <w:divBdr>
        <w:top w:val="none" w:sz="0" w:space="0" w:color="auto"/>
        <w:left w:val="none" w:sz="0" w:space="0" w:color="auto"/>
        <w:bottom w:val="none" w:sz="0" w:space="0" w:color="auto"/>
        <w:right w:val="none" w:sz="0" w:space="0" w:color="auto"/>
      </w:divBdr>
    </w:div>
    <w:div w:id="1908102402">
      <w:bodyDiv w:val="1"/>
      <w:marLeft w:val="0"/>
      <w:marRight w:val="0"/>
      <w:marTop w:val="0"/>
      <w:marBottom w:val="0"/>
      <w:divBdr>
        <w:top w:val="none" w:sz="0" w:space="0" w:color="auto"/>
        <w:left w:val="none" w:sz="0" w:space="0" w:color="auto"/>
        <w:bottom w:val="none" w:sz="0" w:space="0" w:color="auto"/>
        <w:right w:val="none" w:sz="0" w:space="0" w:color="auto"/>
      </w:divBdr>
    </w:div>
    <w:div w:id="1916159540">
      <w:bodyDiv w:val="1"/>
      <w:marLeft w:val="0"/>
      <w:marRight w:val="0"/>
      <w:marTop w:val="0"/>
      <w:marBottom w:val="0"/>
      <w:divBdr>
        <w:top w:val="none" w:sz="0" w:space="0" w:color="auto"/>
        <w:left w:val="none" w:sz="0" w:space="0" w:color="auto"/>
        <w:bottom w:val="none" w:sz="0" w:space="0" w:color="auto"/>
        <w:right w:val="none" w:sz="0" w:space="0" w:color="auto"/>
      </w:divBdr>
    </w:div>
    <w:div w:id="1918438004">
      <w:bodyDiv w:val="1"/>
      <w:marLeft w:val="0"/>
      <w:marRight w:val="0"/>
      <w:marTop w:val="0"/>
      <w:marBottom w:val="0"/>
      <w:divBdr>
        <w:top w:val="none" w:sz="0" w:space="0" w:color="auto"/>
        <w:left w:val="none" w:sz="0" w:space="0" w:color="auto"/>
        <w:bottom w:val="none" w:sz="0" w:space="0" w:color="auto"/>
        <w:right w:val="none" w:sz="0" w:space="0" w:color="auto"/>
      </w:divBdr>
    </w:div>
    <w:div w:id="1935628415">
      <w:bodyDiv w:val="1"/>
      <w:marLeft w:val="0"/>
      <w:marRight w:val="0"/>
      <w:marTop w:val="0"/>
      <w:marBottom w:val="0"/>
      <w:divBdr>
        <w:top w:val="none" w:sz="0" w:space="0" w:color="auto"/>
        <w:left w:val="none" w:sz="0" w:space="0" w:color="auto"/>
        <w:bottom w:val="none" w:sz="0" w:space="0" w:color="auto"/>
        <w:right w:val="none" w:sz="0" w:space="0" w:color="auto"/>
      </w:divBdr>
    </w:div>
    <w:div w:id="1942638599">
      <w:bodyDiv w:val="1"/>
      <w:marLeft w:val="0"/>
      <w:marRight w:val="0"/>
      <w:marTop w:val="0"/>
      <w:marBottom w:val="0"/>
      <w:divBdr>
        <w:top w:val="none" w:sz="0" w:space="0" w:color="auto"/>
        <w:left w:val="none" w:sz="0" w:space="0" w:color="auto"/>
        <w:bottom w:val="none" w:sz="0" w:space="0" w:color="auto"/>
        <w:right w:val="none" w:sz="0" w:space="0" w:color="auto"/>
      </w:divBdr>
    </w:div>
    <w:div w:id="2024742095">
      <w:bodyDiv w:val="1"/>
      <w:marLeft w:val="0"/>
      <w:marRight w:val="0"/>
      <w:marTop w:val="0"/>
      <w:marBottom w:val="0"/>
      <w:divBdr>
        <w:top w:val="none" w:sz="0" w:space="0" w:color="auto"/>
        <w:left w:val="none" w:sz="0" w:space="0" w:color="auto"/>
        <w:bottom w:val="none" w:sz="0" w:space="0" w:color="auto"/>
        <w:right w:val="none" w:sz="0" w:space="0" w:color="auto"/>
      </w:divBdr>
    </w:div>
    <w:div w:id="2042708829">
      <w:bodyDiv w:val="1"/>
      <w:marLeft w:val="0"/>
      <w:marRight w:val="0"/>
      <w:marTop w:val="0"/>
      <w:marBottom w:val="0"/>
      <w:divBdr>
        <w:top w:val="none" w:sz="0" w:space="0" w:color="auto"/>
        <w:left w:val="none" w:sz="0" w:space="0" w:color="auto"/>
        <w:bottom w:val="none" w:sz="0" w:space="0" w:color="auto"/>
        <w:right w:val="none" w:sz="0" w:space="0" w:color="auto"/>
      </w:divBdr>
    </w:div>
    <w:div w:id="2096702620">
      <w:bodyDiv w:val="1"/>
      <w:marLeft w:val="0"/>
      <w:marRight w:val="0"/>
      <w:marTop w:val="0"/>
      <w:marBottom w:val="0"/>
      <w:divBdr>
        <w:top w:val="none" w:sz="0" w:space="0" w:color="auto"/>
        <w:left w:val="none" w:sz="0" w:space="0" w:color="auto"/>
        <w:bottom w:val="none" w:sz="0" w:space="0" w:color="auto"/>
        <w:right w:val="none" w:sz="0" w:space="0" w:color="auto"/>
      </w:divBdr>
    </w:div>
    <w:div w:id="214692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rentwoodpcn.nhs.uk/" TargetMode="External"/><Relationship Id="rId21" Type="http://schemas.openxmlformats.org/officeDocument/2006/relationships/image" Target="media/image2.png"/><Relationship Id="rId42" Type="http://schemas.openxmlformats.org/officeDocument/2006/relationships/image" Target="media/image10.emf"/><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2.png"/><Relationship Id="rId16" Type="http://schemas.openxmlformats.org/officeDocument/2006/relationships/hyperlink" Target="http://www.essexcovidvaccine.nhs.uk/coronavirus-vaccine/essex-vax-van/" TargetMode="External"/><Relationship Id="rId11" Type="http://schemas.openxmlformats.org/officeDocument/2006/relationships/endnotes" Target="endnotes.xml"/><Relationship Id="rId32" Type="http://schemas.openxmlformats.org/officeDocument/2006/relationships/image" Target="media/image4.jpeg"/><Relationship Id="rId37" Type="http://schemas.openxmlformats.org/officeDocument/2006/relationships/image" Target="media/image5.emf"/><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5" Type="http://schemas.openxmlformats.org/officeDocument/2006/relationships/customXml" Target="../customXml/item5.xml"/><Relationship Id="rId19" Type="http://schemas.openxmlformats.org/officeDocument/2006/relationships/hyperlink" Target="https://www.smallbusinesscommissioner.gov.uk/ppc/signatories/?signatory=n" TargetMode="External"/><Relationship Id="rId14" Type="http://schemas.openxmlformats.org/officeDocument/2006/relationships/hyperlink" Target="https://www.msehealthandcarepartnership.co.uk/become-involved/citizens-panel/" TargetMode="External"/><Relationship Id="rId22" Type="http://schemas.openxmlformats.org/officeDocument/2006/relationships/image" Target="media/image3.png"/><Relationship Id="rId27" Type="http://schemas.openxmlformats.org/officeDocument/2006/relationships/hyperlink" Target="https://www.billericaypcn.nhs.uk/" TargetMode="External"/><Relationship Id="rId30" Type="http://schemas.openxmlformats.org/officeDocument/2006/relationships/hyperlink" Target="https://basildonandbrentwoodccg.nhs.uk/about-us/ccg-register-of-interests-gifts-and-hospitality-and-procurement-decisions" TargetMode="External"/><Relationship Id="rId35" Type="http://schemas.openxmlformats.org/officeDocument/2006/relationships/footer" Target="footer1.xml"/><Relationship Id="rId43" Type="http://schemas.openxmlformats.org/officeDocument/2006/relationships/image" Target="media/image11.emf"/><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8" Type="http://schemas.openxmlformats.org/officeDocument/2006/relationships/settings" Target="settings.xml"/><Relationship Id="rId51" Type="http://schemas.openxmlformats.org/officeDocument/2006/relationships/image" Target="media/image19.pn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3.png"/><Relationship Id="rId3" Type="http://schemas.openxmlformats.org/officeDocument/2006/relationships/customXml" Target="../customXml/item3.xml"/><Relationship Id="rId12" Type="http://schemas.openxmlformats.org/officeDocument/2006/relationships/hyperlink" Target="http://www.essexcovidvaccine.nhs.uk" TargetMode="External"/><Relationship Id="rId17" Type="http://schemas.openxmlformats.org/officeDocument/2006/relationships/hyperlink" Target="https://home.kpmg/uk/en/home.html" TargetMode="External"/><Relationship Id="rId25" Type="http://schemas.openxmlformats.org/officeDocument/2006/relationships/hyperlink" Target="https://www.centralbasildonpcn.nhs.uk/" TargetMode="External"/><Relationship Id="rId33" Type="http://schemas.openxmlformats.org/officeDocument/2006/relationships/image" Target="cid:image002.jpg@01D62849.D4F1AC20" TargetMode="External"/><Relationship Id="rId38" Type="http://schemas.openxmlformats.org/officeDocument/2006/relationships/image" Target="media/image6.emf"/><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yperlink" Target="https://www.cicm.com/" TargetMode="External"/><Relationship Id="rId41" Type="http://schemas.openxmlformats.org/officeDocument/2006/relationships/image" Target="media/image9.emf"/><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basildonandbrentwoodccg.nhs.uk/get-involved" TargetMode="External"/><Relationship Id="rId23" Type="http://schemas.openxmlformats.org/officeDocument/2006/relationships/hyperlink" Target="https://www.eastbasildonpcn.nhs.uk/" TargetMode="External"/><Relationship Id="rId28" Type="http://schemas.openxmlformats.org/officeDocument/2006/relationships/hyperlink" Target="https://basildonandbrentwoodccg.nhs.uk/about-us/constitution-and-terms-of-reference" TargetMode="External"/><Relationship Id="rId36" Type="http://schemas.openxmlformats.org/officeDocument/2006/relationships/footer" Target="footer2.xml"/><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footnotes" Target="footnotes.xml"/><Relationship Id="rId31" Type="http://schemas.openxmlformats.org/officeDocument/2006/relationships/hyperlink" Target="https://basildonandbrentwoodccg.nhs.uk/about-us/publications/publications-public/safeguarding-publications-public/5873-modern-slavery-statement-2022-1/file"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hyperlink" Target="http://www.frc.org.uk/auditorsresponsibilities"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msehealthandcarepartnership.co.uk/become-involved/introduction/" TargetMode="External"/><Relationship Id="rId18" Type="http://schemas.openxmlformats.org/officeDocument/2006/relationships/image" Target="media/image1.png"/><Relationship Id="rId39" Type="http://schemas.openxmlformats.org/officeDocument/2006/relationships/image" Target="media/image7.emf"/><Relationship Id="rId34" Type="http://schemas.openxmlformats.org/officeDocument/2006/relationships/header" Target="header1.xm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4.png"/><Relationship Id="rId7" Type="http://schemas.openxmlformats.org/officeDocument/2006/relationships/styles" Target="styles.xml"/><Relationship Id="rId71" Type="http://schemas.openxmlformats.org/officeDocument/2006/relationships/image" Target="media/image39.png"/><Relationship Id="rId2" Type="http://schemas.openxmlformats.org/officeDocument/2006/relationships/customXml" Target="../customXml/item2.xml"/><Relationship Id="rId29" Type="http://schemas.openxmlformats.org/officeDocument/2006/relationships/hyperlink" Target="https://basildonandbrentwoodccg.nhs.uk/about-us/" TargetMode="External"/><Relationship Id="rId24" Type="http://schemas.openxmlformats.org/officeDocument/2006/relationships/hyperlink" Target="https://www.westbasildonpcn.nhs.uk/" TargetMode="External"/><Relationship Id="rId40" Type="http://schemas.openxmlformats.org/officeDocument/2006/relationships/image" Target="media/image8.emf"/><Relationship Id="rId45" Type="http://schemas.openxmlformats.org/officeDocument/2006/relationships/image" Target="media/image13.png"/><Relationship Id="rId66" Type="http://schemas.openxmlformats.org/officeDocument/2006/relationships/image" Target="media/image34.png"/><Relationship Id="rId87" Type="http://schemas.openxmlformats.org/officeDocument/2006/relationships/fontTable" Target="fontTable.xml"/><Relationship Id="rId61" Type="http://schemas.openxmlformats.org/officeDocument/2006/relationships/image" Target="media/image29.png"/><Relationship Id="rId8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2263753EA1BB843AF69B19D5A0AF4B2" ma:contentTypeVersion="67" ma:contentTypeDescription="Create a new document." ma:contentTypeScope="" ma:versionID="adf46964e0c805ac02e522dcdad7dd04">
  <xsd:schema xmlns:xsd="http://www.w3.org/2001/XMLSchema" xmlns:xs="http://www.w3.org/2001/XMLSchema" xmlns:p="http://schemas.microsoft.com/office/2006/metadata/properties" xmlns:ns1="http://schemas.microsoft.com/sharepoint/v3" xmlns:ns2="cccaf3ac-2de9-44d4-aa31-54302fceb5f7" xmlns:ns3="51367701-27c8-403e-a234-85855c5cd73e" xmlns:ns4="d394111c-6687-4ce1-a7f8-4c68a27eb7ea" targetNamespace="http://schemas.microsoft.com/office/2006/metadata/properties" ma:root="true" ma:fieldsID="a2c5dd3a1232ea494671324fdf28cd38" ns1:_="" ns2:_="" ns3:_="" ns4:_="">
    <xsd:import namespace="http://schemas.microsoft.com/sharepoint/v3"/>
    <xsd:import namespace="cccaf3ac-2de9-44d4-aa31-54302fceb5f7"/>
    <xsd:import namespace="51367701-27c8-403e-a234-85855c5cd73e"/>
    <xsd:import namespace="d394111c-6687-4ce1-a7f8-4c68a27eb7ea"/>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3:SharingHintHash" minOccurs="0"/>
                <xsd:element ref="ns4:Category"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1367701-27c8-403e-a234-85855c5cd73e"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94111c-6687-4ce1-a7f8-4c68a27eb7ea" elementFormDefault="qualified">
    <xsd:import namespace="http://schemas.microsoft.com/office/2006/documentManagement/types"/>
    <xsd:import namespace="http://schemas.microsoft.com/office/infopath/2007/PartnerControls"/>
    <xsd:element name="Category" ma:index="14" nillable="true" ma:displayName="Guidance Role" ma:format="Dropdown" ma:internalName="Category">
      <xsd:simpleType>
        <xsd:restriction base="dms:Choice">
          <xsd:enumeration value="Admin"/>
          <xsd:enumeration value="Example"/>
          <xsd:enumeration value="Information"/>
          <xsd:enumeration value="Page Data"/>
          <xsd:enumeration value="Picture"/>
          <xsd:enumeration value="Template"/>
          <xsd:enumeration value="Web Parts"/>
          <xsd:enumeration value="X Archived"/>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MediaServiceAutoTags"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ategory xmlns="d394111c-6687-4ce1-a7f8-4c68a27eb7ea">Document</Category>
    <_dlc_DocId xmlns="cccaf3ac-2de9-44d4-aa31-54302fceb5f7">K57F673QWXRZ-3308-1512</_dlc_DocId>
    <_dlc_DocIdUrl xmlns="cccaf3ac-2de9-44d4-aa31-54302fceb5f7">
      <Url>https://nhsengland.sharepoint.com/TeamCentre/Finance/FinancialControl/_layouts/15/DocIdRedir.aspx?ID=K57F673QWXRZ-3308-1512</Url>
      <Description>K57F673QWXRZ-3308-1512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CBA27-7061-4912-8BB3-0048ED88AF00}">
  <ds:schemaRefs>
    <ds:schemaRef ds:uri="http://schemas.microsoft.com/sharepoint/events"/>
  </ds:schemaRefs>
</ds:datastoreItem>
</file>

<file path=customXml/itemProps2.xml><?xml version="1.0" encoding="utf-8"?>
<ds:datastoreItem xmlns:ds="http://schemas.openxmlformats.org/officeDocument/2006/customXml" ds:itemID="{457E983D-9371-4F39-836A-8A3787E6A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ccaf3ac-2de9-44d4-aa31-54302fceb5f7"/>
    <ds:schemaRef ds:uri="51367701-27c8-403e-a234-85855c5cd73e"/>
    <ds:schemaRef ds:uri="d394111c-6687-4ce1-a7f8-4c68a27eb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72CA95-9DA0-4AD5-99B7-13E787603D43}">
  <ds:schemaRefs>
    <ds:schemaRef ds:uri="http://schemas.microsoft.com/office/2006/metadata/properties"/>
    <ds:schemaRef ds:uri="http://schemas.microsoft.com/office/infopath/2007/PartnerControls"/>
    <ds:schemaRef ds:uri="http://schemas.microsoft.com/sharepoint/v3"/>
    <ds:schemaRef ds:uri="d394111c-6687-4ce1-a7f8-4c68a27eb7ea"/>
    <ds:schemaRef ds:uri="cccaf3ac-2de9-44d4-aa31-54302fceb5f7"/>
  </ds:schemaRefs>
</ds:datastoreItem>
</file>

<file path=customXml/itemProps4.xml><?xml version="1.0" encoding="utf-8"?>
<ds:datastoreItem xmlns:ds="http://schemas.openxmlformats.org/officeDocument/2006/customXml" ds:itemID="{8CB023B7-4DBA-4BC1-9178-D58B99BD140B}">
  <ds:schemaRefs>
    <ds:schemaRef ds:uri="http://schemas.microsoft.com/sharepoint/v3/contenttype/forms"/>
  </ds:schemaRefs>
</ds:datastoreItem>
</file>

<file path=customXml/itemProps5.xml><?xml version="1.0" encoding="utf-8"?>
<ds:datastoreItem xmlns:ds="http://schemas.openxmlformats.org/officeDocument/2006/customXml" ds:itemID="{4B21C26E-914A-AD4E-8F38-C3E7AD428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51</Pages>
  <Words>31137</Words>
  <Characters>177482</Characters>
  <Application>Microsoft Office Word</Application>
  <DocSecurity>0</DocSecurity>
  <Lines>1479</Lines>
  <Paragraphs>416</Paragraphs>
  <ScaleCrop>false</ScaleCrop>
  <HeadingPairs>
    <vt:vector size="2" baseType="variant">
      <vt:variant>
        <vt:lpstr>Title</vt:lpstr>
      </vt:variant>
      <vt:variant>
        <vt:i4>1</vt:i4>
      </vt:variant>
    </vt:vector>
  </HeadingPairs>
  <TitlesOfParts>
    <vt:vector size="1" baseType="lpstr">
      <vt:lpstr>CCG Annual Report 2016-17 TEMPLATE v7 [HD comments/amends]</vt:lpstr>
    </vt:vector>
  </TitlesOfParts>
  <Manager>Ibbetson, Mike</Manager>
  <Company>IMS3</Company>
  <LinksUpToDate>false</LinksUpToDate>
  <CharactersWithSpaces>208203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CCG Annual Report 2016-17 TEMPLATE v7 [HD comments/amends]</dc:title>
  <dc:subject>HD_CorpGov_CCG Annual Report Template</dc:subject>
  <dc:creator>Pearson, Fiona</dc:creator>
  <cp:lastModifiedBy>SHARP, James (NHS MID ESSEX CCG)</cp:lastModifiedBy>
  <cp:revision>4</cp:revision>
  <cp:lastPrinted>2022-04-07T09:55:00Z</cp:lastPrinted>
  <dcterms:created xsi:type="dcterms:W3CDTF">2022-06-30T08:54:00Z</dcterms:created>
  <dcterms:modified xsi:type="dcterms:W3CDTF">2022-09-29T19:16:00Z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siteDocRef">
    <vt:lpwstr>143693377.1</vt:lpwstr>
  </property>
  <property fmtid="{D5CDD505-2E9C-101B-9397-08002B2CF9AE}" pid="3" name="Title">
    <vt:lpwstr>CCG Annual Report 2016-17 TEMPLATE v7 [HD comments/amends]</vt:lpwstr>
  </property>
  <property fmtid="{D5CDD505-2E9C-101B-9397-08002B2CF9AE}" pid="4" name="Subject">
    <vt:lpwstr>HD_CorpGov_CCG Annual Report Template</vt:lpwstr>
  </property>
  <property fmtid="{D5CDD505-2E9C-101B-9397-08002B2CF9AE}" pid="5" name="Author">
    <vt:lpwstr>Richard Parker</vt:lpwstr>
  </property>
  <property fmtid="{D5CDD505-2E9C-101B-9397-08002B2CF9AE}" pid="6" name="Manager">
    <vt:lpwstr>ES</vt:lpwstr>
  </property>
  <property fmtid="{D5CDD505-2E9C-101B-9397-08002B2CF9AE}" pid="7" name="Category">
    <vt:lpwstr>Document</vt:lpwstr>
  </property>
  <property fmtid="{D5CDD505-2E9C-101B-9397-08002B2CF9AE}" pid="8" name="ClientNo">
    <vt:lpwstr>12002157</vt:lpwstr>
  </property>
  <property fmtid="{D5CDD505-2E9C-101B-9397-08002B2CF9AE}" pid="9" name="MatterNo">
    <vt:lpwstr>57</vt:lpwstr>
  </property>
  <property fmtid="{D5CDD505-2E9C-101B-9397-08002B2CF9AE}" pid="10" name="DMSFileNo">
    <vt:lpwstr>143693377</vt:lpwstr>
  </property>
  <property fmtid="{D5CDD505-2E9C-101B-9397-08002B2CF9AE}" pid="11" name="Typist">
    <vt:lpwstr>Richard Parker</vt:lpwstr>
  </property>
  <property fmtid="{D5CDD505-2E9C-101B-9397-08002B2CF9AE}" pid="12" name="ContentTypeId">
    <vt:lpwstr>0x01010042263753EA1BB843AF69B19D5A0AF4B2</vt:lpwstr>
  </property>
  <property fmtid="{D5CDD505-2E9C-101B-9397-08002B2CF9AE}" pid="13" name="_dlc_DocIdItemGuid">
    <vt:lpwstr>9ff1d3ab-2d17-4afd-8d1b-fa0ff59cd5b3</vt:lpwstr>
  </property>
</Properties>
</file>