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A8" w:rsidRDefault="00B86A91" w:rsidP="00346B71">
      <w:pPr>
        <w:pStyle w:val="NoSpacing"/>
        <w:jc w:val="center"/>
        <w:rPr>
          <w:sz w:val="52"/>
          <w:szCs w:val="52"/>
        </w:rPr>
      </w:pPr>
      <w:bookmarkStart w:id="0" w:name="Top"/>
      <w:bookmarkEnd w:id="0"/>
      <w:r>
        <w:rPr>
          <w:sz w:val="52"/>
          <w:szCs w:val="52"/>
        </w:rPr>
        <w:t xml:space="preserve">Basildon &amp; Brentwood </w:t>
      </w:r>
      <w:r w:rsidR="001E5A95" w:rsidRPr="00346B71">
        <w:rPr>
          <w:sz w:val="52"/>
          <w:szCs w:val="52"/>
        </w:rPr>
        <w:t>SRP – Appendix</w:t>
      </w:r>
      <w:r w:rsidR="00B15FA8">
        <w:rPr>
          <w:sz w:val="52"/>
          <w:szCs w:val="52"/>
        </w:rPr>
        <w:t xml:space="preserve"> </w:t>
      </w:r>
    </w:p>
    <w:p w:rsidR="00A73BBB" w:rsidRPr="00B15FA8" w:rsidRDefault="00B15FA8" w:rsidP="00346B71">
      <w:pPr>
        <w:pStyle w:val="NoSpacing"/>
        <w:jc w:val="center"/>
        <w:rPr>
          <w:sz w:val="32"/>
          <w:szCs w:val="32"/>
        </w:rPr>
      </w:pPr>
      <w:r w:rsidRPr="00B15FA8">
        <w:rPr>
          <w:sz w:val="32"/>
          <w:szCs w:val="32"/>
        </w:rPr>
        <w:t xml:space="preserve">(JC FP001 </w:t>
      </w:r>
      <w:r>
        <w:rPr>
          <w:sz w:val="32"/>
          <w:szCs w:val="32"/>
        </w:rPr>
        <w:t>v</w:t>
      </w:r>
      <w:r w:rsidRPr="00B15FA8">
        <w:rPr>
          <w:sz w:val="32"/>
          <w:szCs w:val="32"/>
        </w:rPr>
        <w:t>1.1 May 2019)</w:t>
      </w:r>
    </w:p>
    <w:p w:rsidR="00346B71" w:rsidRPr="00B15FA8" w:rsidRDefault="00346B71" w:rsidP="00346B71">
      <w:pPr>
        <w:pStyle w:val="NoSpacing"/>
        <w:jc w:val="center"/>
        <w:rPr>
          <w:sz w:val="32"/>
          <w:szCs w:val="32"/>
        </w:rPr>
      </w:pPr>
    </w:p>
    <w:p w:rsidR="001E5A95" w:rsidRDefault="001E5A95" w:rsidP="00346B71">
      <w:pPr>
        <w:pStyle w:val="NoSpacing"/>
        <w:rPr>
          <w:szCs w:val="24"/>
        </w:rPr>
      </w:pPr>
    </w:p>
    <w:p w:rsidR="001E5A95" w:rsidRDefault="001E5A95" w:rsidP="00346B71">
      <w:pPr>
        <w:pStyle w:val="NoSpacing"/>
        <w:rPr>
          <w:szCs w:val="24"/>
        </w:rPr>
      </w:pPr>
      <w:r w:rsidRPr="001E5A95">
        <w:rPr>
          <w:szCs w:val="24"/>
        </w:rPr>
        <w:t>Across mid and south Essex for the following procedures* individual CCGs will retain an individual commissioned policy and will not be part of the common Mid &amp; South Essex CCGs</w:t>
      </w:r>
      <w:r w:rsidR="005C4C8F">
        <w:rPr>
          <w:szCs w:val="24"/>
        </w:rPr>
        <w:t>’</w:t>
      </w:r>
      <w:r w:rsidRPr="001E5A95">
        <w:rPr>
          <w:szCs w:val="24"/>
        </w:rPr>
        <w:t xml:space="preserve"> common commissioning policy.</w:t>
      </w:r>
    </w:p>
    <w:p w:rsidR="00346B71" w:rsidRPr="001E5A95" w:rsidRDefault="00346B71" w:rsidP="00346B71">
      <w:pPr>
        <w:pStyle w:val="NoSpacing"/>
        <w:rPr>
          <w:szCs w:val="24"/>
        </w:rPr>
      </w:pPr>
    </w:p>
    <w:p w:rsidR="001E5A95" w:rsidRPr="001E5A95" w:rsidRDefault="001E5A95" w:rsidP="00346B71">
      <w:pPr>
        <w:pStyle w:val="NoSpacing"/>
        <w:rPr>
          <w:szCs w:val="24"/>
        </w:rPr>
      </w:pPr>
      <w:r w:rsidRPr="001E5A95">
        <w:rPr>
          <w:szCs w:val="24"/>
        </w:rPr>
        <w:t>Access criteria for treatments may vary between CCGs and GPs</w:t>
      </w:r>
      <w:r w:rsidR="005C4C8F">
        <w:rPr>
          <w:szCs w:val="24"/>
        </w:rPr>
        <w:t xml:space="preserve"> </w:t>
      </w:r>
      <w:r w:rsidRPr="001E5A95">
        <w:rPr>
          <w:szCs w:val="24"/>
        </w:rPr>
        <w:t>/</w:t>
      </w:r>
      <w:r w:rsidR="005C4C8F">
        <w:rPr>
          <w:szCs w:val="24"/>
        </w:rPr>
        <w:t xml:space="preserve"> </w:t>
      </w:r>
      <w:r w:rsidRPr="001E5A95">
        <w:rPr>
          <w:szCs w:val="24"/>
        </w:rPr>
        <w:t xml:space="preserve">providers must confirm funding arrangements before referral/treatment.  </w:t>
      </w:r>
    </w:p>
    <w:p w:rsidR="005C4C8F" w:rsidRDefault="005C4C8F" w:rsidP="00346B71">
      <w:pPr>
        <w:pStyle w:val="NoSpacing"/>
        <w:rPr>
          <w:szCs w:val="24"/>
        </w:rPr>
      </w:pPr>
    </w:p>
    <w:p w:rsidR="001E5A95" w:rsidRDefault="001E5A95" w:rsidP="00346B71">
      <w:pPr>
        <w:pStyle w:val="NoSpacing"/>
        <w:rPr>
          <w:szCs w:val="24"/>
        </w:rPr>
      </w:pPr>
      <w:r w:rsidRPr="001E5A95">
        <w:rPr>
          <w:szCs w:val="24"/>
        </w:rPr>
        <w:t>At the time of publication these include:</w:t>
      </w:r>
    </w:p>
    <w:p w:rsidR="00346B71" w:rsidRDefault="00346B71" w:rsidP="00346B71">
      <w:pPr>
        <w:pStyle w:val="NoSpacing"/>
        <w:rPr>
          <w:szCs w:val="24"/>
        </w:rPr>
      </w:pPr>
    </w:p>
    <w:p w:rsidR="001E5A95" w:rsidRDefault="00EF7321" w:rsidP="00346B71">
      <w:pPr>
        <w:pStyle w:val="NoSpacing"/>
        <w:rPr>
          <w:szCs w:val="24"/>
        </w:rPr>
      </w:pPr>
      <w:hyperlink w:anchor="AssistedConception" w:history="1">
        <w:r w:rsidR="001E5A95" w:rsidRPr="00346B71">
          <w:rPr>
            <w:rStyle w:val="Hyperlink"/>
            <w:rFonts w:cstheme="minorBidi"/>
            <w:szCs w:val="24"/>
          </w:rPr>
          <w:t>Assisted Conception</w:t>
        </w:r>
      </w:hyperlink>
      <w:r w:rsidR="001E5A95">
        <w:rPr>
          <w:szCs w:val="24"/>
        </w:rPr>
        <w:t xml:space="preserve"> – including IVF/ICS/IUI – specialist fertility services</w:t>
      </w:r>
    </w:p>
    <w:p w:rsidR="001E5A95" w:rsidRPr="00B86A91" w:rsidRDefault="00B86A91" w:rsidP="00346B71">
      <w:pPr>
        <w:pStyle w:val="NoSpacing"/>
        <w:rPr>
          <w:rStyle w:val="Hyperlink"/>
          <w:rFonts w:cstheme="minorBidi"/>
          <w:szCs w:val="24"/>
        </w:rPr>
      </w:pPr>
      <w:r>
        <w:rPr>
          <w:szCs w:val="24"/>
        </w:rPr>
        <w:fldChar w:fldCharType="begin"/>
      </w:r>
      <w:r>
        <w:rPr>
          <w:szCs w:val="24"/>
        </w:rPr>
        <w:instrText xml:space="preserve"> HYPERLINK  \l "BariatricSurgery" </w:instrText>
      </w:r>
      <w:r>
        <w:rPr>
          <w:szCs w:val="24"/>
        </w:rPr>
        <w:fldChar w:fldCharType="separate"/>
      </w:r>
      <w:r w:rsidR="001E5A95" w:rsidRPr="00B86A91">
        <w:rPr>
          <w:rStyle w:val="Hyperlink"/>
          <w:rFonts w:cstheme="minorBidi"/>
          <w:szCs w:val="24"/>
        </w:rPr>
        <w:t>Bariatric Surgery</w:t>
      </w:r>
    </w:p>
    <w:p w:rsidR="001E5A95" w:rsidRPr="004D2690" w:rsidRDefault="00B86A91" w:rsidP="00346B71">
      <w:pPr>
        <w:pStyle w:val="NoSpacing"/>
        <w:rPr>
          <w:rStyle w:val="Hyperlink"/>
          <w:rFonts w:cstheme="minorBidi"/>
          <w:szCs w:val="24"/>
        </w:rPr>
      </w:pPr>
      <w:r>
        <w:rPr>
          <w:szCs w:val="24"/>
        </w:rPr>
        <w:fldChar w:fldCharType="end"/>
      </w:r>
      <w:r w:rsidR="004D2690">
        <w:rPr>
          <w:szCs w:val="24"/>
        </w:rPr>
        <w:fldChar w:fldCharType="begin"/>
      </w:r>
      <w:r w:rsidR="004D2690">
        <w:rPr>
          <w:szCs w:val="24"/>
        </w:rPr>
        <w:instrText xml:space="preserve"> HYPERLINK  \l "BreastAsymmetry" </w:instrText>
      </w:r>
      <w:r w:rsidR="004D2690">
        <w:rPr>
          <w:szCs w:val="24"/>
        </w:rPr>
        <w:fldChar w:fldCharType="separate"/>
      </w:r>
      <w:r w:rsidR="001E5A95" w:rsidRPr="004D2690">
        <w:rPr>
          <w:rStyle w:val="Hyperlink"/>
          <w:rFonts w:cstheme="minorBidi"/>
          <w:szCs w:val="24"/>
        </w:rPr>
        <w:t>Breast Asymmetry</w:t>
      </w:r>
      <w:r w:rsidR="00B15FA8">
        <w:rPr>
          <w:rStyle w:val="Hyperlink"/>
          <w:rFonts w:cstheme="minorBidi"/>
          <w:szCs w:val="24"/>
        </w:rPr>
        <w:t xml:space="preserve"> </w:t>
      </w:r>
    </w:p>
    <w:p w:rsidR="001E5A95" w:rsidRDefault="004D2690" w:rsidP="00346B71">
      <w:pPr>
        <w:pStyle w:val="NoSpacing"/>
        <w:rPr>
          <w:szCs w:val="24"/>
        </w:rPr>
      </w:pPr>
      <w:r>
        <w:rPr>
          <w:szCs w:val="24"/>
        </w:rPr>
        <w:fldChar w:fldCharType="end"/>
      </w:r>
      <w:hyperlink w:anchor="BreastReduction" w:history="1">
        <w:r w:rsidR="001E5A95" w:rsidRPr="00746DB4">
          <w:rPr>
            <w:rStyle w:val="Hyperlink"/>
            <w:rFonts w:cstheme="minorBidi"/>
            <w:szCs w:val="24"/>
          </w:rPr>
          <w:t>Breast Reduction</w:t>
        </w:r>
      </w:hyperlink>
      <w:r w:rsidR="00B15FA8">
        <w:rPr>
          <w:rStyle w:val="Hyperlink"/>
          <w:rFonts w:cstheme="minorBidi"/>
          <w:szCs w:val="24"/>
        </w:rPr>
        <w:t xml:space="preserve"> </w:t>
      </w:r>
      <w:r w:rsidR="00B15FA8" w:rsidRPr="00B15FA8">
        <w:rPr>
          <w:rStyle w:val="Hyperlink"/>
          <w:rFonts w:cstheme="minorBidi"/>
          <w:szCs w:val="24"/>
        </w:rPr>
        <w:t>(</w:t>
      </w:r>
      <w:r w:rsidR="00B15FA8">
        <w:rPr>
          <w:rStyle w:val="Hyperlink"/>
          <w:rFonts w:cstheme="minorBidi"/>
          <w:szCs w:val="24"/>
        </w:rPr>
        <w:t>Criteria c</w:t>
      </w:r>
      <w:r w:rsidR="00B15FA8" w:rsidRPr="00B15FA8">
        <w:rPr>
          <w:rStyle w:val="Hyperlink"/>
          <w:rFonts w:cstheme="minorBidi"/>
          <w:szCs w:val="24"/>
        </w:rPr>
        <w:t>hange from v1.0)</w:t>
      </w:r>
    </w:p>
    <w:p w:rsidR="001E5A95" w:rsidRDefault="00EF7321" w:rsidP="00346B71">
      <w:pPr>
        <w:pStyle w:val="NoSpacing"/>
        <w:rPr>
          <w:szCs w:val="24"/>
        </w:rPr>
      </w:pPr>
      <w:hyperlink w:anchor="FemaleSterilisation" w:history="1">
        <w:r w:rsidR="001E5A95" w:rsidRPr="00FA5747">
          <w:rPr>
            <w:rStyle w:val="Hyperlink"/>
            <w:rFonts w:cstheme="minorBidi"/>
            <w:szCs w:val="24"/>
          </w:rPr>
          <w:t>Female Sterilisation</w:t>
        </w:r>
      </w:hyperlink>
    </w:p>
    <w:p w:rsidR="001E5A95" w:rsidRDefault="00EF7321" w:rsidP="00346B71">
      <w:pPr>
        <w:pStyle w:val="NoSpacing"/>
        <w:rPr>
          <w:szCs w:val="24"/>
        </w:rPr>
      </w:pPr>
      <w:hyperlink w:anchor="Gynaecomastia" w:history="1">
        <w:r w:rsidR="001E5A95" w:rsidRPr="00FA5747">
          <w:rPr>
            <w:rStyle w:val="Hyperlink"/>
            <w:rFonts w:cstheme="minorBidi"/>
            <w:szCs w:val="24"/>
          </w:rPr>
          <w:t>Gynaecomastia</w:t>
        </w:r>
      </w:hyperlink>
      <w:r w:rsidR="00B15FA8">
        <w:rPr>
          <w:rStyle w:val="Hyperlink"/>
          <w:rFonts w:cstheme="minorBidi"/>
          <w:szCs w:val="24"/>
        </w:rPr>
        <w:t xml:space="preserve"> (Change from v1.0 - moved to main policy document)</w:t>
      </w:r>
    </w:p>
    <w:p w:rsidR="001E5A95" w:rsidRDefault="00EF7321" w:rsidP="00346B71">
      <w:pPr>
        <w:pStyle w:val="NoSpacing"/>
        <w:rPr>
          <w:szCs w:val="24"/>
        </w:rPr>
      </w:pPr>
      <w:hyperlink w:anchor="Vasectomies" w:history="1">
        <w:r w:rsidR="001E5A95" w:rsidRPr="00FA5747">
          <w:rPr>
            <w:rStyle w:val="Hyperlink"/>
            <w:rFonts w:cstheme="minorBidi"/>
            <w:szCs w:val="24"/>
          </w:rPr>
          <w:t>Vasectomies</w:t>
        </w:r>
      </w:hyperlink>
    </w:p>
    <w:p w:rsidR="001E5A95" w:rsidRDefault="001E5A95" w:rsidP="00346B71">
      <w:pPr>
        <w:pStyle w:val="NoSpacing"/>
        <w:rPr>
          <w:szCs w:val="24"/>
        </w:rPr>
      </w:pPr>
    </w:p>
    <w:p w:rsidR="001E5A95" w:rsidRPr="001E5A95" w:rsidRDefault="001E5A95" w:rsidP="001E5A95">
      <w:pPr>
        <w:rPr>
          <w:rFonts w:ascii="Arial" w:hAnsi="Arial" w:cs="Arial"/>
          <w:sz w:val="24"/>
          <w:szCs w:val="24"/>
        </w:rPr>
      </w:pPr>
    </w:p>
    <w:p w:rsidR="001E5A95" w:rsidRDefault="001E5A95">
      <w:pPr>
        <w:rPr>
          <w:rFonts w:ascii="Arial" w:hAnsi="Arial" w:cs="Arial"/>
          <w:sz w:val="48"/>
          <w:szCs w:val="48"/>
        </w:rPr>
      </w:pPr>
      <w:r>
        <w:rPr>
          <w:rFonts w:ascii="Arial" w:hAnsi="Arial" w:cs="Arial"/>
          <w:sz w:val="48"/>
          <w:szCs w:val="48"/>
        </w:rPr>
        <w:br w:type="page"/>
      </w:r>
    </w:p>
    <w:p w:rsidR="00346B71" w:rsidRPr="00346B71" w:rsidRDefault="00EF7321"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2"/>
        <w:gridCol w:w="6118"/>
      </w:tblGrid>
      <w:tr w:rsidR="00B86A91" w:rsidRPr="00285FF6" w:rsidTr="003A43C5">
        <w:trPr>
          <w:trHeight w:val="375"/>
        </w:trPr>
        <w:tc>
          <w:tcPr>
            <w:tcW w:w="2959" w:type="dxa"/>
            <w:shd w:val="clear" w:color="auto" w:fill="D7E4FD"/>
            <w:vAlign w:val="center"/>
          </w:tcPr>
          <w:p w:rsidR="00B86A91" w:rsidRPr="00285FF6" w:rsidRDefault="00B86A91"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3" w:type="dxa"/>
            <w:shd w:val="clear" w:color="auto" w:fill="auto"/>
            <w:vAlign w:val="center"/>
          </w:tcPr>
          <w:p w:rsidR="00B86A91" w:rsidRPr="00FA0727" w:rsidRDefault="00B86A91" w:rsidP="003A43C5">
            <w:pPr>
              <w:rPr>
                <w:sz w:val="4"/>
                <w:szCs w:val="4"/>
              </w:rPr>
            </w:pPr>
          </w:p>
          <w:p w:rsidR="00B86A91" w:rsidRPr="00285FF6" w:rsidRDefault="00B86A91" w:rsidP="003A43C5">
            <w:pPr>
              <w:rPr>
                <w:rFonts w:ascii="Arial" w:hAnsi="Arial" w:cs="Arial"/>
                <w:b/>
              </w:rPr>
            </w:pPr>
            <w:bookmarkStart w:id="1" w:name="AssistedConception"/>
            <w:bookmarkEnd w:id="1"/>
            <w:r w:rsidRPr="003F2C23">
              <w:rPr>
                <w:rFonts w:ascii="Arial" w:hAnsi="Arial"/>
                <w:b/>
              </w:rPr>
              <w:t>Assisted Conception Using IVF/ICS</w:t>
            </w:r>
            <w:r>
              <w:rPr>
                <w:rFonts w:ascii="Arial" w:hAnsi="Arial"/>
                <w:b/>
              </w:rPr>
              <w:t>I</w:t>
            </w:r>
            <w:r w:rsidRPr="003F2C23">
              <w:rPr>
                <w:rFonts w:ascii="Arial" w:hAnsi="Arial"/>
                <w:b/>
              </w:rPr>
              <w:t>/IUI for infertility</w:t>
            </w:r>
            <w:r>
              <w:rPr>
                <w:rStyle w:val="Hyperlink"/>
                <w:rFonts w:ascii="Arial" w:hAnsi="Arial"/>
                <w:b/>
              </w:rPr>
              <w:t xml:space="preserve"> </w:t>
            </w:r>
            <w:r w:rsidRPr="003F2C23">
              <w:rPr>
                <w:rStyle w:val="Hyperlink"/>
                <w:rFonts w:ascii="Arial" w:hAnsi="Arial"/>
                <w:b/>
              </w:rPr>
              <w:t>for new referrals (gamete preservation only)</w:t>
            </w:r>
          </w:p>
        </w:tc>
      </w:tr>
      <w:tr w:rsidR="00B86A91" w:rsidRPr="00C419CE" w:rsidTr="003A43C5">
        <w:trPr>
          <w:trHeight w:val="984"/>
        </w:trPr>
        <w:tc>
          <w:tcPr>
            <w:tcW w:w="2959" w:type="dxa"/>
            <w:shd w:val="clear" w:color="auto" w:fill="D7E4FD"/>
            <w:vAlign w:val="center"/>
          </w:tcPr>
          <w:p w:rsidR="00B86A91" w:rsidRPr="00816C92" w:rsidRDefault="00B86A91" w:rsidP="003A43C5">
            <w:pPr>
              <w:rPr>
                <w:rFonts w:ascii="Arial" w:hAnsi="Arial" w:cs="Arial"/>
                <w:b/>
              </w:rPr>
            </w:pPr>
            <w:r w:rsidRPr="00816C92">
              <w:rPr>
                <w:rFonts w:ascii="Arial" w:hAnsi="Arial" w:cs="Arial"/>
                <w:b/>
              </w:rPr>
              <w:t>Status:</w:t>
            </w:r>
          </w:p>
        </w:tc>
        <w:tc>
          <w:tcPr>
            <w:tcW w:w="6283" w:type="dxa"/>
            <w:shd w:val="clear" w:color="auto" w:fill="FF0000"/>
            <w:vAlign w:val="center"/>
          </w:tcPr>
          <w:p w:rsidR="00B86A91" w:rsidRPr="00816C92" w:rsidRDefault="00B86A91" w:rsidP="003A43C5">
            <w:pPr>
              <w:rPr>
                <w:rFonts w:ascii="Arial" w:hAnsi="Arial" w:cs="Arial"/>
                <w:lang w:val="en-US"/>
              </w:rPr>
            </w:pPr>
            <w:r w:rsidRPr="00816C92">
              <w:rPr>
                <w:rFonts w:ascii="Arial" w:hAnsi="Arial" w:cs="Arial"/>
                <w:b/>
              </w:rPr>
              <w:t xml:space="preserve">Individual Prior Approval </w:t>
            </w:r>
            <w:r w:rsidRPr="00816C92">
              <w:rPr>
                <w:rFonts w:ascii="Arial" w:hAnsi="Arial" w:cs="Arial"/>
                <w:shd w:val="clear" w:color="auto" w:fill="FF0000"/>
              </w:rPr>
              <w:t xml:space="preserve">for individual prior approval form </w:t>
            </w:r>
            <w:hyperlink w:anchor="priorapprovalform" w:history="1">
              <w:r w:rsidRPr="00816C92">
                <w:rPr>
                  <w:rStyle w:val="Hyperlink"/>
                  <w:rFonts w:ascii="Arial" w:hAnsi="Arial"/>
                  <w:shd w:val="clear" w:color="auto" w:fill="FF0000"/>
                </w:rPr>
                <w:t>click here</w:t>
              </w:r>
            </w:hyperlink>
            <w:r w:rsidRPr="00816C92">
              <w:rPr>
                <w:rFonts w:ascii="Arial" w:hAnsi="Arial" w:cs="Arial"/>
                <w:b/>
              </w:rPr>
              <w:t xml:space="preserve"> </w:t>
            </w:r>
          </w:p>
        </w:tc>
      </w:tr>
    </w:tbl>
    <w:p w:rsidR="00B86A91" w:rsidRDefault="00B86A91" w:rsidP="00B86A91">
      <w:pPr>
        <w:spacing w:after="0"/>
        <w:rPr>
          <w:rFonts w:ascii="Arial" w:hAnsi="Arial" w:cs="Arial"/>
        </w:rPr>
      </w:pPr>
    </w:p>
    <w:p w:rsidR="00B86A91" w:rsidRDefault="00B86A91" w:rsidP="00B86A91">
      <w:pPr>
        <w:spacing w:after="0"/>
        <w:rPr>
          <w:rFonts w:ascii="Arial" w:hAnsi="Arial" w:cs="Arial"/>
        </w:rPr>
      </w:pPr>
      <w:r>
        <w:rPr>
          <w:rFonts w:ascii="Arial" w:hAnsi="Arial" w:cs="Arial"/>
        </w:rPr>
        <w:t xml:space="preserve">The CCG does not commission specialist assisted conception services IVF, ICSI and IUI for new referrals as of 1 December 2016.  A new referral is one made to specialist fertility services on or after 1 December 2016. </w:t>
      </w:r>
    </w:p>
    <w:p w:rsidR="00B86A91" w:rsidRDefault="00B86A91" w:rsidP="00B86A91">
      <w:pPr>
        <w:spacing w:after="0"/>
        <w:rPr>
          <w:rFonts w:ascii="Arial" w:hAnsi="Arial" w:cs="Arial"/>
        </w:rPr>
      </w:pPr>
    </w:p>
    <w:p w:rsidR="00B86A91" w:rsidRDefault="00B86A91" w:rsidP="00B86A91">
      <w:pPr>
        <w:spacing w:after="0"/>
        <w:rPr>
          <w:rFonts w:ascii="Arial" w:hAnsi="Arial" w:cs="Arial"/>
        </w:rPr>
      </w:pPr>
      <w:r>
        <w:rPr>
          <w:rFonts w:ascii="Arial" w:hAnsi="Arial" w:cs="Arial"/>
        </w:rPr>
        <w:t>The CCG will continue to commission non-specialist investigations and interventions that can be offered by local District General Hospitals as part of a broader gynaecological service. In addition, the CCG will commission gamete preservation for people undergoing medically necessary treatments likely to affect their fertility in the following circumstances:</w:t>
      </w:r>
    </w:p>
    <w:p w:rsidR="00B86A91" w:rsidRDefault="00B86A91" w:rsidP="00B86A91">
      <w:pPr>
        <w:spacing w:after="0"/>
        <w:rPr>
          <w:rFonts w:ascii="Arial" w:hAnsi="Arial" w:cs="Arial"/>
        </w:rPr>
      </w:pPr>
    </w:p>
    <w:p w:rsidR="00B86A91" w:rsidRDefault="00B86A91" w:rsidP="00B86A91">
      <w:pPr>
        <w:spacing w:after="0"/>
        <w:rPr>
          <w:rFonts w:ascii="Arial" w:hAnsi="Arial" w:cs="Arial"/>
        </w:rPr>
      </w:pPr>
      <w:r>
        <w:rPr>
          <w:rFonts w:ascii="Arial" w:hAnsi="Arial" w:cs="Arial"/>
        </w:rPr>
        <w:t>Please note that gamete preservation does not entitle individuals to subsequent assisted conception treatment e.g. IVF.</w:t>
      </w:r>
    </w:p>
    <w:p w:rsidR="00B86A91" w:rsidRDefault="00B86A91" w:rsidP="00B86A91">
      <w:pPr>
        <w:spacing w:after="0"/>
        <w:rPr>
          <w:rFonts w:ascii="Arial" w:hAnsi="Arial" w:cs="Arial"/>
        </w:rPr>
      </w:pPr>
    </w:p>
    <w:tbl>
      <w:tblPr>
        <w:tblStyle w:val="TableGrid"/>
        <w:tblW w:w="9322" w:type="dxa"/>
        <w:tblLayout w:type="fixed"/>
        <w:tblLook w:val="04A0" w:firstRow="1" w:lastRow="0" w:firstColumn="1" w:lastColumn="0" w:noHBand="0" w:noVBand="1"/>
      </w:tblPr>
      <w:tblGrid>
        <w:gridCol w:w="1730"/>
        <w:gridCol w:w="7592"/>
      </w:tblGrid>
      <w:tr w:rsidR="00B86A91" w:rsidRPr="00D064FA" w:rsidTr="003A43C5">
        <w:trPr>
          <w:trHeight w:val="695"/>
        </w:trPr>
        <w:tc>
          <w:tcPr>
            <w:tcW w:w="1730" w:type="dxa"/>
          </w:tcPr>
          <w:p w:rsidR="00B86A91" w:rsidRPr="00D064FA" w:rsidRDefault="00B86A91" w:rsidP="003A43C5">
            <w:pPr>
              <w:rPr>
                <w:rFonts w:ascii="Arial" w:hAnsi="Arial" w:cs="Arial"/>
              </w:rPr>
            </w:pPr>
            <w:r>
              <w:rPr>
                <w:rFonts w:ascii="Arial" w:hAnsi="Arial" w:cs="Arial"/>
              </w:rPr>
              <w:t>Treatment / Procedure</w:t>
            </w:r>
          </w:p>
        </w:tc>
        <w:tc>
          <w:tcPr>
            <w:tcW w:w="7592" w:type="dxa"/>
          </w:tcPr>
          <w:p w:rsidR="00B86A91" w:rsidRPr="003F2C23" w:rsidRDefault="00B86A91" w:rsidP="003A43C5">
            <w:pPr>
              <w:pStyle w:val="Default"/>
              <w:rPr>
                <w:sz w:val="22"/>
                <w:szCs w:val="22"/>
              </w:rPr>
            </w:pPr>
            <w:r w:rsidRPr="003F2C23">
              <w:rPr>
                <w:sz w:val="22"/>
                <w:szCs w:val="22"/>
              </w:rPr>
              <w:t>Criteria</w:t>
            </w:r>
          </w:p>
        </w:tc>
      </w:tr>
      <w:tr w:rsidR="00B86A91" w:rsidRPr="00D064FA" w:rsidTr="003A43C5">
        <w:trPr>
          <w:trHeight w:val="414"/>
        </w:trPr>
        <w:tc>
          <w:tcPr>
            <w:tcW w:w="1730" w:type="dxa"/>
          </w:tcPr>
          <w:p w:rsidR="00B86A91" w:rsidRPr="00D064FA" w:rsidRDefault="00B86A91" w:rsidP="003A43C5">
            <w:pPr>
              <w:rPr>
                <w:rFonts w:ascii="Arial" w:hAnsi="Arial" w:cs="Arial"/>
              </w:rPr>
            </w:pPr>
            <w:r>
              <w:rPr>
                <w:rFonts w:ascii="Arial" w:hAnsi="Arial" w:cs="Arial"/>
              </w:rPr>
              <w:t>Oocyte</w:t>
            </w:r>
            <w:r w:rsidRPr="00D064FA">
              <w:rPr>
                <w:rFonts w:ascii="Arial" w:hAnsi="Arial" w:cs="Arial"/>
              </w:rPr>
              <w:t xml:space="preserve"> harvesting and storage for patients undergoing </w:t>
            </w:r>
            <w:r>
              <w:rPr>
                <w:rFonts w:ascii="Arial" w:hAnsi="Arial" w:cs="Arial"/>
              </w:rPr>
              <w:t xml:space="preserve">medically necessary </w:t>
            </w:r>
            <w:r w:rsidRPr="00D064FA">
              <w:rPr>
                <w:rFonts w:ascii="Arial" w:hAnsi="Arial" w:cs="Arial"/>
              </w:rPr>
              <w:t>treatments likely to affect their fertility</w:t>
            </w:r>
          </w:p>
          <w:p w:rsidR="00B86A91" w:rsidRPr="00D064FA" w:rsidRDefault="00B86A91" w:rsidP="003A43C5">
            <w:pPr>
              <w:ind w:firstLine="360"/>
              <w:rPr>
                <w:rFonts w:ascii="Arial" w:hAnsi="Arial" w:cs="Arial"/>
              </w:rPr>
            </w:pPr>
          </w:p>
          <w:p w:rsidR="00B86A91" w:rsidRPr="00D064FA" w:rsidRDefault="00B86A91" w:rsidP="003A43C5">
            <w:pPr>
              <w:ind w:firstLine="360"/>
              <w:rPr>
                <w:rFonts w:ascii="Arial" w:hAnsi="Arial" w:cs="Arial"/>
              </w:rPr>
            </w:pPr>
          </w:p>
          <w:p w:rsidR="00B86A91" w:rsidRPr="00D064FA" w:rsidRDefault="00B86A91" w:rsidP="003A43C5">
            <w:pPr>
              <w:ind w:firstLine="360"/>
              <w:rPr>
                <w:rFonts w:ascii="Arial" w:hAnsi="Arial" w:cs="Arial"/>
              </w:rPr>
            </w:pPr>
          </w:p>
        </w:tc>
        <w:tc>
          <w:tcPr>
            <w:tcW w:w="7592" w:type="dxa"/>
          </w:tcPr>
          <w:p w:rsidR="00B86A91" w:rsidRPr="003F2C23" w:rsidRDefault="00B86A91" w:rsidP="003A43C5">
            <w:pPr>
              <w:pStyle w:val="Default"/>
              <w:rPr>
                <w:sz w:val="22"/>
                <w:szCs w:val="22"/>
              </w:rPr>
            </w:pPr>
            <w:r w:rsidRPr="003F2C23">
              <w:rPr>
                <w:sz w:val="22"/>
                <w:szCs w:val="22"/>
              </w:rPr>
              <w:t>The CCG will fund the harvesting and storage of oocytes that for those undergoing treatment for cancer and other medical conditions that affect their reproductive functions using the following criteria.</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The CCG will fund the harvesting of oocytes up to the day before the patient’s 43</w:t>
            </w:r>
            <w:r w:rsidRPr="003F2C23">
              <w:rPr>
                <w:sz w:val="22"/>
                <w:szCs w:val="22"/>
                <w:vertAlign w:val="superscript"/>
              </w:rPr>
              <w:t>rd</w:t>
            </w:r>
            <w:r w:rsidRPr="003F2C23">
              <w:rPr>
                <w:sz w:val="22"/>
                <w:szCs w:val="22"/>
              </w:rPr>
              <w:t xml:space="preserve"> birthday.</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The CCG will fund the storage:</w:t>
            </w:r>
          </w:p>
          <w:p w:rsidR="00B86A91" w:rsidRPr="003F2C23" w:rsidRDefault="00B86A91" w:rsidP="003A43C5">
            <w:pPr>
              <w:pStyle w:val="Default"/>
              <w:rPr>
                <w:sz w:val="22"/>
                <w:szCs w:val="22"/>
              </w:rPr>
            </w:pPr>
          </w:p>
          <w:p w:rsidR="00B86A91" w:rsidRPr="003F2C23" w:rsidRDefault="00B86A91" w:rsidP="00B86A91">
            <w:pPr>
              <w:pStyle w:val="Default"/>
              <w:numPr>
                <w:ilvl w:val="0"/>
                <w:numId w:val="5"/>
              </w:numPr>
              <w:rPr>
                <w:sz w:val="22"/>
                <w:szCs w:val="22"/>
              </w:rPr>
            </w:pPr>
            <w:r w:rsidRPr="003F2C23">
              <w:rPr>
                <w:sz w:val="22"/>
                <w:szCs w:val="22"/>
              </w:rPr>
              <w:t>until the age of 25 if harvested before her 20</w:t>
            </w:r>
            <w:r w:rsidRPr="003F2C23">
              <w:rPr>
                <w:sz w:val="22"/>
                <w:szCs w:val="22"/>
                <w:vertAlign w:val="superscript"/>
              </w:rPr>
              <w:t>th</w:t>
            </w:r>
            <w:r w:rsidRPr="003F2C23">
              <w:rPr>
                <w:sz w:val="22"/>
                <w:szCs w:val="22"/>
              </w:rPr>
              <w:t xml:space="preserve"> birthday</w:t>
            </w:r>
          </w:p>
          <w:p w:rsidR="00B86A91" w:rsidRPr="003F2C23" w:rsidRDefault="00B86A91" w:rsidP="00B86A91">
            <w:pPr>
              <w:pStyle w:val="Default"/>
              <w:numPr>
                <w:ilvl w:val="0"/>
                <w:numId w:val="5"/>
              </w:numPr>
              <w:rPr>
                <w:sz w:val="22"/>
                <w:szCs w:val="22"/>
              </w:rPr>
            </w:pPr>
            <w:r w:rsidRPr="003F2C23">
              <w:rPr>
                <w:sz w:val="22"/>
                <w:szCs w:val="22"/>
              </w:rPr>
              <w:t>for 5 years if harvested between her 20</w:t>
            </w:r>
            <w:r w:rsidRPr="003F2C23">
              <w:rPr>
                <w:sz w:val="22"/>
                <w:szCs w:val="22"/>
                <w:vertAlign w:val="superscript"/>
              </w:rPr>
              <w:t>th</w:t>
            </w:r>
            <w:r w:rsidRPr="003F2C23">
              <w:rPr>
                <w:sz w:val="22"/>
                <w:szCs w:val="22"/>
              </w:rPr>
              <w:t xml:space="preserve"> and 38</w:t>
            </w:r>
            <w:r w:rsidRPr="003F2C23">
              <w:rPr>
                <w:sz w:val="22"/>
                <w:szCs w:val="22"/>
                <w:vertAlign w:val="superscript"/>
              </w:rPr>
              <w:t>th</w:t>
            </w:r>
            <w:r w:rsidRPr="003F2C23">
              <w:rPr>
                <w:sz w:val="22"/>
                <w:szCs w:val="22"/>
              </w:rPr>
              <w:t xml:space="preserve"> birthday</w:t>
            </w:r>
          </w:p>
          <w:p w:rsidR="00B86A91" w:rsidRPr="003F2C23" w:rsidRDefault="00B86A91" w:rsidP="00B86A91">
            <w:pPr>
              <w:pStyle w:val="Default"/>
              <w:numPr>
                <w:ilvl w:val="0"/>
                <w:numId w:val="5"/>
              </w:numPr>
              <w:rPr>
                <w:sz w:val="22"/>
                <w:szCs w:val="22"/>
              </w:rPr>
            </w:pPr>
            <w:r w:rsidRPr="003F2C23">
              <w:rPr>
                <w:sz w:val="22"/>
                <w:szCs w:val="22"/>
              </w:rPr>
              <w:t>until her 43</w:t>
            </w:r>
            <w:r w:rsidRPr="003F2C23">
              <w:rPr>
                <w:sz w:val="22"/>
                <w:szCs w:val="22"/>
                <w:vertAlign w:val="superscript"/>
              </w:rPr>
              <w:t>rd</w:t>
            </w:r>
            <w:r w:rsidRPr="003F2C23">
              <w:rPr>
                <w:sz w:val="22"/>
                <w:szCs w:val="22"/>
              </w:rPr>
              <w:t xml:space="preserve"> birthday if harvested after the age of 38</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If the patient dies whilst their oocytes are in storage the CCG will no longer fund the storage 3 months from the person dying.</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 xml:space="preserve">Patients can choose to fund storage themselves beyond the NHS funded period.  </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Any further costs e.g. for the use of oocytes in fertility treatment or transport to another clinic etc would need to be met by the patient.</w:t>
            </w:r>
          </w:p>
          <w:p w:rsidR="00B86A91" w:rsidRPr="003F2C23" w:rsidRDefault="00B86A91" w:rsidP="003A43C5">
            <w:pPr>
              <w:pStyle w:val="Default"/>
              <w:rPr>
                <w:sz w:val="22"/>
                <w:szCs w:val="22"/>
              </w:rPr>
            </w:pPr>
          </w:p>
        </w:tc>
      </w:tr>
      <w:tr w:rsidR="00B86A91" w:rsidRPr="00D064FA" w:rsidTr="003A43C5">
        <w:trPr>
          <w:trHeight w:val="414"/>
        </w:trPr>
        <w:tc>
          <w:tcPr>
            <w:tcW w:w="1730" w:type="dxa"/>
          </w:tcPr>
          <w:p w:rsidR="00B86A91" w:rsidRPr="00D064FA" w:rsidRDefault="00B86A91" w:rsidP="003A43C5">
            <w:pPr>
              <w:rPr>
                <w:rFonts w:ascii="Arial" w:hAnsi="Arial" w:cs="Arial"/>
              </w:rPr>
            </w:pPr>
            <w:r w:rsidRPr="00D064FA">
              <w:rPr>
                <w:rFonts w:ascii="Arial" w:hAnsi="Arial" w:cs="Arial"/>
              </w:rPr>
              <w:t xml:space="preserve">Sperm collection and storage for patients undergoing </w:t>
            </w:r>
            <w:r>
              <w:rPr>
                <w:rFonts w:ascii="Arial" w:hAnsi="Arial" w:cs="Arial"/>
              </w:rPr>
              <w:t xml:space="preserve">medically necessary </w:t>
            </w:r>
            <w:r w:rsidRPr="00D064FA">
              <w:rPr>
                <w:rFonts w:ascii="Arial" w:hAnsi="Arial" w:cs="Arial"/>
              </w:rPr>
              <w:t>treatments likely to affect their fertility</w:t>
            </w:r>
          </w:p>
          <w:p w:rsidR="00B86A91" w:rsidRPr="00D064FA" w:rsidRDefault="00B86A91" w:rsidP="003A43C5">
            <w:pPr>
              <w:ind w:firstLine="360"/>
              <w:rPr>
                <w:rFonts w:ascii="Arial" w:hAnsi="Arial" w:cs="Arial"/>
              </w:rPr>
            </w:pPr>
          </w:p>
        </w:tc>
        <w:tc>
          <w:tcPr>
            <w:tcW w:w="7592" w:type="dxa"/>
          </w:tcPr>
          <w:p w:rsidR="00B86A91" w:rsidRPr="003F2C23" w:rsidRDefault="00B86A91" w:rsidP="003A43C5">
            <w:pPr>
              <w:pStyle w:val="Default"/>
              <w:rPr>
                <w:sz w:val="22"/>
                <w:szCs w:val="22"/>
              </w:rPr>
            </w:pPr>
            <w:r w:rsidRPr="003F2C23">
              <w:rPr>
                <w:sz w:val="22"/>
                <w:szCs w:val="22"/>
              </w:rPr>
              <w:t>The CCG will fund the collecting and storage of sperm that for those undergoing treatment for cancer and other medical conditions that affect their reproductive functions using the following criteria.</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The CCG will fund the collecting of sperm up to the day before the patient’s 43</w:t>
            </w:r>
            <w:r w:rsidRPr="003F2C23">
              <w:rPr>
                <w:sz w:val="22"/>
                <w:szCs w:val="22"/>
                <w:vertAlign w:val="superscript"/>
              </w:rPr>
              <w:t>rd</w:t>
            </w:r>
            <w:r w:rsidRPr="003F2C23">
              <w:rPr>
                <w:sz w:val="22"/>
                <w:szCs w:val="22"/>
              </w:rPr>
              <w:t xml:space="preserve"> birthday.</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The CCG</w:t>
            </w:r>
            <w:r>
              <w:rPr>
                <w:sz w:val="22"/>
                <w:szCs w:val="22"/>
              </w:rPr>
              <w:t xml:space="preserve"> will</w:t>
            </w:r>
            <w:r w:rsidRPr="003F2C23">
              <w:rPr>
                <w:sz w:val="22"/>
                <w:szCs w:val="22"/>
              </w:rPr>
              <w:t xml:space="preserve"> fund storage of sperm that have been frozen already for those undergoing treatment for cancer and other medical conditions that affect their reproductive functions.</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The CCG will fund the storage:</w:t>
            </w:r>
          </w:p>
          <w:p w:rsidR="00B86A91" w:rsidRPr="003F2C23" w:rsidRDefault="00B86A91" w:rsidP="003A43C5">
            <w:pPr>
              <w:pStyle w:val="Default"/>
              <w:rPr>
                <w:sz w:val="22"/>
                <w:szCs w:val="22"/>
              </w:rPr>
            </w:pPr>
          </w:p>
          <w:p w:rsidR="00B86A91" w:rsidRPr="003F2C23" w:rsidRDefault="00B86A91" w:rsidP="00B86A91">
            <w:pPr>
              <w:pStyle w:val="Default"/>
              <w:numPr>
                <w:ilvl w:val="0"/>
                <w:numId w:val="5"/>
              </w:numPr>
              <w:rPr>
                <w:sz w:val="22"/>
                <w:szCs w:val="22"/>
              </w:rPr>
            </w:pPr>
            <w:r w:rsidRPr="003F2C23">
              <w:rPr>
                <w:sz w:val="22"/>
                <w:szCs w:val="22"/>
              </w:rPr>
              <w:t>until the age of 25 if harvested before his 20</w:t>
            </w:r>
            <w:r w:rsidRPr="003F2C23">
              <w:rPr>
                <w:sz w:val="22"/>
                <w:szCs w:val="22"/>
                <w:vertAlign w:val="superscript"/>
              </w:rPr>
              <w:t>th</w:t>
            </w:r>
            <w:r w:rsidRPr="003F2C23">
              <w:rPr>
                <w:sz w:val="22"/>
                <w:szCs w:val="22"/>
              </w:rPr>
              <w:t xml:space="preserve"> birthday</w:t>
            </w:r>
          </w:p>
          <w:p w:rsidR="00B86A91" w:rsidRPr="003F2C23" w:rsidRDefault="00B86A91" w:rsidP="00B86A91">
            <w:pPr>
              <w:pStyle w:val="Default"/>
              <w:numPr>
                <w:ilvl w:val="0"/>
                <w:numId w:val="5"/>
              </w:numPr>
              <w:rPr>
                <w:sz w:val="22"/>
                <w:szCs w:val="22"/>
              </w:rPr>
            </w:pPr>
            <w:r w:rsidRPr="003F2C23">
              <w:rPr>
                <w:sz w:val="22"/>
                <w:szCs w:val="22"/>
              </w:rPr>
              <w:t>for 5 years if harvested between his 20</w:t>
            </w:r>
            <w:r w:rsidRPr="003F2C23">
              <w:rPr>
                <w:sz w:val="22"/>
                <w:szCs w:val="22"/>
                <w:vertAlign w:val="superscript"/>
              </w:rPr>
              <w:t>th</w:t>
            </w:r>
            <w:r w:rsidRPr="003F2C23">
              <w:rPr>
                <w:sz w:val="22"/>
                <w:szCs w:val="22"/>
              </w:rPr>
              <w:t xml:space="preserve"> and 38</w:t>
            </w:r>
            <w:r w:rsidRPr="003F2C23">
              <w:rPr>
                <w:sz w:val="22"/>
                <w:szCs w:val="22"/>
                <w:vertAlign w:val="superscript"/>
              </w:rPr>
              <w:t>th</w:t>
            </w:r>
            <w:r w:rsidRPr="003F2C23">
              <w:rPr>
                <w:sz w:val="22"/>
                <w:szCs w:val="22"/>
              </w:rPr>
              <w:t xml:space="preserve"> birthday</w:t>
            </w:r>
          </w:p>
          <w:p w:rsidR="00B86A91" w:rsidRPr="003F2C23" w:rsidRDefault="00B86A91" w:rsidP="00B86A91">
            <w:pPr>
              <w:pStyle w:val="Default"/>
              <w:numPr>
                <w:ilvl w:val="0"/>
                <w:numId w:val="5"/>
              </w:numPr>
              <w:rPr>
                <w:sz w:val="22"/>
                <w:szCs w:val="22"/>
              </w:rPr>
            </w:pPr>
            <w:r w:rsidRPr="003F2C23">
              <w:rPr>
                <w:sz w:val="22"/>
                <w:szCs w:val="22"/>
              </w:rPr>
              <w:t>until his 43</w:t>
            </w:r>
            <w:r w:rsidRPr="003F2C23">
              <w:rPr>
                <w:sz w:val="22"/>
                <w:szCs w:val="22"/>
                <w:vertAlign w:val="superscript"/>
              </w:rPr>
              <w:t>rd</w:t>
            </w:r>
            <w:r w:rsidRPr="003F2C23">
              <w:rPr>
                <w:sz w:val="22"/>
                <w:szCs w:val="22"/>
              </w:rPr>
              <w:t xml:space="preserve"> birthday if harvested after the age of 38</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If the patient dies whilst their sperm are in storage the CCG will no longer fund the storage commencing 3 months from the person dying.</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Patients can choose to fund storage themselves beyond the NHS funded period.</w:t>
            </w:r>
          </w:p>
          <w:p w:rsidR="00B86A91" w:rsidRPr="003F2C23" w:rsidRDefault="00B86A91" w:rsidP="003A43C5">
            <w:pPr>
              <w:pStyle w:val="Default"/>
              <w:rPr>
                <w:sz w:val="22"/>
                <w:szCs w:val="22"/>
              </w:rPr>
            </w:pPr>
          </w:p>
          <w:p w:rsidR="00B86A91" w:rsidRPr="003F2C23" w:rsidRDefault="00B86A91" w:rsidP="003A43C5">
            <w:pPr>
              <w:pStyle w:val="Default"/>
              <w:rPr>
                <w:sz w:val="22"/>
                <w:szCs w:val="22"/>
              </w:rPr>
            </w:pPr>
            <w:r w:rsidRPr="003F2C23">
              <w:rPr>
                <w:sz w:val="22"/>
                <w:szCs w:val="22"/>
              </w:rPr>
              <w:t>Any further costs e.g. for the use of oocytes in fertility treatment or transport to another clinic etc would need to be met by the patient.</w:t>
            </w:r>
          </w:p>
          <w:p w:rsidR="00B86A91" w:rsidRPr="003F2C23" w:rsidRDefault="00B86A91" w:rsidP="003A43C5">
            <w:pPr>
              <w:pStyle w:val="Default"/>
              <w:rPr>
                <w:sz w:val="22"/>
                <w:szCs w:val="22"/>
              </w:rPr>
            </w:pPr>
          </w:p>
        </w:tc>
      </w:tr>
    </w:tbl>
    <w:p w:rsidR="00B86A91" w:rsidRDefault="00B86A91" w:rsidP="00B86A91">
      <w:pPr>
        <w:spacing w:after="0"/>
        <w:rPr>
          <w:rFonts w:ascii="Arial" w:hAnsi="Arial" w:cs="Arial"/>
        </w:rPr>
      </w:pPr>
    </w:p>
    <w:p w:rsidR="00B86A91" w:rsidRDefault="00B86A91" w:rsidP="00B86A91">
      <w:pPr>
        <w:spacing w:after="0"/>
        <w:rPr>
          <w:rFonts w:ascii="Arial" w:hAnsi="Arial" w:cs="Arial"/>
        </w:rPr>
      </w:pPr>
    </w:p>
    <w:p w:rsidR="00B86A91" w:rsidRDefault="00B86A91" w:rsidP="00B86A91">
      <w:pPr>
        <w:spacing w:after="0"/>
        <w:rPr>
          <w:rFonts w:ascii="Arial" w:hAnsi="Arial" w:cs="Arial"/>
        </w:rPr>
      </w:pPr>
    </w:p>
    <w:tbl>
      <w:tblPr>
        <w:tblW w:w="9322"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747"/>
        <w:gridCol w:w="6575"/>
      </w:tblGrid>
      <w:tr w:rsidR="00B86A91" w:rsidRPr="00285FF6" w:rsidTr="003A43C5">
        <w:trPr>
          <w:trHeight w:val="386"/>
        </w:trPr>
        <w:tc>
          <w:tcPr>
            <w:tcW w:w="2747" w:type="dxa"/>
            <w:shd w:val="clear" w:color="auto" w:fill="D7E4FD"/>
            <w:vAlign w:val="center"/>
          </w:tcPr>
          <w:p w:rsidR="00B86A91" w:rsidRPr="00285FF6" w:rsidRDefault="00B86A91"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575" w:type="dxa"/>
            <w:shd w:val="clear" w:color="auto" w:fill="auto"/>
            <w:vAlign w:val="center"/>
          </w:tcPr>
          <w:p w:rsidR="00B86A91" w:rsidRPr="003F2C23" w:rsidRDefault="00B86A91" w:rsidP="003A43C5">
            <w:pPr>
              <w:rPr>
                <w:rFonts w:ascii="Arial" w:hAnsi="Arial" w:cs="Arial"/>
                <w:b/>
              </w:rPr>
            </w:pPr>
            <w:r w:rsidRPr="003F2C23">
              <w:rPr>
                <w:rFonts w:ascii="Arial" w:hAnsi="Arial"/>
                <w:b/>
              </w:rPr>
              <w:t>Assisted conception using IVF/ICS</w:t>
            </w:r>
            <w:r>
              <w:rPr>
                <w:rFonts w:ascii="Arial" w:hAnsi="Arial"/>
                <w:b/>
              </w:rPr>
              <w:t>I</w:t>
            </w:r>
            <w:r w:rsidRPr="003F2C23">
              <w:rPr>
                <w:rFonts w:ascii="Arial" w:hAnsi="Arial"/>
                <w:b/>
              </w:rPr>
              <w:t>/IUI for infertility</w:t>
            </w:r>
            <w:r w:rsidRPr="003F2C23">
              <w:rPr>
                <w:rStyle w:val="Hyperlink"/>
                <w:rFonts w:ascii="Arial" w:hAnsi="Arial"/>
                <w:b/>
              </w:rPr>
              <w:t xml:space="preserve"> for existing referrals</w:t>
            </w:r>
          </w:p>
        </w:tc>
      </w:tr>
      <w:tr w:rsidR="00B86A91" w:rsidRPr="00C419CE" w:rsidTr="003A43C5">
        <w:trPr>
          <w:trHeight w:val="417"/>
        </w:trPr>
        <w:tc>
          <w:tcPr>
            <w:tcW w:w="2747" w:type="dxa"/>
            <w:shd w:val="clear" w:color="auto" w:fill="D7E4FD"/>
            <w:vAlign w:val="center"/>
          </w:tcPr>
          <w:p w:rsidR="00B86A91" w:rsidRPr="00C419CE" w:rsidRDefault="00B86A91" w:rsidP="003A43C5">
            <w:pPr>
              <w:rPr>
                <w:rFonts w:ascii="Arial" w:hAnsi="Arial" w:cs="Arial"/>
                <w:b/>
              </w:rPr>
            </w:pPr>
            <w:r w:rsidRPr="00C419CE">
              <w:rPr>
                <w:rFonts w:ascii="Arial" w:hAnsi="Arial" w:cs="Arial"/>
                <w:b/>
              </w:rPr>
              <w:t>Status:</w:t>
            </w:r>
          </w:p>
        </w:tc>
        <w:tc>
          <w:tcPr>
            <w:tcW w:w="6575" w:type="dxa"/>
            <w:shd w:val="clear" w:color="auto" w:fill="92D050"/>
            <w:vAlign w:val="center"/>
          </w:tcPr>
          <w:p w:rsidR="00B86A91" w:rsidRPr="00A12AFB" w:rsidRDefault="00B86A91" w:rsidP="003A43C5">
            <w:pPr>
              <w:rPr>
                <w:rFonts w:ascii="Arial" w:hAnsi="Arial"/>
                <w:b/>
                <w:color w:val="FFFFFF" w:themeColor="background1"/>
              </w:rPr>
            </w:pPr>
            <w:r w:rsidRPr="00A12AFB">
              <w:rPr>
                <w:rFonts w:ascii="Arial" w:hAnsi="Arial"/>
                <w:b/>
              </w:rPr>
              <w:t>Threshold</w:t>
            </w:r>
          </w:p>
        </w:tc>
      </w:tr>
    </w:tbl>
    <w:p w:rsidR="00B86A91" w:rsidRDefault="00B86A91" w:rsidP="00B86A91">
      <w:pPr>
        <w:spacing w:after="0"/>
        <w:rPr>
          <w:rFonts w:ascii="Arial" w:hAnsi="Arial" w:cs="Arial"/>
        </w:rPr>
      </w:pPr>
    </w:p>
    <w:p w:rsidR="00B86A91" w:rsidRPr="00A12AFB" w:rsidRDefault="00B86A91" w:rsidP="00B86A91">
      <w:pPr>
        <w:shd w:val="clear" w:color="auto" w:fill="FFFFFF"/>
        <w:spacing w:before="225" w:after="225" w:line="240" w:lineRule="auto"/>
        <w:rPr>
          <w:rFonts w:ascii="Arial" w:eastAsia="Times New Roman" w:hAnsi="Arial" w:cs="Arial"/>
          <w:lang w:eastAsia="en-GB"/>
        </w:rPr>
      </w:pPr>
      <w:r w:rsidRPr="00A12AFB">
        <w:rPr>
          <w:rFonts w:ascii="Arial" w:eastAsia="Times New Roman" w:hAnsi="Arial" w:cs="Arial"/>
          <w:lang w:eastAsia="en-GB"/>
        </w:rPr>
        <w:t>A person undergoing existing treatment is defined as someone for whom a referral to specialist fertility ser</w:t>
      </w:r>
      <w:r>
        <w:rPr>
          <w:rFonts w:ascii="Arial" w:eastAsia="Times New Roman" w:hAnsi="Arial" w:cs="Arial"/>
          <w:lang w:eastAsia="en-GB"/>
        </w:rPr>
        <w:t>vices was made on or before 30</w:t>
      </w:r>
      <w:r w:rsidRPr="00A12AFB">
        <w:rPr>
          <w:rFonts w:ascii="Arial" w:eastAsia="Times New Roman" w:hAnsi="Arial" w:cs="Arial"/>
          <w:lang w:eastAsia="en-GB"/>
        </w:rPr>
        <w:t xml:space="preserve"> Novemb</w:t>
      </w:r>
      <w:r>
        <w:rPr>
          <w:rFonts w:ascii="Arial" w:eastAsia="Times New Roman" w:hAnsi="Arial" w:cs="Arial"/>
          <w:lang w:eastAsia="en-GB"/>
        </w:rPr>
        <w:t>er 2016.</w:t>
      </w:r>
      <w:r>
        <w:rPr>
          <w:rFonts w:ascii="Arial" w:eastAsia="Times New Roman" w:hAnsi="Arial" w:cs="Arial"/>
          <w:lang w:eastAsia="en-GB"/>
        </w:rPr>
        <w:br/>
        <w:t>Implementation date: 1</w:t>
      </w:r>
      <w:r w:rsidRPr="00A12AFB">
        <w:rPr>
          <w:rFonts w:ascii="Arial" w:eastAsia="Times New Roman" w:hAnsi="Arial" w:cs="Arial"/>
          <w:lang w:eastAsia="en-GB"/>
        </w:rPr>
        <w:t xml:space="preserve"> December 2016</w:t>
      </w:r>
    </w:p>
    <w:p w:rsidR="00B86A91" w:rsidRPr="00A12AFB" w:rsidRDefault="00B86A91" w:rsidP="00B86A91">
      <w:pPr>
        <w:shd w:val="clear" w:color="auto" w:fill="FFFFFF"/>
        <w:spacing w:before="225" w:after="225" w:line="240" w:lineRule="auto"/>
        <w:rPr>
          <w:rFonts w:ascii="Arial" w:eastAsia="Times New Roman" w:hAnsi="Arial" w:cs="Arial"/>
          <w:lang w:eastAsia="en-GB"/>
        </w:rPr>
      </w:pPr>
      <w:r w:rsidRPr="00A12AFB">
        <w:rPr>
          <w:rFonts w:ascii="Arial" w:eastAsia="Times New Roman" w:hAnsi="Arial" w:cs="Arial"/>
          <w:lang w:eastAsia="en-GB"/>
        </w:rPr>
        <w:t xml:space="preserve">NICE defines a full cycle of IVF as one in which one or two embryos produced from eggs collected after ovarian stimulation are replaced into the womb as fresh embryos (where possible), with any remaining good quality embryos frozen for use later. </w:t>
      </w:r>
      <w:r>
        <w:rPr>
          <w:rFonts w:ascii="Arial" w:eastAsia="Times New Roman" w:hAnsi="Arial" w:cs="Arial"/>
          <w:lang w:eastAsia="en-GB"/>
        </w:rPr>
        <w:t xml:space="preserve"> </w:t>
      </w:r>
      <w:r w:rsidRPr="00A12AFB">
        <w:rPr>
          <w:rFonts w:ascii="Arial" w:eastAsia="Times New Roman" w:hAnsi="Arial" w:cs="Arial"/>
          <w:lang w:eastAsia="en-GB"/>
        </w:rPr>
        <w:t>When these frozen embryos are used later, this is still considered to be part of the same cycle.</w:t>
      </w:r>
    </w:p>
    <w:p w:rsidR="00B86A91" w:rsidRDefault="00B86A91" w:rsidP="00B86A91">
      <w:pPr>
        <w:shd w:val="clear" w:color="auto" w:fill="FFFFFF"/>
        <w:spacing w:before="225" w:after="225" w:line="240" w:lineRule="auto"/>
        <w:rPr>
          <w:rFonts w:ascii="Arial" w:eastAsia="Times New Roman" w:hAnsi="Arial" w:cs="Arial"/>
          <w:lang w:eastAsia="en-GB"/>
        </w:rPr>
      </w:pPr>
      <w:r w:rsidRPr="00A12AFB">
        <w:rPr>
          <w:rFonts w:ascii="Arial" w:eastAsia="Times New Roman" w:hAnsi="Arial" w:cs="Arial"/>
          <w:lang w:eastAsia="en-GB"/>
        </w:rPr>
        <w:t xml:space="preserve">The CCG </w:t>
      </w:r>
      <w:r>
        <w:rPr>
          <w:rFonts w:ascii="Arial" w:eastAsia="Times New Roman" w:hAnsi="Arial" w:cs="Arial"/>
          <w:lang w:eastAsia="en-GB"/>
        </w:rPr>
        <w:t xml:space="preserve">defines </w:t>
      </w:r>
      <w:r w:rsidRPr="00A12AFB">
        <w:rPr>
          <w:rFonts w:ascii="Arial" w:eastAsia="Times New Roman" w:hAnsi="Arial" w:cs="Arial"/>
          <w:lang w:eastAsia="en-GB"/>
        </w:rPr>
        <w:t>a cycle as a maximum of one fresh and one frozen transfer.</w:t>
      </w:r>
    </w:p>
    <w:p w:rsidR="00B86A91" w:rsidRDefault="00B86A91" w:rsidP="00B86A91">
      <w:pPr>
        <w:spacing w:after="0"/>
        <w:rPr>
          <w:rFonts w:ascii="Arial" w:eastAsia="Times New Roman" w:hAnsi="Arial" w:cs="Arial"/>
          <w:lang w:eastAsia="en-GB"/>
        </w:rPr>
      </w:pPr>
      <w:r w:rsidRPr="00A12AFB">
        <w:rPr>
          <w:rFonts w:ascii="Arial" w:eastAsia="Times New Roman" w:hAnsi="Arial" w:cs="Arial"/>
          <w:lang w:eastAsia="en-GB"/>
        </w:rPr>
        <w:t>If at any stage during the process a successful pregnancy occurs (even if it occurs naturally) any subsequent specialist fertili</w:t>
      </w:r>
      <w:r>
        <w:rPr>
          <w:rFonts w:ascii="Arial" w:eastAsia="Times New Roman" w:hAnsi="Arial" w:cs="Arial"/>
          <w:lang w:eastAsia="en-GB"/>
        </w:rPr>
        <w:t>ty treatment will not be funded.</w:t>
      </w:r>
    </w:p>
    <w:p w:rsidR="00B86A91" w:rsidRPr="006702C8" w:rsidRDefault="00B86A91" w:rsidP="00B86A91">
      <w:pPr>
        <w:spacing w:after="0"/>
        <w:rPr>
          <w:rFonts w:ascii="Arial" w:hAnsi="Arial" w:cs="Arial"/>
          <w:b/>
        </w:rPr>
      </w:pPr>
    </w:p>
    <w:tbl>
      <w:tblPr>
        <w:tblStyle w:val="TableGrid2"/>
        <w:tblW w:w="9640" w:type="dxa"/>
        <w:tblInd w:w="-318" w:type="dxa"/>
        <w:tblLayout w:type="fixed"/>
        <w:tblLook w:val="04A0" w:firstRow="1" w:lastRow="0" w:firstColumn="1" w:lastColumn="0" w:noHBand="0" w:noVBand="1"/>
      </w:tblPr>
      <w:tblGrid>
        <w:gridCol w:w="2127"/>
        <w:gridCol w:w="7513"/>
      </w:tblGrid>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Pr>
                <w:rFonts w:ascii="Arial" w:hAnsi="Arial" w:cs="Arial"/>
              </w:rPr>
              <w:t>Treatment / Procedure</w:t>
            </w:r>
          </w:p>
        </w:tc>
        <w:tc>
          <w:tcPr>
            <w:tcW w:w="7513" w:type="dxa"/>
          </w:tcPr>
          <w:p w:rsidR="00B86A91" w:rsidRPr="003A3034" w:rsidRDefault="00B86A91" w:rsidP="003A43C5">
            <w:pPr>
              <w:spacing w:after="160" w:line="259" w:lineRule="auto"/>
              <w:rPr>
                <w:rFonts w:ascii="Arial" w:hAnsi="Arial" w:cs="Arial"/>
              </w:rPr>
            </w:pPr>
            <w:r w:rsidRPr="003A3034">
              <w:rPr>
                <w:rFonts w:ascii="Arial" w:hAnsi="Arial" w:cs="Arial"/>
              </w:rPr>
              <w:t>Criteria from 1 December 2016</w:t>
            </w: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In Vitro Fertilisation (IVF) with or without Intracytoplasmic Sperm Injection (ICSI)</w:t>
            </w:r>
          </w:p>
          <w:p w:rsidR="00B86A91" w:rsidRPr="003A3034" w:rsidRDefault="00B86A91" w:rsidP="003A43C5">
            <w:pPr>
              <w:ind w:left="176"/>
              <w:contextualSpacing/>
              <w:rPr>
                <w:rFonts w:ascii="Arial" w:hAnsi="Arial" w:cs="Arial"/>
              </w:rPr>
            </w:pP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 xml:space="preserve">A full cycle of IVF treatment, with or without intracytoplasmic sperm injection (ICSI), will comprise one episode of ovarian stimulation and the transfer of resultant fresh and frozen embryo(s) to a maximum of one fresh and one frozen transfer. </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 xml:space="preserve">This will include the storage of any frozen embryos for 1 year following egg collection. Patients should be advised at the start of treatment that this is the level of service available on the NHS and following this period continued storage will need to be funded by themselves or allowed to perish. </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Where more embryos are frozen than can be used for the proposed cycle/s patients can choose to fund storage themselves.</w:t>
            </w:r>
          </w:p>
          <w:p w:rsidR="00B86A91" w:rsidRPr="003A3034" w:rsidRDefault="00B86A91" w:rsidP="003A43C5">
            <w:pPr>
              <w:spacing w:after="150" w:line="300" w:lineRule="atLeast"/>
              <w:rPr>
                <w:rFonts w:ascii="Arial" w:hAnsi="Arial" w:cs="Arial"/>
                <w:color w:val="000000"/>
              </w:rPr>
            </w:pPr>
            <w:r w:rsidRPr="003A3034">
              <w:rPr>
                <w:rFonts w:ascii="Arial" w:hAnsi="Arial" w:cs="Arial"/>
                <w:b/>
                <w:bCs/>
                <w:color w:val="000000"/>
              </w:rPr>
              <w:t>First cycle</w:t>
            </w:r>
          </w:p>
          <w:p w:rsidR="00B86A91" w:rsidRPr="003A3034" w:rsidRDefault="00B86A91" w:rsidP="003A43C5">
            <w:pPr>
              <w:spacing w:after="150" w:line="300" w:lineRule="atLeast"/>
              <w:rPr>
                <w:rFonts w:ascii="Arial" w:hAnsi="Arial" w:cs="Arial"/>
                <w:color w:val="000000"/>
              </w:rPr>
            </w:pPr>
            <w:r w:rsidRPr="003A3034">
              <w:rPr>
                <w:rFonts w:ascii="Arial" w:hAnsi="Arial" w:cs="Arial"/>
                <w:color w:val="000000"/>
              </w:rPr>
              <w:t>Individuals who have been referred to a specialist provider (on or before 30th November 2016) or who are receiving treatment from a specialist provider will be funded for intrauterine insemination (IUI) and for one cycle of IVF with a maximum of one fresh and one frozen transfer* but will not go on to subsequent IVF cycles and no further embryo transfers will be funded.</w:t>
            </w:r>
          </w:p>
          <w:p w:rsidR="00B86A91" w:rsidRPr="003A3034" w:rsidRDefault="00B86A91" w:rsidP="003A43C5">
            <w:pPr>
              <w:spacing w:after="150" w:line="300" w:lineRule="atLeast"/>
              <w:rPr>
                <w:rFonts w:ascii="Arial" w:hAnsi="Arial" w:cs="Arial"/>
                <w:color w:val="000000"/>
              </w:rPr>
            </w:pPr>
            <w:r w:rsidRPr="003A3034">
              <w:rPr>
                <w:rFonts w:ascii="Arial" w:hAnsi="Arial" w:cs="Arial"/>
                <w:b/>
                <w:bCs/>
                <w:color w:val="000000"/>
              </w:rPr>
              <w:t>Second cycle</w:t>
            </w:r>
          </w:p>
          <w:p w:rsidR="00B86A91" w:rsidRPr="003A3034" w:rsidRDefault="00B86A91" w:rsidP="003A43C5">
            <w:pPr>
              <w:spacing w:after="150" w:line="300" w:lineRule="atLeast"/>
              <w:rPr>
                <w:rFonts w:ascii="Arial" w:hAnsi="Arial" w:cs="Arial"/>
                <w:color w:val="000000"/>
              </w:rPr>
            </w:pPr>
            <w:r w:rsidRPr="003A3034">
              <w:rPr>
                <w:rFonts w:ascii="Arial" w:hAnsi="Arial" w:cs="Arial"/>
                <w:color w:val="000000"/>
              </w:rPr>
              <w:t>Individuals receiving active treatment for a second cycle on 1 January 2017 i.e. taking medication this second cycle will be funded to a maximum of one fresh and one frozen transfer*. The individuals will not go on to a third cycle and no further embryo transfers will be funded.</w:t>
            </w:r>
          </w:p>
          <w:p w:rsidR="00B86A91" w:rsidRPr="003A3034" w:rsidRDefault="00B86A91" w:rsidP="003A43C5">
            <w:pPr>
              <w:spacing w:after="150" w:line="300" w:lineRule="atLeast"/>
              <w:rPr>
                <w:rFonts w:ascii="Arial" w:hAnsi="Arial" w:cs="Arial"/>
                <w:color w:val="000000"/>
              </w:rPr>
            </w:pPr>
            <w:r w:rsidRPr="003A3034">
              <w:rPr>
                <w:rFonts w:ascii="Arial" w:hAnsi="Arial" w:cs="Arial"/>
                <w:b/>
                <w:bCs/>
                <w:color w:val="000000"/>
              </w:rPr>
              <w:t>Third cycle</w:t>
            </w:r>
          </w:p>
          <w:p w:rsidR="00B86A91" w:rsidRPr="003A3034" w:rsidRDefault="00B86A91" w:rsidP="003A43C5">
            <w:pPr>
              <w:spacing w:after="150" w:line="300" w:lineRule="atLeast"/>
              <w:rPr>
                <w:rFonts w:ascii="Arial" w:hAnsi="Arial" w:cs="Arial"/>
                <w:color w:val="000000"/>
              </w:rPr>
            </w:pPr>
            <w:r w:rsidRPr="003A3034">
              <w:rPr>
                <w:rFonts w:ascii="Arial" w:hAnsi="Arial" w:cs="Arial"/>
                <w:color w:val="000000"/>
              </w:rPr>
              <w:t>Individuals receiving active treatment for a third cycle on 1 January 2017 i.e. taking medication this third cycle will be funded to a maximum of one fresh and one frozen transfer*. No further embryo transfers will be funded. No further cycles will be funded.</w:t>
            </w:r>
          </w:p>
          <w:p w:rsidR="00B86A91" w:rsidRPr="003A3034" w:rsidRDefault="00B86A91" w:rsidP="003A43C5">
            <w:pPr>
              <w:spacing w:after="150" w:line="300" w:lineRule="atLeast"/>
              <w:rPr>
                <w:rFonts w:ascii="Arial" w:hAnsi="Arial" w:cs="Arial"/>
                <w:color w:val="000000"/>
              </w:rPr>
            </w:pPr>
            <w:r w:rsidRPr="003A3034">
              <w:rPr>
                <w:rFonts w:ascii="Arial" w:hAnsi="Arial" w:cs="Arial"/>
                <w:color w:val="000000"/>
              </w:rPr>
              <w:t>The CCG Board decided that it will fund a cycle defined as a maximum of one fresh and one transfer. However, if an individual is receiving active treatment i.e. taking medication in preparation for the transfer of a second or subsequent frozen embryo on 1 January 2017 this transfer for which the individual is receiving active treatment will be completed. No further transfers or cycles will be funded.</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For anyone who has frozen embryos stored which under previous arrangements would have been eligible for NHS funded services then any frozen embryos will be stored for 1 year from 1 December 2016 (where they haven’t been advised of the 1 year storage limit under earlier arrangements).</w:t>
            </w:r>
          </w:p>
          <w:p w:rsidR="00B86A91" w:rsidRPr="003A3034" w:rsidRDefault="00B86A91" w:rsidP="003A43C5">
            <w:pPr>
              <w:pStyle w:val="Default"/>
              <w:rPr>
                <w:sz w:val="22"/>
                <w:szCs w:val="22"/>
              </w:rPr>
            </w:pPr>
            <w:r w:rsidRPr="005B440F">
              <w:rPr>
                <w:sz w:val="22"/>
                <w:szCs w:val="22"/>
              </w:rPr>
              <w:t>Any further costs e.g. for the use of embryos / gametes in fertility treatment or transport to another clinic etc would need to be met by the patient</w:t>
            </w:r>
            <w:r w:rsidRPr="003A3034">
              <w:rPr>
                <w:sz w:val="22"/>
                <w:szCs w:val="22"/>
              </w:rPr>
              <w:t>.</w:t>
            </w:r>
          </w:p>
          <w:p w:rsidR="00B86A91" w:rsidRDefault="00B86A91" w:rsidP="003A43C5">
            <w:pPr>
              <w:autoSpaceDE w:val="0"/>
              <w:autoSpaceDN w:val="0"/>
              <w:adjustRightInd w:val="0"/>
              <w:rPr>
                <w:rFonts w:ascii="Arial" w:hAnsi="Arial" w:cs="Arial"/>
                <w:color w:val="000000"/>
              </w:rPr>
            </w:pP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Patients can choose to fund embryo storage themselves beyond the NHS funded period</w:t>
            </w:r>
            <w:r w:rsidRPr="003A3034">
              <w:rPr>
                <w:rFonts w:ascii="Arial" w:hAnsi="Arial" w:cs="Arial"/>
                <w:color w:val="000000"/>
                <w:sz w:val="24"/>
                <w:szCs w:val="24"/>
              </w:rPr>
              <w:t>.</w:t>
            </w: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Frozen Embryo Transfer</w:t>
            </w:r>
          </w:p>
          <w:p w:rsidR="00B86A91" w:rsidRPr="003A3034" w:rsidRDefault="00B86A91" w:rsidP="003A43C5">
            <w:pPr>
              <w:spacing w:after="160" w:line="259" w:lineRule="auto"/>
              <w:ind w:left="176"/>
              <w:rPr>
                <w:rFonts w:ascii="Arial" w:hAnsi="Arial" w:cs="Arial"/>
              </w:rPr>
            </w:pPr>
          </w:p>
        </w:tc>
        <w:tc>
          <w:tcPr>
            <w:tcW w:w="7513" w:type="dxa"/>
          </w:tcPr>
          <w:p w:rsidR="00B86A91" w:rsidRPr="003A3034" w:rsidRDefault="00B86A91" w:rsidP="003A43C5">
            <w:pPr>
              <w:autoSpaceDE w:val="0"/>
              <w:autoSpaceDN w:val="0"/>
              <w:adjustRightInd w:val="0"/>
              <w:spacing w:after="25"/>
              <w:rPr>
                <w:rFonts w:ascii="Arial" w:hAnsi="Arial" w:cs="Arial"/>
                <w:color w:val="000000"/>
              </w:rPr>
            </w:pPr>
            <w:r w:rsidRPr="003A3034">
              <w:rPr>
                <w:rFonts w:ascii="Arial" w:hAnsi="Arial" w:cs="Arial"/>
                <w:color w:val="000000"/>
              </w:rPr>
              <w:t>For those who have previously had CCG funding and have embryos in storage frozen embryo transfer will only be funde</w:t>
            </w:r>
            <w:r>
              <w:rPr>
                <w:rFonts w:ascii="Arial" w:hAnsi="Arial" w:cs="Arial"/>
                <w:color w:val="000000"/>
              </w:rPr>
              <w:t>d as part of the current cycle*.</w:t>
            </w:r>
          </w:p>
          <w:p w:rsidR="00B86A91" w:rsidRPr="003A3034" w:rsidRDefault="00B86A91" w:rsidP="003A43C5">
            <w:pPr>
              <w:autoSpaceDE w:val="0"/>
              <w:autoSpaceDN w:val="0"/>
              <w:adjustRightInd w:val="0"/>
              <w:spacing w:after="25"/>
              <w:rPr>
                <w:rFonts w:ascii="Arial" w:hAnsi="Arial" w:cs="Arial"/>
                <w:color w:val="000000"/>
              </w:rPr>
            </w:pPr>
          </w:p>
          <w:p w:rsidR="00B86A91" w:rsidRDefault="00B86A91" w:rsidP="003A43C5">
            <w:pPr>
              <w:autoSpaceDE w:val="0"/>
              <w:autoSpaceDN w:val="0"/>
              <w:adjustRightInd w:val="0"/>
              <w:spacing w:after="25"/>
              <w:ind w:left="34"/>
              <w:rPr>
                <w:rFonts w:ascii="Arial" w:hAnsi="Arial" w:cs="Arial"/>
                <w:color w:val="000000"/>
              </w:rPr>
            </w:pPr>
            <w:r w:rsidRPr="003A3034">
              <w:rPr>
                <w:rFonts w:ascii="Arial" w:hAnsi="Arial" w:cs="Arial"/>
                <w:color w:val="000000"/>
              </w:rPr>
              <w:t>Where more embryos are frozen than can be used for the proposed cycle/s patients can choose to fund storage themselves.</w:t>
            </w:r>
          </w:p>
          <w:p w:rsidR="00B86A91" w:rsidRPr="003A3034" w:rsidRDefault="00B86A91" w:rsidP="003A43C5">
            <w:pPr>
              <w:autoSpaceDE w:val="0"/>
              <w:autoSpaceDN w:val="0"/>
              <w:adjustRightInd w:val="0"/>
              <w:spacing w:after="25"/>
              <w:ind w:left="34"/>
              <w:rPr>
                <w:rFonts w:ascii="Arial" w:hAnsi="Arial" w:cs="Arial"/>
                <w:color w:val="000000"/>
              </w:rPr>
            </w:pPr>
          </w:p>
          <w:p w:rsidR="00B86A91" w:rsidRPr="003A3034" w:rsidRDefault="00B86A91" w:rsidP="003A43C5">
            <w:pPr>
              <w:autoSpaceDE w:val="0"/>
              <w:autoSpaceDN w:val="0"/>
              <w:adjustRightInd w:val="0"/>
              <w:rPr>
                <w:rFonts w:ascii="Arial" w:hAnsi="Arial" w:cs="Arial"/>
                <w:color w:val="000000"/>
              </w:rPr>
            </w:pPr>
            <w:r>
              <w:rPr>
                <w:rFonts w:ascii="Arial" w:hAnsi="Arial" w:cs="Arial"/>
                <w:color w:val="000000"/>
              </w:rPr>
              <w:t>*</w:t>
            </w:r>
            <w:r w:rsidRPr="003A3034">
              <w:rPr>
                <w:rFonts w:ascii="Arial" w:hAnsi="Arial" w:cs="Arial"/>
                <w:color w:val="000000"/>
              </w:rPr>
              <w:t>For cycle definition and timeframe please refer to section on IVF.</w:t>
            </w:r>
          </w:p>
          <w:p w:rsidR="00B86A91" w:rsidRPr="003A3034" w:rsidRDefault="00B86A91" w:rsidP="003A43C5">
            <w:pPr>
              <w:autoSpaceDE w:val="0"/>
              <w:autoSpaceDN w:val="0"/>
              <w:adjustRightInd w:val="0"/>
              <w:spacing w:after="25"/>
              <w:rPr>
                <w:rFonts w:ascii="Arial" w:hAnsi="Arial" w:cs="Arial"/>
                <w:color w:val="000000"/>
              </w:rPr>
            </w:pP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Embryo/Blastocyst Freezing and Storage</w:t>
            </w:r>
          </w:p>
        </w:tc>
        <w:tc>
          <w:tcPr>
            <w:tcW w:w="7513" w:type="dxa"/>
          </w:tcPr>
          <w:p w:rsidR="00B86A91" w:rsidRPr="003A3034" w:rsidRDefault="00B86A91" w:rsidP="003A43C5">
            <w:pPr>
              <w:spacing w:after="160" w:line="259" w:lineRule="auto"/>
              <w:rPr>
                <w:rFonts w:ascii="Arial" w:hAnsi="Arial" w:cs="Arial"/>
              </w:rPr>
            </w:pPr>
            <w:r w:rsidRPr="003A3034">
              <w:rPr>
                <w:rFonts w:ascii="Arial" w:hAnsi="Arial" w:cs="Arial"/>
              </w:rPr>
              <w:t>For those who have previously had CCG funding and embryos have previously been stored the freezing and storage will be funded for up to one year from the date of egg collection.</w:t>
            </w:r>
          </w:p>
          <w:p w:rsidR="00B86A91" w:rsidRPr="003A3034" w:rsidRDefault="00B86A91" w:rsidP="003A43C5">
            <w:pPr>
              <w:spacing w:after="160" w:line="259" w:lineRule="auto"/>
              <w:rPr>
                <w:rFonts w:ascii="Arial" w:hAnsi="Arial" w:cs="Arial"/>
              </w:rPr>
            </w:pPr>
            <w:r w:rsidRPr="003A3034">
              <w:rPr>
                <w:rFonts w:ascii="Arial" w:hAnsi="Arial" w:cs="Arial"/>
              </w:rPr>
              <w:t>Patients can choose to fund embryo / blastocyst storage themselves beyond the NHS funded period.</w:t>
            </w:r>
          </w:p>
          <w:p w:rsidR="00B86A91" w:rsidRPr="003F2C23" w:rsidRDefault="00B86A91" w:rsidP="003A43C5">
            <w:pPr>
              <w:pStyle w:val="Default"/>
              <w:rPr>
                <w:sz w:val="22"/>
                <w:szCs w:val="22"/>
              </w:rPr>
            </w:pPr>
            <w:r w:rsidRPr="003F2C23">
              <w:rPr>
                <w:sz w:val="22"/>
                <w:szCs w:val="22"/>
              </w:rPr>
              <w:t>Any further costs e.g. for the use of embryos / blastocysts in fertility treatment or transport to another clinic etc would need to be met by the patient.</w:t>
            </w:r>
          </w:p>
          <w:p w:rsidR="00B86A91" w:rsidRPr="003A3034" w:rsidRDefault="00B86A91" w:rsidP="003A43C5">
            <w:pPr>
              <w:spacing w:after="160" w:line="259" w:lineRule="auto"/>
              <w:rPr>
                <w:rFonts w:ascii="Arial" w:hAnsi="Arial" w:cs="Arial"/>
              </w:rPr>
            </w:pPr>
          </w:p>
        </w:tc>
      </w:tr>
      <w:tr w:rsidR="00B86A91" w:rsidRPr="006A47BD" w:rsidTr="003A43C5">
        <w:trPr>
          <w:trHeight w:val="3723"/>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Surgical Sperm Recovery - Testicular Epididymal Sperm Aspiration (TESA) / Percutaneous Sperm Aspiration (PESA) including storage where required</w:t>
            </w:r>
          </w:p>
        </w:tc>
        <w:tc>
          <w:tcPr>
            <w:tcW w:w="7513" w:type="dxa"/>
          </w:tcPr>
          <w:p w:rsidR="00B86A91" w:rsidRPr="003A3034" w:rsidRDefault="00B86A91" w:rsidP="003A43C5">
            <w:pPr>
              <w:spacing w:after="160" w:line="259" w:lineRule="auto"/>
              <w:rPr>
                <w:rFonts w:ascii="Arial" w:hAnsi="Arial" w:cs="Arial"/>
              </w:rPr>
            </w:pPr>
            <w:r w:rsidRPr="003A3034">
              <w:rPr>
                <w:rFonts w:ascii="Arial" w:hAnsi="Arial" w:cs="Arial"/>
              </w:rPr>
              <w:t>Where this is part of a current cycle the CCG:</w:t>
            </w:r>
          </w:p>
          <w:p w:rsidR="00B86A91" w:rsidRPr="003A3034" w:rsidRDefault="00B86A91" w:rsidP="00B86A91">
            <w:pPr>
              <w:numPr>
                <w:ilvl w:val="0"/>
                <w:numId w:val="6"/>
              </w:numPr>
              <w:spacing w:after="160" w:line="259" w:lineRule="auto"/>
              <w:contextualSpacing/>
              <w:rPr>
                <w:rFonts w:ascii="Arial" w:hAnsi="Arial" w:cs="Arial"/>
              </w:rPr>
            </w:pPr>
            <w:r w:rsidRPr="003A3034">
              <w:rPr>
                <w:rFonts w:ascii="Arial" w:hAnsi="Arial" w:cs="Arial"/>
              </w:rPr>
              <w:t>will fund this for the current cycle only.</w:t>
            </w:r>
          </w:p>
          <w:p w:rsidR="00B86A91" w:rsidRPr="005B440F" w:rsidRDefault="00B86A91" w:rsidP="00B86A91">
            <w:pPr>
              <w:pStyle w:val="ListParagraph"/>
              <w:numPr>
                <w:ilvl w:val="0"/>
                <w:numId w:val="6"/>
              </w:numPr>
              <w:spacing w:after="160" w:line="259" w:lineRule="auto"/>
              <w:rPr>
                <w:rFonts w:ascii="Arial" w:hAnsi="Arial" w:cs="Arial"/>
              </w:rPr>
            </w:pPr>
            <w:r w:rsidRPr="005B440F">
              <w:rPr>
                <w:rFonts w:ascii="Arial" w:hAnsi="Arial" w:cs="Arial"/>
              </w:rPr>
              <w:t>will not fund storage beyond the current cycle.</w:t>
            </w:r>
          </w:p>
          <w:p w:rsidR="00B86A91" w:rsidRPr="003A3034" w:rsidRDefault="00B86A91" w:rsidP="003A43C5">
            <w:pPr>
              <w:spacing w:after="160" w:line="259" w:lineRule="auto"/>
              <w:rPr>
                <w:rFonts w:ascii="Arial" w:hAnsi="Arial" w:cs="Arial"/>
              </w:rPr>
            </w:pPr>
            <w:r w:rsidRPr="003A3034">
              <w:rPr>
                <w:rFonts w:ascii="Arial" w:hAnsi="Arial" w:cs="Arial"/>
              </w:rPr>
              <w:t>Patients can choose to fund sperm storage themselves beyond the NHS funded period.</w:t>
            </w:r>
          </w:p>
          <w:p w:rsidR="00B86A91" w:rsidRPr="003A3034" w:rsidRDefault="00B86A91" w:rsidP="003A43C5">
            <w:pPr>
              <w:spacing w:after="160" w:line="259" w:lineRule="auto"/>
              <w:rPr>
                <w:rFonts w:ascii="Arial" w:hAnsi="Arial" w:cs="Arial"/>
              </w:rPr>
            </w:pPr>
            <w:r w:rsidRPr="003A3034">
              <w:rPr>
                <w:rFonts w:ascii="Arial" w:hAnsi="Arial" w:cs="Arial"/>
              </w:rPr>
              <w:t>For cycle definition and timeframe please refer to section on IVF and IUI cycle</w:t>
            </w:r>
          </w:p>
          <w:p w:rsidR="00B86A91" w:rsidRPr="005B440F" w:rsidRDefault="00B86A91" w:rsidP="003A43C5">
            <w:pPr>
              <w:pStyle w:val="Default"/>
              <w:rPr>
                <w:sz w:val="22"/>
                <w:szCs w:val="22"/>
              </w:rPr>
            </w:pPr>
            <w:r w:rsidRPr="005B440F">
              <w:rPr>
                <w:sz w:val="22"/>
                <w:szCs w:val="22"/>
              </w:rPr>
              <w:t>Any further costs e.g. for the use of sperm in fertility treatment or transport to another clinic etc would need to be met by the patient.</w:t>
            </w:r>
          </w:p>
          <w:p w:rsidR="00B86A91" w:rsidRPr="003A3034" w:rsidRDefault="00B86A91" w:rsidP="003A43C5">
            <w:pPr>
              <w:spacing w:after="160" w:line="259" w:lineRule="auto"/>
              <w:rPr>
                <w:rFonts w:ascii="Arial" w:hAnsi="Arial" w:cs="Arial"/>
              </w:rPr>
            </w:pP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Intrauterine Insemination (IUI) - unstimulated</w:t>
            </w: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 xml:space="preserve">Unstimulated intrauterine insemination (usually self funded) may be as a treatment option in the following groups as an alternative to vaginal sexual intercourse: </w:t>
            </w:r>
          </w:p>
          <w:p w:rsidR="00B86A91" w:rsidRPr="003A3034" w:rsidRDefault="00B86A91" w:rsidP="00B86A91">
            <w:pPr>
              <w:numPr>
                <w:ilvl w:val="0"/>
                <w:numId w:val="4"/>
              </w:numPr>
              <w:autoSpaceDE w:val="0"/>
              <w:autoSpaceDN w:val="0"/>
              <w:adjustRightInd w:val="0"/>
              <w:spacing w:after="25" w:line="259" w:lineRule="auto"/>
              <w:rPr>
                <w:rFonts w:ascii="Arial" w:hAnsi="Arial" w:cs="Arial"/>
                <w:color w:val="000000"/>
              </w:rPr>
            </w:pPr>
            <w:r w:rsidRPr="003A3034">
              <w:rPr>
                <w:rFonts w:ascii="Arial" w:hAnsi="Arial" w:cs="Arial"/>
                <w:color w:val="000000"/>
              </w:rPr>
              <w:t xml:space="preserve">people who are unable to, or would find it very difficult to, have vaginal intercourse because of a clinically diagnosed physical disability or psychosexual problem who are using partner or donor sperm </w:t>
            </w:r>
          </w:p>
          <w:p w:rsidR="00B86A91" w:rsidRPr="003A3034" w:rsidRDefault="00B86A91" w:rsidP="00B86A91">
            <w:pPr>
              <w:numPr>
                <w:ilvl w:val="0"/>
                <w:numId w:val="4"/>
              </w:numPr>
              <w:autoSpaceDE w:val="0"/>
              <w:autoSpaceDN w:val="0"/>
              <w:adjustRightInd w:val="0"/>
              <w:spacing w:after="25" w:line="259" w:lineRule="auto"/>
              <w:rPr>
                <w:rFonts w:ascii="Arial" w:hAnsi="Arial" w:cs="Arial"/>
                <w:color w:val="000000"/>
              </w:rPr>
            </w:pPr>
            <w:r w:rsidRPr="003A3034">
              <w:rPr>
                <w:rFonts w:ascii="Arial" w:hAnsi="Arial" w:cs="Arial"/>
                <w:color w:val="000000"/>
              </w:rPr>
              <w:t xml:space="preserve">people with conditions that require specific consideration in relation to methods of conception (for example, after sperm washing where the man is HIV positive) </w:t>
            </w:r>
          </w:p>
          <w:p w:rsidR="00B86A91" w:rsidRPr="003A3034" w:rsidRDefault="00B86A91" w:rsidP="00B86A91">
            <w:pPr>
              <w:numPr>
                <w:ilvl w:val="0"/>
                <w:numId w:val="4"/>
              </w:numPr>
              <w:autoSpaceDE w:val="0"/>
              <w:autoSpaceDN w:val="0"/>
              <w:adjustRightInd w:val="0"/>
              <w:spacing w:after="160" w:line="259" w:lineRule="auto"/>
              <w:rPr>
                <w:rFonts w:ascii="Arial" w:hAnsi="Arial" w:cs="Arial"/>
                <w:color w:val="000000"/>
              </w:rPr>
            </w:pPr>
            <w:r w:rsidRPr="003A3034">
              <w:rPr>
                <w:rFonts w:ascii="Arial" w:hAnsi="Arial" w:cs="Arial"/>
                <w:color w:val="000000"/>
              </w:rPr>
              <w:t xml:space="preserve">people in same-sex relationships </w:t>
            </w:r>
          </w:p>
          <w:p w:rsidR="00B86A91" w:rsidRPr="003A3034" w:rsidRDefault="00B86A91" w:rsidP="003A43C5">
            <w:pPr>
              <w:rPr>
                <w:rFonts w:ascii="Arial" w:hAnsi="Arial" w:cs="Arial"/>
              </w:rPr>
            </w:pPr>
            <w:r>
              <w:rPr>
                <w:rFonts w:ascii="Arial" w:hAnsi="Arial" w:cs="Arial"/>
              </w:rPr>
              <w:t>IUI for eligible individuals will be funded in line with NICE</w:t>
            </w:r>
            <w:r w:rsidRPr="003A3034">
              <w:rPr>
                <w:rFonts w:ascii="Arial" w:hAnsi="Arial" w:cs="Arial"/>
              </w:rPr>
              <w:t>.</w:t>
            </w: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 xml:space="preserve">Donor Oocyte Cycle </w:t>
            </w:r>
          </w:p>
          <w:p w:rsidR="00B86A91" w:rsidRPr="003A3034" w:rsidRDefault="00B86A91" w:rsidP="003A43C5">
            <w:pPr>
              <w:spacing w:after="160" w:line="259" w:lineRule="auto"/>
              <w:ind w:left="176"/>
              <w:rPr>
                <w:rFonts w:ascii="Arial" w:hAnsi="Arial" w:cs="Arial"/>
              </w:rPr>
            </w:pP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 xml:space="preserve">The patient may be able to provide an egg donor; alternatively the patient can be placed on the waiting list, until an altruistic donor becomes available.  If either of the couple exceeds the age criteria prior to a donor egg becoming available, they will no longer be eligible for treatment. </w:t>
            </w:r>
          </w:p>
          <w:p w:rsidR="00B86A91" w:rsidRPr="003A3034" w:rsidRDefault="00B86A91" w:rsidP="003A43C5">
            <w:pPr>
              <w:spacing w:after="160" w:line="259" w:lineRule="auto"/>
              <w:rPr>
                <w:rFonts w:ascii="Arial" w:hAnsi="Arial" w:cs="Arial"/>
              </w:rPr>
            </w:pPr>
            <w:r w:rsidRPr="003A3034">
              <w:rPr>
                <w:rFonts w:ascii="Arial" w:hAnsi="Arial" w:cs="Arial"/>
              </w:rPr>
              <w:t>This will be available to women who have undergone premature ovarian failure (amenorrhoea &gt;6 months and a raised FSH &gt;25) due to an identifiable pathological or iatrogenic cause before the age of 40 years or to avoid transmission of inherited disorders to a child where the couple meet the other eligibility criteria.</w:t>
            </w:r>
          </w:p>
          <w:p w:rsidR="00B86A91" w:rsidRPr="003A3034" w:rsidRDefault="00B86A91" w:rsidP="003A43C5">
            <w:pPr>
              <w:spacing w:after="160" w:line="259" w:lineRule="auto"/>
              <w:rPr>
                <w:rFonts w:ascii="Arial" w:hAnsi="Arial" w:cs="Arial"/>
              </w:rPr>
            </w:pPr>
            <w:r w:rsidRPr="003A3034">
              <w:rPr>
                <w:rFonts w:ascii="Arial" w:hAnsi="Arial" w:cs="Arial"/>
              </w:rPr>
              <w:t>Where this is part of a current cycle* the patient is able to complete the current donor oocyte cycle of up to a maximum of 2 transfers.</w:t>
            </w:r>
          </w:p>
          <w:p w:rsidR="00B86A91" w:rsidRPr="003A3034" w:rsidRDefault="00B86A91" w:rsidP="003A43C5">
            <w:pPr>
              <w:spacing w:after="160" w:line="259" w:lineRule="auto"/>
              <w:rPr>
                <w:rFonts w:ascii="Arial" w:hAnsi="Arial" w:cs="Arial"/>
              </w:rPr>
            </w:pPr>
            <w:r w:rsidRPr="003A3034">
              <w:rPr>
                <w:rFonts w:ascii="Arial" w:hAnsi="Arial" w:cs="Arial"/>
              </w:rPr>
              <w:t>Storage of donor oocytes will not be funded beyond the current cycle.</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*For cycle definition and timeframe please refer to section on IVF.</w:t>
            </w:r>
          </w:p>
          <w:p w:rsidR="00B86A91" w:rsidRPr="003A3034" w:rsidRDefault="00B86A91" w:rsidP="003A43C5">
            <w:pPr>
              <w:spacing w:after="160" w:line="259" w:lineRule="auto"/>
              <w:rPr>
                <w:rFonts w:ascii="Arial" w:hAnsi="Arial" w:cs="Arial"/>
              </w:rPr>
            </w:pPr>
            <w:r w:rsidRPr="003A3034">
              <w:rPr>
                <w:rFonts w:ascii="Arial" w:hAnsi="Arial" w:cs="Arial"/>
              </w:rPr>
              <w:t>Patients can choose to fund oocyte / embryo / blastocyst storage themselves.</w:t>
            </w:r>
          </w:p>
          <w:p w:rsidR="00B86A91" w:rsidRPr="005B440F" w:rsidRDefault="00B86A91" w:rsidP="003A43C5">
            <w:pPr>
              <w:pStyle w:val="Default"/>
              <w:rPr>
                <w:sz w:val="22"/>
                <w:szCs w:val="22"/>
              </w:rPr>
            </w:pPr>
            <w:r w:rsidRPr="005B440F">
              <w:rPr>
                <w:sz w:val="22"/>
                <w:szCs w:val="22"/>
              </w:rPr>
              <w:t>Any further costs e.g. for the use of oocytes in fertility treatment or transport to another clinic etc would need to be met by the patient.</w:t>
            </w:r>
          </w:p>
          <w:p w:rsidR="00B86A91" w:rsidRPr="003A3034" w:rsidRDefault="00B86A91" w:rsidP="003A43C5">
            <w:pPr>
              <w:spacing w:after="160" w:line="259" w:lineRule="auto"/>
              <w:rPr>
                <w:rFonts w:ascii="Arial" w:hAnsi="Arial" w:cs="Arial"/>
              </w:rPr>
            </w:pPr>
          </w:p>
        </w:tc>
      </w:tr>
      <w:tr w:rsidR="00B86A91" w:rsidRPr="006A47BD" w:rsidTr="003A43C5">
        <w:trPr>
          <w:trHeight w:val="145"/>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Donor Sperm Insemination</w:t>
            </w:r>
          </w:p>
          <w:p w:rsidR="00B86A91" w:rsidRPr="003A3034" w:rsidRDefault="00B86A91" w:rsidP="003A43C5">
            <w:pPr>
              <w:spacing w:after="160" w:line="259" w:lineRule="auto"/>
              <w:ind w:left="176"/>
              <w:rPr>
                <w:rFonts w:ascii="Arial" w:hAnsi="Arial" w:cs="Arial"/>
              </w:rPr>
            </w:pP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 xml:space="preserve">The use of donor insemination is considered effective in managing fertility problems associated with the following conditions: </w:t>
            </w:r>
          </w:p>
          <w:p w:rsidR="00B86A91" w:rsidRPr="003A3034" w:rsidRDefault="00B86A91" w:rsidP="00B86A91">
            <w:pPr>
              <w:numPr>
                <w:ilvl w:val="0"/>
                <w:numId w:val="4"/>
              </w:numPr>
              <w:autoSpaceDE w:val="0"/>
              <w:autoSpaceDN w:val="0"/>
              <w:adjustRightInd w:val="0"/>
              <w:spacing w:after="22" w:line="259" w:lineRule="auto"/>
              <w:rPr>
                <w:rFonts w:ascii="Arial" w:hAnsi="Arial" w:cs="Arial"/>
                <w:color w:val="000000"/>
              </w:rPr>
            </w:pPr>
            <w:r w:rsidRPr="003A3034">
              <w:rPr>
                <w:rFonts w:ascii="Arial" w:hAnsi="Arial" w:cs="Arial"/>
                <w:color w:val="000000"/>
              </w:rPr>
              <w:t xml:space="preserve">obstructive azoospermia </w:t>
            </w:r>
          </w:p>
          <w:p w:rsidR="00B86A91" w:rsidRPr="003A3034" w:rsidRDefault="00B86A91" w:rsidP="00B86A91">
            <w:pPr>
              <w:numPr>
                <w:ilvl w:val="0"/>
                <w:numId w:val="4"/>
              </w:numPr>
              <w:autoSpaceDE w:val="0"/>
              <w:autoSpaceDN w:val="0"/>
              <w:adjustRightInd w:val="0"/>
              <w:spacing w:after="22" w:line="259" w:lineRule="auto"/>
              <w:rPr>
                <w:rFonts w:ascii="Arial" w:hAnsi="Arial" w:cs="Arial"/>
                <w:color w:val="000000"/>
              </w:rPr>
            </w:pPr>
            <w:r w:rsidRPr="003A3034">
              <w:rPr>
                <w:rFonts w:ascii="Arial" w:hAnsi="Arial" w:cs="Arial"/>
                <w:color w:val="000000"/>
              </w:rPr>
              <w:t xml:space="preserve">non-obstructive azoospermia </w:t>
            </w:r>
          </w:p>
          <w:p w:rsidR="00B86A91" w:rsidRPr="003A3034" w:rsidRDefault="00B86A91" w:rsidP="00B86A91">
            <w:pPr>
              <w:numPr>
                <w:ilvl w:val="0"/>
                <w:numId w:val="4"/>
              </w:numPr>
              <w:autoSpaceDE w:val="0"/>
              <w:autoSpaceDN w:val="0"/>
              <w:adjustRightInd w:val="0"/>
              <w:spacing w:after="22" w:line="259" w:lineRule="auto"/>
              <w:rPr>
                <w:rFonts w:ascii="Arial" w:hAnsi="Arial" w:cs="Arial"/>
                <w:color w:val="000000"/>
              </w:rPr>
            </w:pPr>
            <w:r w:rsidRPr="003A3034">
              <w:rPr>
                <w:rFonts w:ascii="Arial" w:hAnsi="Arial" w:cs="Arial"/>
                <w:color w:val="000000"/>
              </w:rPr>
              <w:t xml:space="preserve">severe deficits in semen quality in couples who do not wish to undergo ICSI. </w:t>
            </w:r>
          </w:p>
          <w:p w:rsidR="00B86A91" w:rsidRPr="003A3034" w:rsidRDefault="00B86A91" w:rsidP="00B86A91">
            <w:pPr>
              <w:numPr>
                <w:ilvl w:val="0"/>
                <w:numId w:val="4"/>
              </w:numPr>
              <w:autoSpaceDE w:val="0"/>
              <w:autoSpaceDN w:val="0"/>
              <w:adjustRightInd w:val="0"/>
              <w:spacing w:after="22" w:line="259" w:lineRule="auto"/>
              <w:rPr>
                <w:rFonts w:ascii="Arial" w:hAnsi="Arial" w:cs="Arial"/>
                <w:color w:val="000000"/>
              </w:rPr>
            </w:pPr>
            <w:r w:rsidRPr="003A3034">
              <w:rPr>
                <w:rFonts w:ascii="Arial" w:hAnsi="Arial" w:cs="Arial"/>
                <w:color w:val="000000"/>
              </w:rPr>
              <w:t xml:space="preserve">Infectious disease of the male partner (such as HIV) </w:t>
            </w:r>
          </w:p>
          <w:p w:rsidR="00B86A91" w:rsidRPr="003A3034" w:rsidRDefault="00B86A91" w:rsidP="00B86A91">
            <w:pPr>
              <w:numPr>
                <w:ilvl w:val="0"/>
                <w:numId w:val="4"/>
              </w:numPr>
              <w:autoSpaceDE w:val="0"/>
              <w:autoSpaceDN w:val="0"/>
              <w:adjustRightInd w:val="0"/>
              <w:spacing w:after="22" w:line="259" w:lineRule="auto"/>
              <w:rPr>
                <w:rFonts w:ascii="Arial" w:hAnsi="Arial" w:cs="Arial"/>
                <w:color w:val="000000"/>
              </w:rPr>
            </w:pPr>
            <w:r w:rsidRPr="003A3034">
              <w:rPr>
                <w:rFonts w:ascii="Arial" w:hAnsi="Arial" w:cs="Arial"/>
                <w:color w:val="000000"/>
              </w:rPr>
              <w:t xml:space="preserve">Severe rhesus isoimmunisation </w:t>
            </w:r>
          </w:p>
          <w:p w:rsidR="00B86A91" w:rsidRPr="003A3034" w:rsidRDefault="00B86A91" w:rsidP="00B86A91">
            <w:pPr>
              <w:numPr>
                <w:ilvl w:val="0"/>
                <w:numId w:val="4"/>
              </w:numPr>
              <w:autoSpaceDE w:val="0"/>
              <w:autoSpaceDN w:val="0"/>
              <w:adjustRightInd w:val="0"/>
              <w:spacing w:after="160" w:line="259" w:lineRule="auto"/>
              <w:rPr>
                <w:rFonts w:ascii="Arial" w:hAnsi="Arial" w:cs="Arial"/>
                <w:color w:val="000000"/>
              </w:rPr>
            </w:pPr>
            <w:r w:rsidRPr="003A3034">
              <w:rPr>
                <w:rFonts w:ascii="Arial" w:hAnsi="Arial" w:cs="Arial"/>
                <w:color w:val="000000"/>
              </w:rPr>
              <w:t xml:space="preserve">Where there is a high risk of transmitting a genetic disorder to the offspring </w:t>
            </w:r>
          </w:p>
          <w:p w:rsidR="00B86A91" w:rsidRPr="003A3034" w:rsidRDefault="00B86A91" w:rsidP="003A43C5">
            <w:pPr>
              <w:spacing w:after="160" w:line="259" w:lineRule="auto"/>
              <w:rPr>
                <w:rFonts w:ascii="Arial" w:hAnsi="Arial" w:cs="Arial"/>
              </w:rPr>
            </w:pPr>
            <w:r w:rsidRPr="003A3034">
              <w:rPr>
                <w:rFonts w:ascii="Arial" w:hAnsi="Arial" w:cs="Arial"/>
              </w:rPr>
              <w:t>Donor insemination is funded up to a maximum of 6 cycles of Intrauterine Insemination (IUI) where the criteria for assisted fertility is met.</w:t>
            </w:r>
          </w:p>
          <w:p w:rsidR="00B86A91" w:rsidRPr="003A3034" w:rsidRDefault="00B86A91" w:rsidP="003A43C5">
            <w:pPr>
              <w:spacing w:after="160" w:line="259" w:lineRule="auto"/>
              <w:rPr>
                <w:rFonts w:ascii="Arial" w:hAnsi="Arial" w:cs="Arial"/>
              </w:rPr>
            </w:pPr>
            <w:r w:rsidRPr="003A3034">
              <w:rPr>
                <w:rFonts w:ascii="Arial" w:hAnsi="Arial" w:cs="Arial"/>
              </w:rPr>
              <w:t>Where this is part of a current cycle the patient is able to complete the current cycle* using donor sperm up to a maximum of 2 transfers.</w:t>
            </w:r>
          </w:p>
          <w:p w:rsidR="00B86A91" w:rsidRPr="003A3034" w:rsidRDefault="00B86A91" w:rsidP="003A43C5">
            <w:pPr>
              <w:spacing w:after="160" w:line="259" w:lineRule="auto"/>
              <w:rPr>
                <w:rFonts w:ascii="Arial" w:hAnsi="Arial" w:cs="Arial"/>
              </w:rPr>
            </w:pPr>
            <w:r w:rsidRPr="003A3034">
              <w:rPr>
                <w:rFonts w:ascii="Arial" w:hAnsi="Arial" w:cs="Arial"/>
              </w:rPr>
              <w:t>Storage of donor sperm will not be funded beyond the current cycle.</w:t>
            </w:r>
          </w:p>
          <w:p w:rsidR="00B86A91" w:rsidRPr="003A3034" w:rsidRDefault="00B86A91" w:rsidP="003A43C5">
            <w:pPr>
              <w:spacing w:after="160" w:line="259" w:lineRule="auto"/>
              <w:rPr>
                <w:rFonts w:ascii="Arial" w:hAnsi="Arial" w:cs="Arial"/>
              </w:rPr>
            </w:pPr>
            <w:r w:rsidRPr="003A3034">
              <w:rPr>
                <w:rFonts w:ascii="Arial" w:hAnsi="Arial" w:cs="Arial"/>
              </w:rPr>
              <w:t>Patients can choose to fund sperm storage themselves beyond the NHS funded period.</w:t>
            </w:r>
          </w:p>
          <w:p w:rsidR="00B86A91" w:rsidRPr="005B440F" w:rsidRDefault="00B86A91" w:rsidP="003A43C5">
            <w:pPr>
              <w:spacing w:after="160" w:line="259" w:lineRule="auto"/>
              <w:rPr>
                <w:rFonts w:ascii="Arial" w:hAnsi="Arial" w:cs="Arial"/>
              </w:rPr>
            </w:pPr>
            <w:r w:rsidRPr="005B440F">
              <w:rPr>
                <w:rFonts w:ascii="Arial" w:hAnsi="Arial" w:cs="Arial"/>
              </w:rPr>
              <w:t>Any further costs e.g. for the use of sperm in fertility treatment or transport to another clinic etc would need to be met by the patient.</w:t>
            </w:r>
          </w:p>
          <w:p w:rsidR="00B86A91" w:rsidRPr="003A3034" w:rsidRDefault="00B86A91" w:rsidP="003A43C5">
            <w:pPr>
              <w:spacing w:after="160" w:line="259" w:lineRule="auto"/>
              <w:rPr>
                <w:rFonts w:ascii="Arial" w:hAnsi="Arial" w:cs="Arial"/>
              </w:rPr>
            </w:pPr>
            <w:r w:rsidRPr="003A3034">
              <w:rPr>
                <w:rFonts w:ascii="Arial" w:hAnsi="Arial" w:cs="Arial"/>
              </w:rPr>
              <w:t>*For cycle definition and timeframe please refer to section above on IVF and IUI.</w:t>
            </w:r>
          </w:p>
        </w:tc>
      </w:tr>
      <w:tr w:rsidR="00B86A91" w:rsidRPr="006A47BD" w:rsidTr="003A43C5">
        <w:trPr>
          <w:trHeight w:val="416"/>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 xml:space="preserve">Egg storage for patients undergoing </w:t>
            </w:r>
            <w:r>
              <w:rPr>
                <w:rFonts w:ascii="Arial" w:hAnsi="Arial" w:cs="Arial"/>
              </w:rPr>
              <w:t xml:space="preserve">medically necessary </w:t>
            </w:r>
            <w:r w:rsidRPr="003A3034">
              <w:rPr>
                <w:rFonts w:ascii="Arial" w:hAnsi="Arial" w:cs="Arial"/>
              </w:rPr>
              <w:t>treatments likely to affect their fertility</w:t>
            </w:r>
          </w:p>
          <w:p w:rsidR="00B86A91" w:rsidRPr="003A3034" w:rsidRDefault="00B86A91" w:rsidP="003A43C5">
            <w:pPr>
              <w:spacing w:after="160" w:line="259" w:lineRule="auto"/>
              <w:ind w:left="176"/>
              <w:rPr>
                <w:rFonts w:ascii="Arial" w:hAnsi="Arial" w:cs="Arial"/>
              </w:rPr>
            </w:pPr>
          </w:p>
          <w:p w:rsidR="00B86A91" w:rsidRPr="003A3034" w:rsidRDefault="00B86A91" w:rsidP="003A43C5">
            <w:pPr>
              <w:spacing w:after="160" w:line="259" w:lineRule="auto"/>
              <w:ind w:left="176"/>
              <w:rPr>
                <w:rFonts w:ascii="Arial" w:hAnsi="Arial" w:cs="Arial"/>
              </w:rPr>
            </w:pPr>
          </w:p>
          <w:p w:rsidR="00B86A91" w:rsidRPr="003A3034" w:rsidRDefault="00B86A91" w:rsidP="003A43C5">
            <w:pPr>
              <w:spacing w:after="160" w:line="259" w:lineRule="auto"/>
              <w:ind w:left="176"/>
              <w:rPr>
                <w:rFonts w:ascii="Arial" w:hAnsi="Arial" w:cs="Arial"/>
              </w:rPr>
            </w:pP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The CCG will fund storage of eggs that have been frozen already for those undergoing treatment for cancer and other medical conditions that affect their reproductive functions.</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The CCG will fund the storage:</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until the age of 25 if harvested before her 20</w:t>
            </w:r>
            <w:r w:rsidRPr="003A3034">
              <w:rPr>
                <w:rFonts w:ascii="Arial" w:hAnsi="Arial" w:cs="Arial"/>
                <w:color w:val="000000"/>
                <w:vertAlign w:val="superscript"/>
              </w:rPr>
              <w:t>th</w:t>
            </w:r>
            <w:r w:rsidRPr="003A3034">
              <w:rPr>
                <w:rFonts w:ascii="Arial" w:hAnsi="Arial" w:cs="Arial"/>
                <w:color w:val="000000"/>
              </w:rPr>
              <w:t xml:space="preserve"> birthday</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for 5 years if harvested between her 20</w:t>
            </w:r>
            <w:r w:rsidRPr="003A3034">
              <w:rPr>
                <w:rFonts w:ascii="Arial" w:hAnsi="Arial" w:cs="Arial"/>
                <w:color w:val="000000"/>
                <w:vertAlign w:val="superscript"/>
              </w:rPr>
              <w:t>th</w:t>
            </w:r>
            <w:r w:rsidRPr="003A3034">
              <w:rPr>
                <w:rFonts w:ascii="Arial" w:hAnsi="Arial" w:cs="Arial"/>
                <w:color w:val="000000"/>
              </w:rPr>
              <w:t xml:space="preserve"> and 38</w:t>
            </w:r>
            <w:r w:rsidRPr="003A3034">
              <w:rPr>
                <w:rFonts w:ascii="Arial" w:hAnsi="Arial" w:cs="Arial"/>
                <w:color w:val="000000"/>
                <w:vertAlign w:val="superscript"/>
              </w:rPr>
              <w:t>th</w:t>
            </w:r>
            <w:r w:rsidRPr="003A3034">
              <w:rPr>
                <w:rFonts w:ascii="Arial" w:hAnsi="Arial" w:cs="Arial"/>
                <w:color w:val="000000"/>
              </w:rPr>
              <w:t xml:space="preserve"> birthday</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until her 43</w:t>
            </w:r>
            <w:r w:rsidRPr="003A3034">
              <w:rPr>
                <w:rFonts w:ascii="Arial" w:hAnsi="Arial" w:cs="Arial"/>
                <w:color w:val="000000"/>
                <w:vertAlign w:val="superscript"/>
              </w:rPr>
              <w:t>rd</w:t>
            </w:r>
            <w:r w:rsidRPr="003A3034">
              <w:rPr>
                <w:rFonts w:ascii="Arial" w:hAnsi="Arial" w:cs="Arial"/>
                <w:color w:val="000000"/>
              </w:rPr>
              <w:t xml:space="preserve"> birthday if harvested after the age of 38</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Patients can choose to fund storage themselves beyond the NHS funded period.</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Anyone wishing to use stored gametes would need to meet the criteria for fertility treatment.</w:t>
            </w:r>
          </w:p>
          <w:p w:rsidR="00B86A91" w:rsidRPr="005B440F" w:rsidRDefault="00B86A91" w:rsidP="003A43C5">
            <w:pPr>
              <w:autoSpaceDE w:val="0"/>
              <w:autoSpaceDN w:val="0"/>
              <w:adjustRightInd w:val="0"/>
              <w:rPr>
                <w:rFonts w:ascii="Arial" w:hAnsi="Arial" w:cs="Arial"/>
                <w:color w:val="000000"/>
              </w:rPr>
            </w:pPr>
            <w:r w:rsidRPr="005B440F">
              <w:rPr>
                <w:rFonts w:ascii="Arial" w:hAnsi="Arial" w:cs="Arial"/>
              </w:rPr>
              <w:t xml:space="preserve">Any further costs e.g. for the use of oocytes in fertility treatment or transport to another </w:t>
            </w:r>
            <w:r w:rsidRPr="005B440F">
              <w:rPr>
                <w:rFonts w:ascii="Arial" w:hAnsi="Arial" w:cs="Arial"/>
                <w:color w:val="000000"/>
              </w:rPr>
              <w:t>clinic etc would need to be met by the patient.</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If the patient dies whilst their eggs are in storage the CCG will no longer fund the storage 3 months from the person dying.</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If the person is already deceased the 3 months commences on 1 December 2016.</w:t>
            </w:r>
          </w:p>
        </w:tc>
      </w:tr>
      <w:tr w:rsidR="00B86A91" w:rsidRPr="006A47BD" w:rsidTr="003A43C5">
        <w:trPr>
          <w:trHeight w:val="416"/>
        </w:trPr>
        <w:tc>
          <w:tcPr>
            <w:tcW w:w="2127" w:type="dxa"/>
          </w:tcPr>
          <w:p w:rsidR="00B86A91" w:rsidRPr="003A3034" w:rsidRDefault="00B86A91" w:rsidP="003A43C5">
            <w:pPr>
              <w:spacing w:after="160" w:line="259" w:lineRule="auto"/>
              <w:ind w:left="176"/>
              <w:rPr>
                <w:rFonts w:ascii="Arial" w:hAnsi="Arial" w:cs="Arial"/>
              </w:rPr>
            </w:pPr>
            <w:r w:rsidRPr="003A3034">
              <w:rPr>
                <w:rFonts w:ascii="Arial" w:hAnsi="Arial" w:cs="Arial"/>
              </w:rPr>
              <w:t xml:space="preserve">Sperm storage for patients undergoing </w:t>
            </w:r>
            <w:r>
              <w:rPr>
                <w:rFonts w:ascii="Arial" w:hAnsi="Arial" w:cs="Arial"/>
              </w:rPr>
              <w:t xml:space="preserve">medically necessary </w:t>
            </w:r>
            <w:r w:rsidRPr="003A3034">
              <w:rPr>
                <w:rFonts w:ascii="Arial" w:hAnsi="Arial" w:cs="Arial"/>
              </w:rPr>
              <w:t>treatments likely to affect their fertility</w:t>
            </w:r>
          </w:p>
          <w:p w:rsidR="00B86A91" w:rsidRPr="003A3034" w:rsidRDefault="00B86A91" w:rsidP="003A43C5">
            <w:pPr>
              <w:spacing w:after="160" w:line="259" w:lineRule="auto"/>
              <w:ind w:left="176"/>
              <w:rPr>
                <w:rFonts w:ascii="Arial" w:hAnsi="Arial" w:cs="Arial"/>
              </w:rPr>
            </w:pPr>
          </w:p>
        </w:tc>
        <w:tc>
          <w:tcPr>
            <w:tcW w:w="7513" w:type="dxa"/>
          </w:tcPr>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The CCG will fund storage of sperm that have been frozen already for those undergoing treatment for cancer and other medical conditions that affect their reproductive functions.</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The CCG will fund the storage:</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until the age of 25 if harvested before his 20</w:t>
            </w:r>
            <w:r w:rsidRPr="003A3034">
              <w:rPr>
                <w:rFonts w:ascii="Arial" w:hAnsi="Arial" w:cs="Arial"/>
                <w:color w:val="000000"/>
                <w:vertAlign w:val="superscript"/>
              </w:rPr>
              <w:t>th</w:t>
            </w:r>
            <w:r w:rsidRPr="003A3034">
              <w:rPr>
                <w:rFonts w:ascii="Arial" w:hAnsi="Arial" w:cs="Arial"/>
                <w:color w:val="000000"/>
              </w:rPr>
              <w:t xml:space="preserve"> birthday</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for 5 years if harvested between his 20</w:t>
            </w:r>
            <w:r w:rsidRPr="003A3034">
              <w:rPr>
                <w:rFonts w:ascii="Arial" w:hAnsi="Arial" w:cs="Arial"/>
                <w:color w:val="000000"/>
                <w:vertAlign w:val="superscript"/>
              </w:rPr>
              <w:t>th</w:t>
            </w:r>
            <w:r w:rsidRPr="003A3034">
              <w:rPr>
                <w:rFonts w:ascii="Arial" w:hAnsi="Arial" w:cs="Arial"/>
                <w:color w:val="000000"/>
              </w:rPr>
              <w:t xml:space="preserve"> and 38</w:t>
            </w:r>
            <w:r w:rsidRPr="003A3034">
              <w:rPr>
                <w:rFonts w:ascii="Arial" w:hAnsi="Arial" w:cs="Arial"/>
                <w:color w:val="000000"/>
                <w:vertAlign w:val="superscript"/>
              </w:rPr>
              <w:t>th</w:t>
            </w:r>
            <w:r w:rsidRPr="003A3034">
              <w:rPr>
                <w:rFonts w:ascii="Arial" w:hAnsi="Arial" w:cs="Arial"/>
                <w:color w:val="000000"/>
              </w:rPr>
              <w:t xml:space="preserve"> birthday</w:t>
            </w:r>
          </w:p>
          <w:p w:rsidR="00B86A91" w:rsidRPr="003A3034" w:rsidRDefault="00B86A91" w:rsidP="00B86A91">
            <w:pPr>
              <w:numPr>
                <w:ilvl w:val="0"/>
                <w:numId w:val="5"/>
              </w:numPr>
              <w:autoSpaceDE w:val="0"/>
              <w:autoSpaceDN w:val="0"/>
              <w:adjustRightInd w:val="0"/>
              <w:spacing w:after="160" w:line="259" w:lineRule="auto"/>
              <w:rPr>
                <w:rFonts w:ascii="Arial" w:hAnsi="Arial" w:cs="Arial"/>
                <w:color w:val="000000"/>
              </w:rPr>
            </w:pPr>
            <w:r w:rsidRPr="003A3034">
              <w:rPr>
                <w:rFonts w:ascii="Arial" w:hAnsi="Arial" w:cs="Arial"/>
                <w:color w:val="000000"/>
              </w:rPr>
              <w:t>until his 43</w:t>
            </w:r>
            <w:r w:rsidRPr="003A3034">
              <w:rPr>
                <w:rFonts w:ascii="Arial" w:hAnsi="Arial" w:cs="Arial"/>
                <w:color w:val="000000"/>
                <w:vertAlign w:val="superscript"/>
              </w:rPr>
              <w:t>rd</w:t>
            </w:r>
            <w:r w:rsidRPr="003A3034">
              <w:rPr>
                <w:rFonts w:ascii="Arial" w:hAnsi="Arial" w:cs="Arial"/>
                <w:color w:val="000000"/>
              </w:rPr>
              <w:t xml:space="preserve"> birthday if harvested after the age of 38</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Patients can choose to fund storage themselves beyond the NHS funded period.</w:t>
            </w:r>
          </w:p>
          <w:p w:rsidR="00B86A91" w:rsidRPr="005B440F" w:rsidRDefault="00B86A91" w:rsidP="003A43C5">
            <w:pPr>
              <w:autoSpaceDE w:val="0"/>
              <w:autoSpaceDN w:val="0"/>
              <w:adjustRightInd w:val="0"/>
              <w:rPr>
                <w:rFonts w:ascii="Arial" w:hAnsi="Arial" w:cs="Arial"/>
                <w:color w:val="000000"/>
              </w:rPr>
            </w:pPr>
            <w:r w:rsidRPr="005B440F">
              <w:rPr>
                <w:rFonts w:ascii="Arial" w:hAnsi="Arial" w:cs="Arial"/>
              </w:rPr>
              <w:t xml:space="preserve">Any further costs e.g. for the use of sperm in fertility treatment or transport to another clinic etc would need to </w:t>
            </w:r>
            <w:r w:rsidRPr="005B440F">
              <w:rPr>
                <w:rFonts w:ascii="Arial" w:hAnsi="Arial" w:cs="Arial"/>
                <w:color w:val="000000"/>
              </w:rPr>
              <w:t>be met by the patient.</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If the patient dies whilst their sperm are in storage the CCG will no longer fund the storage 3 months from the person dying.</w:t>
            </w:r>
          </w:p>
          <w:p w:rsidR="00B86A91" w:rsidRPr="003A3034" w:rsidRDefault="00B86A91" w:rsidP="003A43C5">
            <w:pPr>
              <w:autoSpaceDE w:val="0"/>
              <w:autoSpaceDN w:val="0"/>
              <w:adjustRightInd w:val="0"/>
              <w:rPr>
                <w:rFonts w:ascii="Arial" w:hAnsi="Arial" w:cs="Arial"/>
                <w:color w:val="000000"/>
              </w:rPr>
            </w:pPr>
            <w:r w:rsidRPr="003A3034">
              <w:rPr>
                <w:rFonts w:ascii="Arial" w:hAnsi="Arial" w:cs="Arial"/>
                <w:color w:val="000000"/>
              </w:rPr>
              <w:t>If the person is already deceased the 3 months commences on 1 December 2016.</w:t>
            </w:r>
          </w:p>
        </w:tc>
      </w:tr>
    </w:tbl>
    <w:p w:rsidR="00B86A91" w:rsidRDefault="00B86A91" w:rsidP="00B86A91">
      <w:pPr>
        <w:pStyle w:val="Default"/>
        <w:widowControl w:val="0"/>
        <w:rPr>
          <w:sz w:val="22"/>
        </w:rPr>
      </w:pPr>
    </w:p>
    <w:p w:rsidR="00346B71" w:rsidRPr="00346B71" w:rsidRDefault="00346B71" w:rsidP="00346B71">
      <w:pPr>
        <w:rPr>
          <w:rFonts w:ascii="Arial" w:hAnsi="Arial" w:cs="Arial"/>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Patients not meeting the above criteria will not be funded unless there are </w:t>
      </w:r>
      <w:r w:rsidRPr="005C4C8F">
        <w:rPr>
          <w:rFonts w:ascii="Arial" w:hAnsi="Arial" w:cs="Arial"/>
          <w:b/>
          <w:color w:val="000000"/>
          <w:sz w:val="24"/>
          <w:szCs w:val="24"/>
        </w:rPr>
        <w:t>clinically exceptional circumstances.</w:t>
      </w:r>
      <w:r w:rsidRPr="005C4C8F">
        <w:rPr>
          <w:rFonts w:ascii="Arial" w:hAnsi="Arial" w:cs="Arial"/>
          <w:color w:val="000000"/>
          <w:sz w:val="24"/>
          <w:szCs w:val="24"/>
        </w:rPr>
        <w:t xml:space="preserve">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Individual funding requests should only be made where the patient demonstrates clinical exceptionality.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spacing w:after="0" w:line="240" w:lineRule="auto"/>
        <w:rPr>
          <w:rFonts w:ascii="Arial" w:hAnsi="Arial" w:cs="Arial"/>
          <w:color w:val="000000"/>
          <w:sz w:val="24"/>
          <w:szCs w:val="24"/>
          <w:u w:val="single"/>
        </w:rPr>
      </w:pPr>
      <w:r w:rsidRPr="005C4C8F">
        <w:rPr>
          <w:rFonts w:ascii="Arial" w:hAnsi="Arial" w:cs="Arial"/>
          <w:color w:val="000000"/>
        </w:rPr>
        <w:t>Further information on applying for funding in exceptional clinical circumstances can be found on the CCGs’ website.</w:t>
      </w:r>
    </w:p>
    <w:p w:rsidR="00346B71" w:rsidRDefault="00346B71" w:rsidP="00346B71">
      <w:pPr>
        <w:autoSpaceDE w:val="0"/>
        <w:autoSpaceDN w:val="0"/>
        <w:adjustRightInd w:val="0"/>
        <w:rPr>
          <w:rFonts w:ascii="Arial" w:hAnsi="Arial" w:cs="Arial"/>
          <w:color w:val="000000"/>
          <w:sz w:val="24"/>
          <w:szCs w:val="24"/>
        </w:rPr>
      </w:pPr>
    </w:p>
    <w:p w:rsidR="00346B71" w:rsidRPr="00346B71" w:rsidRDefault="00346B71" w:rsidP="00346B71">
      <w:pPr>
        <w:autoSpaceDE w:val="0"/>
        <w:autoSpaceDN w:val="0"/>
        <w:adjustRightInd w:val="0"/>
        <w:rPr>
          <w:rFonts w:ascii="Arial" w:hAnsi="Arial" w:cs="Arial"/>
          <w:color w:val="000000"/>
          <w:sz w:val="24"/>
          <w:szCs w:val="24"/>
        </w:rPr>
      </w:pPr>
    </w:p>
    <w:p w:rsidR="00346B71" w:rsidRPr="00346B71" w:rsidRDefault="00346B71" w:rsidP="00346B71">
      <w:pPr>
        <w:rPr>
          <w:rFonts w:ascii="Arial" w:hAnsi="Arial" w:cs="Arial"/>
          <w:sz w:val="24"/>
          <w:szCs w:val="24"/>
        </w:rPr>
      </w:pPr>
      <w:r w:rsidRPr="00346B71">
        <w:rPr>
          <w:rFonts w:ascii="Arial" w:hAnsi="Arial" w:cs="Arial"/>
          <w:sz w:val="24"/>
          <w:szCs w:val="24"/>
        </w:rPr>
        <w:br w:type="page"/>
      </w:r>
    </w:p>
    <w:p w:rsidR="00346B71" w:rsidRPr="00346B71" w:rsidRDefault="00EF7321"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5"/>
        <w:gridCol w:w="6115"/>
      </w:tblGrid>
      <w:tr w:rsidR="00B86A91" w:rsidRPr="00285FF6" w:rsidTr="003A43C5">
        <w:trPr>
          <w:trHeight w:val="375"/>
        </w:trPr>
        <w:tc>
          <w:tcPr>
            <w:tcW w:w="2959" w:type="dxa"/>
            <w:shd w:val="clear" w:color="auto" w:fill="D7E4FD"/>
            <w:vAlign w:val="center"/>
          </w:tcPr>
          <w:p w:rsidR="00B86A91" w:rsidRPr="00285FF6" w:rsidRDefault="00B86A91"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3" w:type="dxa"/>
            <w:shd w:val="clear" w:color="auto" w:fill="auto"/>
            <w:vAlign w:val="center"/>
          </w:tcPr>
          <w:p w:rsidR="00B86A91" w:rsidRPr="00285FF6" w:rsidRDefault="00B86A91" w:rsidP="003A43C5">
            <w:pPr>
              <w:rPr>
                <w:rFonts w:ascii="Arial" w:hAnsi="Arial" w:cs="Arial"/>
                <w:b/>
              </w:rPr>
            </w:pPr>
            <w:bookmarkStart w:id="2" w:name="BariatricSurgery"/>
            <w:bookmarkEnd w:id="2"/>
            <w:r w:rsidRPr="00285FF6">
              <w:rPr>
                <w:rFonts w:ascii="Arial" w:hAnsi="Arial" w:cs="Arial"/>
                <w:b/>
              </w:rPr>
              <w:t>Bariatric Surgery</w:t>
            </w:r>
          </w:p>
        </w:tc>
      </w:tr>
      <w:tr w:rsidR="00B86A91" w:rsidRPr="00285FF6" w:rsidTr="003A43C5">
        <w:trPr>
          <w:trHeight w:val="375"/>
        </w:trPr>
        <w:tc>
          <w:tcPr>
            <w:tcW w:w="2959" w:type="dxa"/>
            <w:shd w:val="clear" w:color="auto" w:fill="D7E4FD"/>
            <w:vAlign w:val="center"/>
          </w:tcPr>
          <w:p w:rsidR="00B86A91" w:rsidRPr="003E311E" w:rsidRDefault="00B86A91" w:rsidP="003A43C5">
            <w:pPr>
              <w:rPr>
                <w:rFonts w:ascii="Arial" w:hAnsi="Arial" w:cs="Arial"/>
                <w:b/>
              </w:rPr>
            </w:pPr>
            <w:r w:rsidRPr="003E311E">
              <w:rPr>
                <w:rFonts w:ascii="Arial" w:hAnsi="Arial" w:cs="Arial"/>
                <w:b/>
              </w:rPr>
              <w:t>Status:</w:t>
            </w:r>
          </w:p>
        </w:tc>
        <w:tc>
          <w:tcPr>
            <w:tcW w:w="6283" w:type="dxa"/>
            <w:shd w:val="clear" w:color="auto" w:fill="FF0000"/>
            <w:vAlign w:val="center"/>
          </w:tcPr>
          <w:p w:rsidR="00B86A91" w:rsidRPr="003E311E" w:rsidRDefault="00B86A91" w:rsidP="003A43C5">
            <w:pPr>
              <w:rPr>
                <w:rFonts w:ascii="Arial" w:hAnsi="Arial" w:cs="Arial"/>
                <w:b/>
              </w:rPr>
            </w:pPr>
            <w:r>
              <w:rPr>
                <w:rFonts w:ascii="Arial" w:hAnsi="Arial" w:cs="Arial"/>
                <w:b/>
              </w:rPr>
              <w:t xml:space="preserve">Individual Prior Approval – </w:t>
            </w:r>
            <w:r w:rsidRPr="003B0EF4">
              <w:rPr>
                <w:rFonts w:ascii="Arial" w:hAnsi="Arial" w:cs="Arial"/>
              </w:rPr>
              <w:t xml:space="preserve">for individual prior approval form </w:t>
            </w:r>
            <w:hyperlink w:anchor="BenignSkinLesionForm" w:history="1">
              <w:r w:rsidRPr="009929E2">
                <w:rPr>
                  <w:rStyle w:val="Hyperlink"/>
                  <w:rFonts w:ascii="Arial" w:hAnsi="Arial"/>
                </w:rPr>
                <w:t>click here</w:t>
              </w:r>
            </w:hyperlink>
          </w:p>
        </w:tc>
      </w:tr>
    </w:tbl>
    <w:p w:rsidR="00B86A91" w:rsidRDefault="00B86A91" w:rsidP="00B86A91">
      <w:pPr>
        <w:spacing w:after="0" w:line="240" w:lineRule="auto"/>
        <w:jc w:val="both"/>
        <w:rPr>
          <w:rFonts w:ascii="Arial" w:hAnsi="Arial" w:cs="Arial"/>
        </w:rPr>
      </w:pPr>
    </w:p>
    <w:p w:rsidR="00B86A91" w:rsidRDefault="00B86A91" w:rsidP="00B86A91">
      <w:pPr>
        <w:autoSpaceDE w:val="0"/>
        <w:autoSpaceDN w:val="0"/>
        <w:adjustRightInd w:val="0"/>
        <w:contextualSpacing/>
        <w:jc w:val="both"/>
        <w:rPr>
          <w:rFonts w:ascii="Arial" w:hAnsi="Arial" w:cs="Arial"/>
          <w:color w:val="000000"/>
          <w:lang w:eastAsia="en-GB"/>
        </w:rPr>
      </w:pPr>
      <w:r w:rsidRPr="00BA766C">
        <w:rPr>
          <w:rFonts w:ascii="Arial" w:hAnsi="Arial" w:cs="Arial"/>
          <w:color w:val="000000"/>
          <w:lang w:eastAsia="en-GB"/>
        </w:rPr>
        <w:t xml:space="preserve">The CCG does not routinely fund </w:t>
      </w:r>
      <w:r>
        <w:rPr>
          <w:rFonts w:ascii="Arial" w:hAnsi="Arial" w:cs="Arial"/>
          <w:color w:val="000000"/>
          <w:lang w:eastAsia="en-GB"/>
        </w:rPr>
        <w:t>bariatric surgery</w:t>
      </w:r>
    </w:p>
    <w:p w:rsidR="00B86A91" w:rsidRDefault="00B86A91" w:rsidP="00B86A91">
      <w:pPr>
        <w:autoSpaceDE w:val="0"/>
        <w:autoSpaceDN w:val="0"/>
        <w:adjustRightInd w:val="0"/>
        <w:contextualSpacing/>
        <w:jc w:val="both"/>
        <w:rPr>
          <w:rFonts w:ascii="Arial" w:hAnsi="Arial" w:cs="Arial"/>
          <w:color w:val="000000"/>
          <w:lang w:eastAsia="en-GB"/>
        </w:rPr>
      </w:pPr>
    </w:p>
    <w:p w:rsidR="00B86A91" w:rsidRPr="00E75EF9" w:rsidRDefault="00B86A91" w:rsidP="00B86A91">
      <w:pPr>
        <w:autoSpaceDE w:val="0"/>
        <w:autoSpaceDN w:val="0"/>
        <w:adjustRightInd w:val="0"/>
        <w:contextualSpacing/>
        <w:jc w:val="both"/>
        <w:rPr>
          <w:rFonts w:ascii="Arial" w:hAnsi="Arial" w:cs="Arial"/>
        </w:rPr>
      </w:pPr>
      <w:r w:rsidRPr="00E75EF9">
        <w:rPr>
          <w:rFonts w:ascii="Arial" w:hAnsi="Arial" w:cs="Arial"/>
        </w:rPr>
        <w:t>Surgery should only be considered as a treatment option for people with morbid obesity providing all of the following criteria are fulfilled:</w:t>
      </w:r>
    </w:p>
    <w:p w:rsidR="00B86A91" w:rsidRPr="00E75EF9" w:rsidRDefault="00B86A91" w:rsidP="00B86A91">
      <w:pPr>
        <w:autoSpaceDE w:val="0"/>
        <w:autoSpaceDN w:val="0"/>
        <w:adjustRightInd w:val="0"/>
        <w:contextualSpacing/>
        <w:jc w:val="both"/>
        <w:rPr>
          <w:rFonts w:ascii="Arial" w:hAnsi="Arial" w:cs="Arial"/>
        </w:rPr>
      </w:pPr>
    </w:p>
    <w:p w:rsidR="00B86A91" w:rsidRPr="00E75EF9" w:rsidRDefault="00B86A91" w:rsidP="00B86A91">
      <w:pPr>
        <w:numPr>
          <w:ilvl w:val="0"/>
          <w:numId w:val="8"/>
        </w:numPr>
        <w:autoSpaceDE w:val="0"/>
        <w:autoSpaceDN w:val="0"/>
        <w:adjustRightInd w:val="0"/>
        <w:spacing w:after="0" w:line="240" w:lineRule="auto"/>
        <w:contextualSpacing/>
        <w:jc w:val="both"/>
        <w:rPr>
          <w:rFonts w:ascii="Arial" w:hAnsi="Arial" w:cs="Arial"/>
        </w:rPr>
      </w:pPr>
      <w:r w:rsidRPr="00E75EF9">
        <w:rPr>
          <w:rFonts w:ascii="Arial" w:hAnsi="Arial" w:cs="Arial"/>
        </w:rPr>
        <w:t>The individual is considered morbidly obese*</w:t>
      </w:r>
    </w:p>
    <w:p w:rsidR="00B86A91" w:rsidRDefault="00B86A91" w:rsidP="00B86A91">
      <w:pPr>
        <w:autoSpaceDE w:val="0"/>
        <w:autoSpaceDN w:val="0"/>
        <w:adjustRightInd w:val="0"/>
        <w:ind w:left="720"/>
        <w:contextualSpacing/>
        <w:jc w:val="both"/>
      </w:pPr>
    </w:p>
    <w:p w:rsidR="00B86A91" w:rsidRPr="00E75EF9" w:rsidRDefault="00B86A91" w:rsidP="00B86A91">
      <w:pPr>
        <w:autoSpaceDE w:val="0"/>
        <w:autoSpaceDN w:val="0"/>
        <w:adjustRightInd w:val="0"/>
        <w:contextualSpacing/>
        <w:jc w:val="both"/>
        <w:rPr>
          <w:rFonts w:ascii="Arial" w:hAnsi="Arial" w:cs="Arial"/>
        </w:rPr>
      </w:pPr>
      <w:r>
        <w:rPr>
          <w:rFonts w:ascii="Arial" w:hAnsi="Arial" w:cs="Arial"/>
        </w:rPr>
        <w:t>*</w:t>
      </w:r>
      <w:r w:rsidRPr="00E75EF9">
        <w:rPr>
          <w:rFonts w:ascii="Arial" w:hAnsi="Arial" w:cs="Arial"/>
        </w:rPr>
        <w:t>For the purpose of this guidance and in accordance with previous and current NICE Guidance, obesity surgery will be offered to adults with a BMI of 40kg/m2 or more, or between 35 kg/m2 and 40kg/m2 or greater in the presence of other significant diseases. However, NICE have recently updated their guidance on obesity surgery (NICE CG189). This expands the above criteria - to the consideration of newly diagnosed diabetics ( 30 to &lt; 35, for assessment of obesity surgery. Moreover, patients with newly diagnosed diabetes within the former group (≥35) should be expedited for consideration of obesity surgery. All groups will have been treated in a Tier 3 specialist weight management service. NICE guidance also includes consideration of assessment of newly diagnosed Asian diabetes patients at BMI levels2.5 kg/m2 less.</w:t>
      </w:r>
    </w:p>
    <w:p w:rsidR="00B86A91" w:rsidRDefault="00B86A91" w:rsidP="00B86A91">
      <w:pPr>
        <w:autoSpaceDE w:val="0"/>
        <w:autoSpaceDN w:val="0"/>
        <w:adjustRightInd w:val="0"/>
        <w:contextualSpacing/>
        <w:jc w:val="both"/>
        <w:rPr>
          <w:rFonts w:ascii="Arial" w:hAnsi="Arial" w:cs="Arial"/>
          <w:b/>
          <w:color w:val="000000"/>
          <w:lang w:eastAsia="en-GB"/>
        </w:rPr>
      </w:pPr>
    </w:p>
    <w:p w:rsidR="00B86A91" w:rsidRPr="00E75EF9" w:rsidRDefault="00B86A91" w:rsidP="00B86A91">
      <w:pPr>
        <w:numPr>
          <w:ilvl w:val="0"/>
          <w:numId w:val="7"/>
        </w:numPr>
        <w:autoSpaceDE w:val="0"/>
        <w:autoSpaceDN w:val="0"/>
        <w:adjustRightInd w:val="0"/>
        <w:spacing w:after="0" w:line="240" w:lineRule="auto"/>
        <w:contextualSpacing/>
        <w:jc w:val="both"/>
        <w:rPr>
          <w:rFonts w:ascii="Arial" w:hAnsi="Arial" w:cs="Arial"/>
          <w:color w:val="000000"/>
          <w:sz w:val="20"/>
          <w:lang w:eastAsia="en-GB"/>
        </w:rPr>
      </w:pPr>
      <w:r w:rsidRPr="00E75EF9">
        <w:rPr>
          <w:rFonts w:ascii="Arial" w:hAnsi="Arial" w:cs="Arial"/>
        </w:rPr>
        <w:t>There must be formalised MDT led processes for the screening of comorbidities and the detection of other significant diseases.</w:t>
      </w:r>
      <w:r w:rsidRPr="00E75EF9">
        <w:rPr>
          <w:rFonts w:ascii="Arial" w:hAnsi="Arial" w:cs="Arial"/>
          <w:color w:val="000000"/>
          <w:sz w:val="20"/>
          <w:lang w:eastAsia="en-GB"/>
        </w:rPr>
        <w:t xml:space="preserve"> </w:t>
      </w:r>
    </w:p>
    <w:p w:rsidR="00B86A91" w:rsidRDefault="00B86A91" w:rsidP="00B86A91">
      <w:pPr>
        <w:autoSpaceDE w:val="0"/>
        <w:autoSpaceDN w:val="0"/>
        <w:adjustRightInd w:val="0"/>
        <w:ind w:left="1440"/>
        <w:contextualSpacing/>
        <w:jc w:val="both"/>
        <w:rPr>
          <w:rFonts w:ascii="Arial" w:hAnsi="Arial" w:cs="Arial"/>
        </w:rPr>
      </w:pPr>
    </w:p>
    <w:p w:rsidR="00B86A91" w:rsidRDefault="00B86A91" w:rsidP="00B86A91">
      <w:pPr>
        <w:autoSpaceDE w:val="0"/>
        <w:autoSpaceDN w:val="0"/>
        <w:adjustRightInd w:val="0"/>
        <w:ind w:left="720"/>
        <w:contextualSpacing/>
        <w:jc w:val="both"/>
        <w:rPr>
          <w:rFonts w:ascii="Arial" w:hAnsi="Arial" w:cs="Arial"/>
        </w:rPr>
      </w:pPr>
      <w:r w:rsidRPr="00E75EF9">
        <w:rPr>
          <w:rFonts w:ascii="Arial" w:hAnsi="Arial" w:cs="Arial"/>
        </w:rPr>
        <w:t>These should include:</w:t>
      </w:r>
    </w:p>
    <w:p w:rsidR="00B86A91" w:rsidRPr="00E75EF9" w:rsidRDefault="00B86A91" w:rsidP="00B86A91">
      <w:pPr>
        <w:autoSpaceDE w:val="0"/>
        <w:autoSpaceDN w:val="0"/>
        <w:adjustRightInd w:val="0"/>
        <w:ind w:left="720"/>
        <w:contextualSpacing/>
        <w:jc w:val="both"/>
        <w:rPr>
          <w:rFonts w:ascii="Arial" w:hAnsi="Arial" w:cs="Arial"/>
          <w:color w:val="000000"/>
          <w:sz w:val="20"/>
          <w:lang w:eastAsia="en-GB"/>
        </w:rPr>
      </w:pPr>
    </w:p>
    <w:p w:rsidR="00B86A91" w:rsidRPr="00E75EF9" w:rsidRDefault="00B86A91" w:rsidP="00B86A91">
      <w:pPr>
        <w:numPr>
          <w:ilvl w:val="0"/>
          <w:numId w:val="7"/>
        </w:numPr>
        <w:autoSpaceDE w:val="0"/>
        <w:autoSpaceDN w:val="0"/>
        <w:adjustRightInd w:val="0"/>
        <w:spacing w:after="0" w:line="240" w:lineRule="auto"/>
        <w:contextualSpacing/>
        <w:jc w:val="both"/>
        <w:rPr>
          <w:rFonts w:ascii="Arial" w:hAnsi="Arial" w:cs="Arial"/>
          <w:color w:val="000000"/>
          <w:sz w:val="20"/>
          <w:lang w:eastAsia="en-GB"/>
        </w:rPr>
      </w:pPr>
      <w:r w:rsidRPr="00E75EF9">
        <w:rPr>
          <w:rFonts w:ascii="Arial" w:hAnsi="Arial" w:cs="Arial"/>
        </w:rPr>
        <w:t xml:space="preserve">Disease / condition / Risk factor identification, diagnosis, severity / complexity assessment, risk stratification/scoring and appropriate specialist referral for specialist medical management. Such medical evaluation and optimization is mandatory prior to entering a surgical pathway. </w:t>
      </w:r>
    </w:p>
    <w:p w:rsidR="00B86A91" w:rsidRPr="00E75EF9" w:rsidRDefault="00B86A91" w:rsidP="00B86A91">
      <w:pPr>
        <w:autoSpaceDE w:val="0"/>
        <w:autoSpaceDN w:val="0"/>
        <w:adjustRightInd w:val="0"/>
        <w:ind w:left="720"/>
        <w:contextualSpacing/>
        <w:jc w:val="both"/>
        <w:rPr>
          <w:rFonts w:ascii="Arial" w:hAnsi="Arial" w:cs="Arial"/>
          <w:color w:val="000000"/>
          <w:sz w:val="20"/>
          <w:lang w:eastAsia="en-GB"/>
        </w:rPr>
      </w:pPr>
    </w:p>
    <w:p w:rsidR="00B86A91" w:rsidRPr="00E75EF9" w:rsidRDefault="00B86A91" w:rsidP="00B86A91">
      <w:pPr>
        <w:numPr>
          <w:ilvl w:val="0"/>
          <w:numId w:val="7"/>
        </w:numPr>
        <w:autoSpaceDE w:val="0"/>
        <w:autoSpaceDN w:val="0"/>
        <w:adjustRightInd w:val="0"/>
        <w:spacing w:after="0" w:line="240" w:lineRule="auto"/>
        <w:contextualSpacing/>
        <w:jc w:val="both"/>
        <w:rPr>
          <w:rFonts w:ascii="Arial" w:hAnsi="Arial" w:cs="Arial"/>
          <w:color w:val="000000"/>
          <w:sz w:val="20"/>
          <w:lang w:eastAsia="en-GB"/>
        </w:rPr>
      </w:pPr>
      <w:r w:rsidRPr="00E75EF9">
        <w:rPr>
          <w:rFonts w:ascii="Arial" w:hAnsi="Arial" w:cs="Arial"/>
        </w:rPr>
        <w:t>The individual has recently received and complied with a local specialist weight management programme (non-surgical Tier 3 mostly and Tier 4 in some urgent or complex cases) described as follows:</w:t>
      </w:r>
    </w:p>
    <w:p w:rsidR="00B86A91" w:rsidRPr="00E75EF9" w:rsidRDefault="00B86A91" w:rsidP="00B86A91">
      <w:pPr>
        <w:autoSpaceDE w:val="0"/>
        <w:autoSpaceDN w:val="0"/>
        <w:adjustRightInd w:val="0"/>
        <w:ind w:left="720"/>
        <w:contextualSpacing/>
        <w:jc w:val="both"/>
        <w:rPr>
          <w:rFonts w:ascii="Arial" w:hAnsi="Arial" w:cs="Arial"/>
          <w:color w:val="000000"/>
          <w:sz w:val="20"/>
          <w:lang w:eastAsia="en-GB"/>
        </w:rPr>
      </w:pPr>
    </w:p>
    <w:p w:rsidR="00B86A91" w:rsidRPr="00E75EF9" w:rsidRDefault="00B86A91" w:rsidP="00B86A91">
      <w:pPr>
        <w:numPr>
          <w:ilvl w:val="1"/>
          <w:numId w:val="7"/>
        </w:numPr>
        <w:autoSpaceDE w:val="0"/>
        <w:autoSpaceDN w:val="0"/>
        <w:adjustRightInd w:val="0"/>
        <w:spacing w:after="0" w:line="240" w:lineRule="auto"/>
        <w:contextualSpacing/>
        <w:jc w:val="both"/>
        <w:rPr>
          <w:rFonts w:ascii="Arial" w:hAnsi="Arial" w:cs="Arial"/>
          <w:color w:val="000000"/>
          <w:sz w:val="18"/>
          <w:lang w:eastAsia="en-GB"/>
        </w:rPr>
      </w:pPr>
      <w:r w:rsidRPr="00E75EF9">
        <w:rPr>
          <w:rFonts w:ascii="Arial" w:hAnsi="Arial" w:cs="Arial"/>
        </w:rPr>
        <w:t>This will have been for a duration considered appropriate by the MDT (previous requirement was for 12-24 months). For patients with BMI &gt; 50 attending a specialist obesity service, this period should include the stabilisation and assessment period prior to obesity surgery (previous requirement was a minimum of 6 months). Patients with new onset type 2 diabetes may have their surgical assessment concurrently with the medical tier 3 service.</w:t>
      </w:r>
    </w:p>
    <w:p w:rsidR="00B86A91" w:rsidRDefault="00B86A91" w:rsidP="00B86A91">
      <w:pPr>
        <w:pStyle w:val="ListParagraph"/>
        <w:rPr>
          <w:rFonts w:ascii="Arial" w:hAnsi="Arial" w:cs="Arial"/>
          <w:color w:val="000000"/>
          <w:sz w:val="22"/>
          <w:szCs w:val="22"/>
        </w:rPr>
      </w:pPr>
    </w:p>
    <w:p w:rsidR="00B86A91" w:rsidRDefault="00B86A91" w:rsidP="00B86A91">
      <w:pPr>
        <w:spacing w:after="0" w:line="240" w:lineRule="auto"/>
        <w:jc w:val="both"/>
        <w:rPr>
          <w:rFonts w:ascii="Arial" w:hAnsi="Arial" w:cs="Arial"/>
          <w:color w:val="000000"/>
          <w:lang w:eastAsia="en-GB"/>
        </w:rPr>
      </w:pPr>
      <w:r>
        <w:rPr>
          <w:rFonts w:ascii="Arial" w:hAnsi="Arial" w:cs="Arial"/>
          <w:color w:val="000000"/>
          <w:lang w:eastAsia="en-GB"/>
        </w:rPr>
        <w:t xml:space="preserve">If </w:t>
      </w:r>
      <w:r w:rsidRPr="00BA766C">
        <w:rPr>
          <w:rFonts w:ascii="Arial" w:hAnsi="Arial" w:cs="Arial"/>
          <w:color w:val="000000"/>
          <w:lang w:eastAsia="en-GB"/>
        </w:rPr>
        <w:t>there are exceptional cli</w:t>
      </w:r>
      <w:r>
        <w:rPr>
          <w:rFonts w:ascii="Arial" w:hAnsi="Arial" w:cs="Arial"/>
          <w:color w:val="000000"/>
          <w:lang w:eastAsia="en-GB"/>
        </w:rPr>
        <w:t>nical circumstances in which the patient does not meet the above criteria then funding would need to be sought via Individual Funding Request (IFR)</w:t>
      </w:r>
      <w:r w:rsidR="005C4C8F">
        <w:rPr>
          <w:rFonts w:ascii="Arial" w:hAnsi="Arial" w:cs="Arial"/>
          <w:color w:val="000000"/>
          <w:lang w:eastAsia="en-GB"/>
        </w:rPr>
        <w:t>.</w:t>
      </w:r>
    </w:p>
    <w:p w:rsidR="005C4C8F" w:rsidRDefault="005C4C8F" w:rsidP="00B86A91">
      <w:pPr>
        <w:spacing w:after="0" w:line="240" w:lineRule="auto"/>
        <w:jc w:val="both"/>
        <w:rPr>
          <w:rFonts w:ascii="Arial" w:hAnsi="Arial" w:cs="Arial"/>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Patients not meeting the above criteria will not be funded unless there are </w:t>
      </w:r>
      <w:r w:rsidRPr="005C4C8F">
        <w:rPr>
          <w:rFonts w:ascii="Arial" w:hAnsi="Arial" w:cs="Arial"/>
          <w:b/>
          <w:color w:val="000000"/>
          <w:sz w:val="24"/>
          <w:szCs w:val="24"/>
        </w:rPr>
        <w:t>clinically exceptional circumstances.</w:t>
      </w:r>
      <w:r w:rsidRPr="005C4C8F">
        <w:rPr>
          <w:rFonts w:ascii="Arial" w:hAnsi="Arial" w:cs="Arial"/>
          <w:color w:val="000000"/>
          <w:sz w:val="24"/>
          <w:szCs w:val="24"/>
        </w:rPr>
        <w:t xml:space="preserve">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Individual funding requests should only be made where the patient demonstrates clinical exceptionality.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spacing w:after="0" w:line="240" w:lineRule="auto"/>
        <w:rPr>
          <w:rFonts w:ascii="Arial" w:hAnsi="Arial" w:cs="Arial"/>
          <w:color w:val="000000"/>
          <w:sz w:val="24"/>
          <w:szCs w:val="24"/>
          <w:u w:val="single"/>
        </w:rPr>
      </w:pPr>
      <w:r w:rsidRPr="005C4C8F">
        <w:rPr>
          <w:rFonts w:ascii="Arial" w:hAnsi="Arial" w:cs="Arial"/>
          <w:color w:val="000000"/>
        </w:rPr>
        <w:t>Further information on applying for funding in exceptional clinical circumstances can be found on the CCGs’ website.</w:t>
      </w:r>
    </w:p>
    <w:p w:rsidR="00346B71" w:rsidRPr="00346B71" w:rsidRDefault="00346B71" w:rsidP="00346B71">
      <w:pPr>
        <w:rPr>
          <w:rFonts w:ascii="Arial" w:hAnsi="Arial" w:cs="Arial"/>
          <w:sz w:val="24"/>
          <w:szCs w:val="24"/>
        </w:rPr>
      </w:pPr>
    </w:p>
    <w:p w:rsidR="00346B71" w:rsidRPr="00346B71" w:rsidRDefault="00346B71" w:rsidP="00346B71">
      <w:pPr>
        <w:rPr>
          <w:rFonts w:ascii="Arial" w:hAnsi="Arial" w:cs="Arial"/>
          <w:sz w:val="24"/>
          <w:szCs w:val="24"/>
        </w:rPr>
      </w:pPr>
      <w:r w:rsidRPr="00346B71">
        <w:rPr>
          <w:rFonts w:ascii="Arial" w:hAnsi="Arial" w:cs="Arial"/>
          <w:sz w:val="24"/>
          <w:szCs w:val="24"/>
        </w:rPr>
        <w:br w:type="page"/>
      </w:r>
    </w:p>
    <w:p w:rsidR="00746DB4" w:rsidRPr="00346B71" w:rsidRDefault="00EF7321"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0"/>
        <w:gridCol w:w="6120"/>
      </w:tblGrid>
      <w:tr w:rsidR="004D2690" w:rsidRPr="00285FF6" w:rsidTr="003A43C5">
        <w:trPr>
          <w:trHeight w:val="375"/>
        </w:trPr>
        <w:tc>
          <w:tcPr>
            <w:tcW w:w="2956" w:type="dxa"/>
            <w:shd w:val="clear" w:color="auto" w:fill="D7E4FD"/>
            <w:vAlign w:val="center"/>
          </w:tcPr>
          <w:p w:rsidR="004D2690" w:rsidRPr="00285FF6" w:rsidRDefault="004D2690" w:rsidP="003A43C5">
            <w:pPr>
              <w:rPr>
                <w:rFonts w:ascii="Arial" w:hAnsi="Arial" w:cs="Arial"/>
                <w:b/>
              </w:rPr>
            </w:pPr>
            <w:r>
              <w:rPr>
                <w:b/>
              </w:rPr>
              <w:br w:type="page"/>
            </w: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6" w:type="dxa"/>
            <w:shd w:val="clear" w:color="auto" w:fill="auto"/>
            <w:vAlign w:val="center"/>
          </w:tcPr>
          <w:p w:rsidR="004D2690" w:rsidRPr="00285FF6" w:rsidRDefault="004D2690" w:rsidP="004D2690">
            <w:pPr>
              <w:rPr>
                <w:rFonts w:ascii="Arial" w:hAnsi="Arial" w:cs="Arial"/>
                <w:b/>
              </w:rPr>
            </w:pPr>
            <w:bookmarkStart w:id="3" w:name="BreastAsymmetry"/>
            <w:bookmarkStart w:id="4" w:name="BreastProcedures"/>
            <w:bookmarkEnd w:id="3"/>
            <w:r w:rsidRPr="00285FF6">
              <w:rPr>
                <w:rFonts w:ascii="Arial" w:hAnsi="Arial" w:cs="Arial"/>
                <w:b/>
              </w:rPr>
              <w:t xml:space="preserve">Breast </w:t>
            </w:r>
            <w:r>
              <w:rPr>
                <w:rFonts w:ascii="Arial" w:hAnsi="Arial" w:cs="Arial"/>
                <w:b/>
              </w:rPr>
              <w:t>Asymmetry</w:t>
            </w:r>
            <w:bookmarkEnd w:id="4"/>
          </w:p>
        </w:tc>
      </w:tr>
      <w:tr w:rsidR="004D2690" w:rsidRPr="00C419CE" w:rsidTr="003A43C5">
        <w:trPr>
          <w:trHeight w:val="375"/>
        </w:trPr>
        <w:tc>
          <w:tcPr>
            <w:tcW w:w="2956" w:type="dxa"/>
            <w:shd w:val="clear" w:color="auto" w:fill="D7E4FD"/>
            <w:vAlign w:val="center"/>
          </w:tcPr>
          <w:p w:rsidR="004D2690" w:rsidRPr="00285FF6" w:rsidRDefault="004D2690" w:rsidP="003A43C5">
            <w:pPr>
              <w:rPr>
                <w:rFonts w:ascii="Arial" w:hAnsi="Arial" w:cs="Arial"/>
                <w:b/>
              </w:rPr>
            </w:pPr>
            <w:r>
              <w:rPr>
                <w:rFonts w:ascii="Arial" w:hAnsi="Arial" w:cs="Arial"/>
                <w:b/>
              </w:rPr>
              <w:t>Status:</w:t>
            </w:r>
          </w:p>
        </w:tc>
        <w:tc>
          <w:tcPr>
            <w:tcW w:w="6286" w:type="dxa"/>
            <w:shd w:val="clear" w:color="auto" w:fill="17365D" w:themeFill="text2" w:themeFillShade="BF"/>
            <w:vAlign w:val="center"/>
          </w:tcPr>
          <w:p w:rsidR="004D2690" w:rsidRPr="00C419CE" w:rsidRDefault="004D2690" w:rsidP="003A43C5">
            <w:pPr>
              <w:rPr>
                <w:rFonts w:ascii="Arial" w:hAnsi="Arial" w:cs="Arial"/>
                <w:b/>
              </w:rPr>
            </w:pPr>
            <w:r>
              <w:rPr>
                <w:rFonts w:ascii="Arial" w:hAnsi="Arial" w:cs="Arial"/>
                <w:b/>
              </w:rPr>
              <w:t>Not Funded</w:t>
            </w:r>
          </w:p>
        </w:tc>
      </w:tr>
    </w:tbl>
    <w:p w:rsidR="004D2690" w:rsidRPr="00285FF6" w:rsidRDefault="004D2690" w:rsidP="004D2690">
      <w:pPr>
        <w:spacing w:after="0" w:line="240" w:lineRule="auto"/>
        <w:rPr>
          <w:rFonts w:ascii="Arial" w:hAnsi="Arial" w:cs="Arial"/>
          <w:b/>
        </w:rPr>
      </w:pPr>
    </w:p>
    <w:p w:rsidR="004D2690" w:rsidRPr="0083059F" w:rsidRDefault="004D2690" w:rsidP="004D2690">
      <w:pPr>
        <w:spacing w:after="0" w:line="240" w:lineRule="auto"/>
        <w:rPr>
          <w:rFonts w:ascii="Arial" w:hAnsi="Arial" w:cs="Arial"/>
          <w:b/>
        </w:rPr>
      </w:pPr>
      <w:r w:rsidRPr="0096120C">
        <w:rPr>
          <w:rFonts w:ascii="Arial" w:hAnsi="Arial"/>
          <w:b/>
          <w:u w:val="single"/>
        </w:rPr>
        <w:t>Breast Asymmetry</w:t>
      </w:r>
    </w:p>
    <w:p w:rsidR="004D2690" w:rsidRDefault="004D2690" w:rsidP="004D2690">
      <w:pPr>
        <w:spacing w:after="0" w:line="240" w:lineRule="auto"/>
        <w:jc w:val="both"/>
        <w:rPr>
          <w:rFonts w:ascii="Arial" w:hAnsi="Arial" w:cs="Arial"/>
        </w:rPr>
      </w:pPr>
      <w:r w:rsidRPr="00A2103B">
        <w:rPr>
          <w:rFonts w:ascii="Arial" w:hAnsi="Arial" w:cs="Arial"/>
        </w:rPr>
        <w:t xml:space="preserve">Procedures to correct breast asymmetry </w:t>
      </w:r>
      <w:r w:rsidRPr="00417136">
        <w:rPr>
          <w:rFonts w:ascii="Arial" w:hAnsi="Arial" w:cs="Arial"/>
          <w:b/>
          <w:i/>
        </w:rPr>
        <w:t>will not be</w:t>
      </w:r>
      <w:r w:rsidRPr="00A2103B">
        <w:rPr>
          <w:rFonts w:ascii="Arial" w:hAnsi="Arial" w:cs="Arial"/>
        </w:rPr>
        <w:t xml:space="preserve"> funded.</w:t>
      </w:r>
    </w:p>
    <w:p w:rsidR="001E5A95" w:rsidRDefault="001E5A95" w:rsidP="001E5A95">
      <w:pPr>
        <w:jc w:val="center"/>
        <w:rPr>
          <w:rFonts w:ascii="Arial" w:hAnsi="Arial" w:cs="Arial"/>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Patients not meeting the above criteria will not be funded unless there are </w:t>
      </w:r>
      <w:r w:rsidRPr="005C4C8F">
        <w:rPr>
          <w:rFonts w:ascii="Arial" w:hAnsi="Arial" w:cs="Arial"/>
          <w:b/>
          <w:color w:val="000000"/>
          <w:sz w:val="24"/>
          <w:szCs w:val="24"/>
        </w:rPr>
        <w:t>clinically exceptional circumstances.</w:t>
      </w:r>
      <w:r w:rsidRPr="005C4C8F">
        <w:rPr>
          <w:rFonts w:ascii="Arial" w:hAnsi="Arial" w:cs="Arial"/>
          <w:color w:val="000000"/>
          <w:sz w:val="24"/>
          <w:szCs w:val="24"/>
        </w:rPr>
        <w:t xml:space="preserve">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Individual funding requests should only be made where the patient demonstrates clinical exceptionality.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spacing w:after="0" w:line="240" w:lineRule="auto"/>
        <w:rPr>
          <w:rFonts w:ascii="Arial" w:hAnsi="Arial" w:cs="Arial"/>
          <w:color w:val="000000"/>
          <w:sz w:val="24"/>
          <w:szCs w:val="24"/>
          <w:u w:val="single"/>
        </w:rPr>
      </w:pPr>
      <w:r w:rsidRPr="005C4C8F">
        <w:rPr>
          <w:rFonts w:ascii="Arial" w:hAnsi="Arial" w:cs="Arial"/>
          <w:color w:val="000000"/>
        </w:rPr>
        <w:t>Further information on applying for funding in exceptional clinical circumstances can be found on the CCGs’ website.</w:t>
      </w:r>
    </w:p>
    <w:p w:rsidR="00746DB4" w:rsidRDefault="00746DB4" w:rsidP="001E5A95">
      <w:pPr>
        <w:jc w:val="center"/>
        <w:rPr>
          <w:rFonts w:ascii="Arial" w:hAnsi="Arial" w:cs="Arial"/>
          <w:sz w:val="24"/>
          <w:szCs w:val="24"/>
        </w:rPr>
      </w:pPr>
    </w:p>
    <w:p w:rsidR="00746DB4" w:rsidRDefault="00746DB4" w:rsidP="001E5A95">
      <w:pPr>
        <w:jc w:val="center"/>
        <w:rPr>
          <w:rFonts w:ascii="Arial" w:hAnsi="Arial" w:cs="Arial"/>
          <w:sz w:val="24"/>
          <w:szCs w:val="24"/>
        </w:rPr>
      </w:pPr>
    </w:p>
    <w:p w:rsidR="00746DB4" w:rsidRDefault="00746DB4">
      <w:pPr>
        <w:rPr>
          <w:rFonts w:ascii="Arial" w:hAnsi="Arial" w:cs="Arial"/>
          <w:sz w:val="24"/>
          <w:szCs w:val="24"/>
        </w:rPr>
      </w:pPr>
      <w:r>
        <w:rPr>
          <w:rFonts w:ascii="Arial" w:hAnsi="Arial" w:cs="Arial"/>
          <w:sz w:val="24"/>
          <w:szCs w:val="24"/>
        </w:rPr>
        <w:br w:type="page"/>
      </w:r>
    </w:p>
    <w:p w:rsidR="00746DB4" w:rsidRPr="00346B71" w:rsidRDefault="00EF7321"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p w:rsidR="00746DB4" w:rsidRPr="00896E62" w:rsidRDefault="00746DB4" w:rsidP="00746DB4">
      <w:pPr>
        <w:pStyle w:val="NoSpacing"/>
      </w:pPr>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1"/>
        <w:gridCol w:w="6119"/>
      </w:tblGrid>
      <w:tr w:rsidR="004D2690" w:rsidTr="003A43C5">
        <w:trPr>
          <w:trHeight w:val="375"/>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4D2690" w:rsidRDefault="004D2690" w:rsidP="003A43C5">
            <w:pPr>
              <w:rPr>
                <w:rFonts w:ascii="Arial" w:hAnsi="Arial" w:cs="Arial"/>
                <w:b/>
              </w:rPr>
            </w:pPr>
            <w:r>
              <w:rPr>
                <w:rFonts w:ascii="Arial" w:hAnsi="Arial" w:cs="Arial"/>
                <w:b/>
              </w:rPr>
              <w:t>Policy statement:</w:t>
            </w:r>
          </w:p>
        </w:tc>
        <w:tc>
          <w:tcPr>
            <w:tcW w:w="6286" w:type="dxa"/>
            <w:tcBorders>
              <w:top w:val="single" w:sz="2" w:space="0" w:color="0066CC"/>
              <w:left w:val="single" w:sz="2" w:space="0" w:color="0066CC"/>
              <w:bottom w:val="single" w:sz="2" w:space="0" w:color="0066CC"/>
              <w:right w:val="single" w:sz="2" w:space="0" w:color="0066CC"/>
            </w:tcBorders>
            <w:shd w:val="clear" w:color="auto" w:fill="auto"/>
            <w:vAlign w:val="center"/>
            <w:hideMark/>
          </w:tcPr>
          <w:p w:rsidR="004D2690" w:rsidRPr="00683F8B" w:rsidRDefault="004D2690" w:rsidP="004D2690">
            <w:pPr>
              <w:rPr>
                <w:rFonts w:ascii="Arial" w:hAnsi="Arial" w:cs="Arial"/>
                <w:b/>
              </w:rPr>
            </w:pPr>
            <w:bookmarkStart w:id="5" w:name="BreastReduction"/>
            <w:bookmarkEnd w:id="5"/>
            <w:r>
              <w:rPr>
                <w:rFonts w:ascii="Arial" w:hAnsi="Arial" w:cs="Arial"/>
                <w:b/>
              </w:rPr>
              <w:t>Breast Reduction</w:t>
            </w:r>
          </w:p>
        </w:tc>
      </w:tr>
      <w:tr w:rsidR="004D2690" w:rsidTr="003A43C5">
        <w:trPr>
          <w:trHeight w:val="987"/>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4D2690" w:rsidRDefault="004D2690" w:rsidP="003A43C5">
            <w:pPr>
              <w:rPr>
                <w:rFonts w:ascii="Arial" w:hAnsi="Arial" w:cs="Arial"/>
                <w:b/>
              </w:rPr>
            </w:pPr>
            <w:r>
              <w:rPr>
                <w:rFonts w:ascii="Arial" w:hAnsi="Arial" w:cs="Arial"/>
                <w:b/>
              </w:rPr>
              <w:t>Status:</w:t>
            </w:r>
          </w:p>
        </w:tc>
        <w:tc>
          <w:tcPr>
            <w:tcW w:w="6286" w:type="dxa"/>
            <w:tcBorders>
              <w:top w:val="single" w:sz="2" w:space="0" w:color="0066CC"/>
              <w:left w:val="single" w:sz="2" w:space="0" w:color="0066CC"/>
              <w:right w:val="single" w:sz="2" w:space="0" w:color="0066CC"/>
            </w:tcBorders>
            <w:shd w:val="clear" w:color="auto" w:fill="FF0000"/>
            <w:vAlign w:val="center"/>
          </w:tcPr>
          <w:p w:rsidR="004D2690" w:rsidRPr="000252E5" w:rsidRDefault="00EF7321" w:rsidP="00B15FA8">
            <w:pPr>
              <w:rPr>
                <w:rFonts w:ascii="Arial" w:hAnsi="Arial" w:cs="Arial"/>
                <w:b/>
              </w:rPr>
            </w:pPr>
            <w:hyperlink w:anchor="BoneMorphogenicProteinForm" w:history="1">
              <w:r w:rsidR="004D2690" w:rsidRPr="003D3609">
                <w:rPr>
                  <w:rStyle w:val="Hyperlink"/>
                  <w:rFonts w:ascii="Arial" w:hAnsi="Arial"/>
                  <w:b/>
                </w:rPr>
                <w:t xml:space="preserve">Individual Prior Approval </w:t>
              </w:r>
            </w:hyperlink>
          </w:p>
        </w:tc>
      </w:tr>
    </w:tbl>
    <w:p w:rsidR="004D2690" w:rsidRDefault="004D2690" w:rsidP="004D2690">
      <w:pPr>
        <w:spacing w:after="0" w:line="240" w:lineRule="auto"/>
        <w:jc w:val="both"/>
        <w:rPr>
          <w:rFonts w:ascii="Arial" w:hAnsi="Arial"/>
          <w:b/>
          <w:u w:val="single"/>
        </w:rPr>
      </w:pPr>
    </w:p>
    <w:p w:rsidR="004D2690" w:rsidRPr="0086009F" w:rsidRDefault="004D2690" w:rsidP="004D2690">
      <w:pPr>
        <w:spacing w:after="0" w:line="240" w:lineRule="auto"/>
        <w:jc w:val="both"/>
        <w:rPr>
          <w:rFonts w:ascii="Arial" w:hAnsi="Arial" w:cs="Arial"/>
          <w:b/>
        </w:rPr>
      </w:pPr>
      <w:r w:rsidRPr="0096120C">
        <w:rPr>
          <w:rFonts w:ascii="Arial" w:hAnsi="Arial"/>
          <w:b/>
          <w:u w:val="single"/>
        </w:rPr>
        <w:t>Breast Reduction</w:t>
      </w:r>
    </w:p>
    <w:p w:rsidR="004D2690" w:rsidRDefault="004D2690" w:rsidP="004D2690">
      <w:pPr>
        <w:spacing w:after="0" w:line="240" w:lineRule="auto"/>
        <w:jc w:val="both"/>
        <w:rPr>
          <w:rFonts w:ascii="Arial" w:hAnsi="Arial" w:cs="Arial"/>
        </w:rPr>
      </w:pPr>
    </w:p>
    <w:p w:rsidR="00B15FA8" w:rsidRPr="002E1DD7" w:rsidRDefault="00B15FA8" w:rsidP="00B15FA8">
      <w:pPr>
        <w:spacing w:after="0" w:line="240" w:lineRule="auto"/>
      </w:pPr>
      <w:r w:rsidRPr="00285FF6">
        <w:rPr>
          <w:rFonts w:ascii="Arial" w:hAnsi="Arial" w:cs="Arial"/>
        </w:rPr>
        <w:t xml:space="preserve">Breast reduction surgery is regarded as a procedure of a low clinical priority. </w:t>
      </w:r>
      <w:r>
        <w:rPr>
          <w:rFonts w:ascii="Arial" w:hAnsi="Arial" w:cs="Arial"/>
        </w:rPr>
        <w:t xml:space="preserve"> </w:t>
      </w:r>
      <w:r w:rsidRPr="00285FF6">
        <w:rPr>
          <w:rFonts w:ascii="Arial" w:hAnsi="Arial" w:cs="Arial"/>
        </w:rPr>
        <w:t xml:space="preserve">Cosmetic breast surgery (surgery undertaken exclusively to improve appearance) is </w:t>
      </w:r>
      <w:r w:rsidRPr="00694C41">
        <w:rPr>
          <w:rFonts w:ascii="Arial" w:hAnsi="Arial"/>
          <w:b/>
          <w:u w:val="single"/>
        </w:rPr>
        <w:t>not</w:t>
      </w:r>
      <w:r w:rsidRPr="00285FF6">
        <w:rPr>
          <w:rFonts w:ascii="Arial" w:hAnsi="Arial" w:cs="Arial"/>
        </w:rPr>
        <w:t xml:space="preserve"> provided to correct natural changes such as those associated with pregnancy or ageing.</w:t>
      </w:r>
      <w:r>
        <w:rPr>
          <w:rFonts w:ascii="Arial" w:hAnsi="Arial" w:cs="Arial"/>
        </w:rPr>
        <w:t xml:space="preserve">  </w:t>
      </w:r>
      <w:r w:rsidRPr="005503B4">
        <w:rPr>
          <w:rFonts w:ascii="Arial" w:hAnsi="Arial"/>
        </w:rPr>
        <w:t xml:space="preserve">This procedure is therefore </w:t>
      </w:r>
      <w:r w:rsidRPr="005503B4">
        <w:rPr>
          <w:rFonts w:ascii="Arial" w:hAnsi="Arial"/>
          <w:b/>
          <w:u w:val="single"/>
        </w:rPr>
        <w:t>not</w:t>
      </w:r>
      <w:r w:rsidRPr="005503B4">
        <w:rPr>
          <w:rFonts w:ascii="Arial" w:hAnsi="Arial"/>
        </w:rPr>
        <w:t xml:space="preserve"> routinely funded by the CCGs. Breast reduction surgery is an effective intervention that should be funded if </w:t>
      </w:r>
      <w:r w:rsidRPr="005503B4">
        <w:rPr>
          <w:rFonts w:ascii="Arial" w:hAnsi="Arial"/>
          <w:b/>
          <w:u w:val="single"/>
        </w:rPr>
        <w:t>one</w:t>
      </w:r>
      <w:r w:rsidRPr="005503B4">
        <w:rPr>
          <w:rFonts w:ascii="Arial" w:hAnsi="Arial"/>
        </w:rPr>
        <w:t xml:space="preserve"> of the following sets of criteria is met: </w:t>
      </w:r>
    </w:p>
    <w:p w:rsidR="00B15FA8" w:rsidRPr="005503B4" w:rsidRDefault="00B15FA8" w:rsidP="00B15FA8">
      <w:pPr>
        <w:pStyle w:val="Default"/>
        <w:rPr>
          <w:sz w:val="22"/>
        </w:rPr>
      </w:pPr>
    </w:p>
    <w:p w:rsidR="00B15FA8" w:rsidRPr="00285FF6" w:rsidRDefault="00B15FA8" w:rsidP="00B15FA8">
      <w:pPr>
        <w:pStyle w:val="Default"/>
        <w:numPr>
          <w:ilvl w:val="0"/>
          <w:numId w:val="11"/>
        </w:numPr>
        <w:rPr>
          <w:sz w:val="22"/>
          <w:szCs w:val="22"/>
        </w:rPr>
      </w:pPr>
      <w:r w:rsidRPr="00285FF6">
        <w:rPr>
          <w:sz w:val="22"/>
          <w:szCs w:val="22"/>
        </w:rPr>
        <w:t>The patient is suffering from neck ache or backache. Clinical evidence will need to be produced to rule out any other medical/physical problems to cause these symptoms; and the wearing of a professionally fitted brassiere has not relieved the symptoms,</w:t>
      </w:r>
    </w:p>
    <w:p w:rsidR="00B15FA8" w:rsidRPr="0036678F" w:rsidRDefault="00B15FA8" w:rsidP="00B15FA8">
      <w:pPr>
        <w:pStyle w:val="Default"/>
        <w:ind w:left="709"/>
        <w:rPr>
          <w:color w:val="auto"/>
          <w:sz w:val="22"/>
        </w:rPr>
      </w:pPr>
      <w:r w:rsidRPr="0036678F">
        <w:rPr>
          <w:b/>
          <w:color w:val="auto"/>
          <w:sz w:val="22"/>
        </w:rPr>
        <w:t xml:space="preserve">and </w:t>
      </w:r>
    </w:p>
    <w:p w:rsidR="00B15FA8" w:rsidRPr="00285FF6" w:rsidRDefault="00B15FA8" w:rsidP="00B15FA8">
      <w:pPr>
        <w:pStyle w:val="Default"/>
        <w:numPr>
          <w:ilvl w:val="0"/>
          <w:numId w:val="11"/>
        </w:numPr>
        <w:rPr>
          <w:sz w:val="22"/>
          <w:szCs w:val="22"/>
        </w:rPr>
      </w:pPr>
      <w:r w:rsidRPr="00285FF6">
        <w:rPr>
          <w:sz w:val="22"/>
          <w:szCs w:val="22"/>
        </w:rPr>
        <w:t xml:space="preserve">Full evidence is provided of all conservative management options that have been attempted, </w:t>
      </w:r>
    </w:p>
    <w:p w:rsidR="00B15FA8" w:rsidRPr="0036678F" w:rsidRDefault="00B15FA8" w:rsidP="00B15FA8">
      <w:pPr>
        <w:pStyle w:val="Default"/>
        <w:ind w:firstLine="709"/>
        <w:rPr>
          <w:color w:val="auto"/>
          <w:sz w:val="22"/>
        </w:rPr>
      </w:pPr>
      <w:r w:rsidRPr="0036678F">
        <w:rPr>
          <w:b/>
          <w:color w:val="auto"/>
          <w:sz w:val="22"/>
        </w:rPr>
        <w:t xml:space="preserve">and </w:t>
      </w:r>
    </w:p>
    <w:p w:rsidR="00B15FA8" w:rsidRPr="00285FF6" w:rsidRDefault="00B15FA8" w:rsidP="00B15FA8">
      <w:pPr>
        <w:pStyle w:val="Default"/>
        <w:numPr>
          <w:ilvl w:val="0"/>
          <w:numId w:val="11"/>
        </w:numPr>
        <w:rPr>
          <w:sz w:val="22"/>
          <w:szCs w:val="22"/>
        </w:rPr>
      </w:pPr>
      <w:r w:rsidRPr="00285FF6">
        <w:rPr>
          <w:sz w:val="22"/>
          <w:szCs w:val="22"/>
        </w:rPr>
        <w:t>The patient has a BMI &lt; 25 and evidence that the weight has been stable for 2 years,</w:t>
      </w:r>
    </w:p>
    <w:p w:rsidR="00B15FA8" w:rsidRPr="005503B4" w:rsidRDefault="00B15FA8" w:rsidP="00B15FA8">
      <w:pPr>
        <w:pStyle w:val="Default"/>
        <w:ind w:firstLine="709"/>
        <w:rPr>
          <w:b/>
          <w:sz w:val="22"/>
          <w:u w:val="single"/>
        </w:rPr>
      </w:pPr>
      <w:r w:rsidRPr="0036678F">
        <w:rPr>
          <w:b/>
          <w:color w:val="auto"/>
          <w:sz w:val="22"/>
        </w:rPr>
        <w:t>and</w:t>
      </w:r>
      <w:r w:rsidRPr="00285FF6">
        <w:rPr>
          <w:b/>
          <w:bCs/>
          <w:sz w:val="22"/>
          <w:szCs w:val="22"/>
        </w:rPr>
        <w:t xml:space="preserve"> </w:t>
      </w:r>
    </w:p>
    <w:p w:rsidR="00B15FA8" w:rsidRDefault="00B15FA8" w:rsidP="00B15FA8">
      <w:pPr>
        <w:pStyle w:val="Default"/>
        <w:numPr>
          <w:ilvl w:val="0"/>
          <w:numId w:val="11"/>
        </w:numPr>
        <w:rPr>
          <w:sz w:val="22"/>
          <w:szCs w:val="22"/>
        </w:rPr>
      </w:pPr>
      <w:r w:rsidRPr="00285FF6">
        <w:rPr>
          <w:sz w:val="22"/>
          <w:szCs w:val="22"/>
        </w:rPr>
        <w:t>The patient has persistent intertrigo for at least one year and confirmed by GP OR another serious functional i</w:t>
      </w:r>
      <w:r>
        <w:rPr>
          <w:sz w:val="22"/>
          <w:szCs w:val="22"/>
        </w:rPr>
        <w:t>mpairment for at least one year.</w:t>
      </w:r>
    </w:p>
    <w:p w:rsidR="00B15FA8" w:rsidRPr="00EE2D98" w:rsidRDefault="00B15FA8" w:rsidP="00B15FA8">
      <w:pPr>
        <w:pStyle w:val="Default"/>
        <w:ind w:left="720"/>
        <w:rPr>
          <w:b/>
          <w:sz w:val="22"/>
          <w:szCs w:val="22"/>
        </w:rPr>
      </w:pPr>
      <w:r w:rsidRPr="00EE2D98">
        <w:rPr>
          <w:b/>
          <w:sz w:val="22"/>
          <w:szCs w:val="22"/>
        </w:rPr>
        <w:t>and</w:t>
      </w:r>
    </w:p>
    <w:p w:rsidR="00B15FA8" w:rsidRPr="00B15FA8" w:rsidRDefault="00B15FA8" w:rsidP="00B15FA8">
      <w:pPr>
        <w:pStyle w:val="Default"/>
        <w:numPr>
          <w:ilvl w:val="0"/>
          <w:numId w:val="11"/>
        </w:numPr>
        <w:rPr>
          <w:sz w:val="22"/>
          <w:szCs w:val="22"/>
        </w:rPr>
      </w:pPr>
      <w:r w:rsidRPr="00B15FA8">
        <w:rPr>
          <w:b/>
          <w:bCs/>
          <w:sz w:val="22"/>
          <w:szCs w:val="22"/>
        </w:rPr>
        <w:t xml:space="preserve">At least 500g </w:t>
      </w:r>
      <w:r w:rsidRPr="00B15FA8">
        <w:rPr>
          <w:bCs/>
          <w:sz w:val="22"/>
          <w:szCs w:val="22"/>
        </w:rPr>
        <w:t>is planned to</w:t>
      </w:r>
      <w:r w:rsidRPr="00B15FA8">
        <w:rPr>
          <w:b/>
          <w:bCs/>
          <w:sz w:val="22"/>
          <w:szCs w:val="22"/>
        </w:rPr>
        <w:t xml:space="preserve"> </w:t>
      </w:r>
      <w:r w:rsidRPr="00B15FA8">
        <w:rPr>
          <w:sz w:val="22"/>
          <w:szCs w:val="22"/>
        </w:rPr>
        <w:t xml:space="preserve">be removed from each breast. </w:t>
      </w:r>
    </w:p>
    <w:p w:rsidR="00B15FA8" w:rsidRPr="00B15FA8" w:rsidRDefault="00B15FA8" w:rsidP="00B15FA8">
      <w:pPr>
        <w:pStyle w:val="Default"/>
        <w:rPr>
          <w:sz w:val="22"/>
          <w:szCs w:val="22"/>
        </w:rPr>
      </w:pPr>
    </w:p>
    <w:p w:rsidR="00B15FA8" w:rsidRPr="00B15FA8" w:rsidRDefault="00B15FA8" w:rsidP="00B15FA8">
      <w:pPr>
        <w:pStyle w:val="Default"/>
        <w:rPr>
          <w:sz w:val="22"/>
          <w:szCs w:val="22"/>
        </w:rPr>
      </w:pPr>
      <w:r w:rsidRPr="00B15FA8">
        <w:rPr>
          <w:sz w:val="22"/>
          <w:szCs w:val="22"/>
        </w:rPr>
        <w:t xml:space="preserve">Patients who have predictable breast changes due to pregnancy are excluded.  </w:t>
      </w:r>
    </w:p>
    <w:p w:rsidR="00B15FA8" w:rsidRPr="00B15FA8" w:rsidRDefault="00B15FA8" w:rsidP="00B15FA8">
      <w:pPr>
        <w:pStyle w:val="Default"/>
        <w:rPr>
          <w:sz w:val="22"/>
          <w:szCs w:val="22"/>
        </w:rPr>
      </w:pPr>
    </w:p>
    <w:p w:rsidR="00B15FA8" w:rsidRPr="00B15FA8" w:rsidRDefault="00B15FA8" w:rsidP="00B15FA8">
      <w:pPr>
        <w:pStyle w:val="Default"/>
        <w:numPr>
          <w:ilvl w:val="0"/>
          <w:numId w:val="11"/>
        </w:numPr>
        <w:rPr>
          <w:sz w:val="22"/>
          <w:szCs w:val="22"/>
        </w:rPr>
      </w:pPr>
      <w:r w:rsidRPr="00B15FA8">
        <w:rPr>
          <w:sz w:val="22"/>
          <w:szCs w:val="22"/>
        </w:rPr>
        <w:t xml:space="preserve">Patients should have an initial assessment by the referrer prior to an appointment with a consultant plastic surgeon to ensure that these criteria are met.  </w:t>
      </w:r>
    </w:p>
    <w:p w:rsidR="00B15FA8" w:rsidRPr="00B15FA8" w:rsidRDefault="00B15FA8" w:rsidP="00B15FA8">
      <w:pPr>
        <w:pStyle w:val="Default"/>
        <w:numPr>
          <w:ilvl w:val="0"/>
          <w:numId w:val="11"/>
        </w:numPr>
        <w:rPr>
          <w:sz w:val="22"/>
          <w:szCs w:val="22"/>
        </w:rPr>
      </w:pPr>
      <w:r w:rsidRPr="00B15FA8">
        <w:rPr>
          <w:sz w:val="22"/>
          <w:szCs w:val="22"/>
        </w:rPr>
        <w:t xml:space="preserve">Assessment of the thorax should be performed, including relevant diagnostics. </w:t>
      </w:r>
    </w:p>
    <w:p w:rsidR="00B15FA8" w:rsidRPr="00B15FA8" w:rsidRDefault="00B15FA8" w:rsidP="00B15FA8">
      <w:pPr>
        <w:pStyle w:val="ListParagraph"/>
        <w:numPr>
          <w:ilvl w:val="0"/>
          <w:numId w:val="11"/>
        </w:numPr>
        <w:spacing w:line="259" w:lineRule="auto"/>
        <w:rPr>
          <w:rFonts w:ascii="Arial" w:hAnsi="Arial" w:cs="Arial"/>
        </w:rPr>
      </w:pPr>
      <w:r w:rsidRPr="00B15FA8">
        <w:rPr>
          <w:rFonts w:ascii="Arial" w:hAnsi="Arial" w:cs="Arial"/>
        </w:rPr>
        <w:t xml:space="preserve">Patients must be provided with written information to allow the balance of the risks and benefits of breast surgery. </w:t>
      </w:r>
    </w:p>
    <w:p w:rsidR="00B15FA8" w:rsidRPr="00B15FA8" w:rsidRDefault="00B15FA8" w:rsidP="00B15FA8">
      <w:pPr>
        <w:pStyle w:val="ListParagraph"/>
        <w:numPr>
          <w:ilvl w:val="0"/>
          <w:numId w:val="11"/>
        </w:numPr>
        <w:spacing w:line="259" w:lineRule="auto"/>
        <w:rPr>
          <w:rFonts w:ascii="Arial" w:hAnsi="Arial" w:cs="Arial"/>
        </w:rPr>
      </w:pPr>
      <w:r w:rsidRPr="00B15FA8">
        <w:rPr>
          <w:rFonts w:ascii="Arial" w:hAnsi="Arial" w:cs="Arial"/>
        </w:rPr>
        <w:t>Patients should be informed that smoking increases complications following breast reduction surgery and should be advised to stop smoking.</w:t>
      </w:r>
    </w:p>
    <w:p w:rsidR="00B15FA8" w:rsidRPr="00B15FA8" w:rsidRDefault="00B15FA8" w:rsidP="00B15FA8">
      <w:pPr>
        <w:pStyle w:val="ListParagraph"/>
        <w:numPr>
          <w:ilvl w:val="0"/>
          <w:numId w:val="11"/>
        </w:numPr>
        <w:spacing w:line="259" w:lineRule="auto"/>
        <w:rPr>
          <w:rFonts w:ascii="Arial" w:hAnsi="Arial" w:cs="Arial"/>
        </w:rPr>
      </w:pPr>
      <w:r w:rsidRPr="00B15FA8">
        <w:rPr>
          <w:rFonts w:ascii="Arial" w:hAnsi="Arial" w:cs="Arial"/>
        </w:rPr>
        <w:t>Women should be informed that breast surgery for hypermastia can cause permanent loss of lactation.</w:t>
      </w:r>
    </w:p>
    <w:p w:rsidR="00B15FA8" w:rsidRPr="00B15FA8" w:rsidRDefault="00B15FA8" w:rsidP="00B15FA8">
      <w:pPr>
        <w:spacing w:after="0"/>
        <w:rPr>
          <w:rFonts w:ascii="Arial" w:hAnsi="Arial" w:cs="Arial"/>
        </w:rPr>
      </w:pPr>
    </w:p>
    <w:p w:rsidR="00B15FA8" w:rsidRDefault="00B15FA8" w:rsidP="00B15FA8">
      <w:pPr>
        <w:spacing w:after="0"/>
        <w:rPr>
          <w:rFonts w:ascii="Arial" w:hAnsi="Arial" w:cs="Arial"/>
        </w:rPr>
      </w:pPr>
      <w:r w:rsidRPr="00B15FA8">
        <w:rPr>
          <w:rFonts w:ascii="Arial" w:hAnsi="Arial" w:cs="Arial"/>
        </w:rPr>
        <w:t>Resection weights for bilateral or unilateral breast reduction should be recorded for audit purposes.</w:t>
      </w:r>
    </w:p>
    <w:p w:rsidR="005C4C8F" w:rsidRDefault="005C4C8F" w:rsidP="00B15FA8">
      <w:pPr>
        <w:spacing w:after="0"/>
        <w:rPr>
          <w:rFonts w:ascii="Arial" w:hAnsi="Arial" w:cs="Arial"/>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Patients not meeting the above criteria will not be funded unless there are </w:t>
      </w:r>
      <w:r w:rsidRPr="005C4C8F">
        <w:rPr>
          <w:rFonts w:ascii="Arial" w:hAnsi="Arial" w:cs="Arial"/>
          <w:b/>
          <w:color w:val="000000"/>
          <w:sz w:val="24"/>
          <w:szCs w:val="24"/>
        </w:rPr>
        <w:t>clinically exceptional circumstances.</w:t>
      </w:r>
      <w:r w:rsidRPr="005C4C8F">
        <w:rPr>
          <w:rFonts w:ascii="Arial" w:hAnsi="Arial" w:cs="Arial"/>
          <w:color w:val="000000"/>
          <w:sz w:val="24"/>
          <w:szCs w:val="24"/>
        </w:rPr>
        <w:t xml:space="preserve">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Individual funding requests should only be made where the patient demonstrates clinical exceptionality.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spacing w:after="0" w:line="240" w:lineRule="auto"/>
        <w:rPr>
          <w:rFonts w:ascii="Arial" w:hAnsi="Arial" w:cs="Arial"/>
          <w:color w:val="000000"/>
          <w:sz w:val="24"/>
          <w:szCs w:val="24"/>
          <w:u w:val="single"/>
        </w:rPr>
      </w:pPr>
      <w:r w:rsidRPr="005C4C8F">
        <w:rPr>
          <w:rFonts w:ascii="Arial" w:hAnsi="Arial" w:cs="Arial"/>
          <w:color w:val="000000"/>
        </w:rPr>
        <w:t>Further information on applying for funding in exceptional clinical circumstances can be found on the CCGs’ website.</w:t>
      </w:r>
    </w:p>
    <w:p w:rsidR="00746DB4" w:rsidRDefault="00746DB4">
      <w:pPr>
        <w:rPr>
          <w:rFonts w:ascii="Arial" w:hAnsi="Arial" w:cs="Arial"/>
          <w:sz w:val="24"/>
          <w:szCs w:val="24"/>
        </w:rPr>
      </w:pPr>
      <w:r>
        <w:rPr>
          <w:rFonts w:ascii="Arial" w:hAnsi="Arial" w:cs="Arial"/>
          <w:sz w:val="24"/>
          <w:szCs w:val="24"/>
        </w:rPr>
        <w:br w:type="page"/>
      </w:r>
    </w:p>
    <w:p w:rsidR="00746DB4" w:rsidRPr="00346B71" w:rsidRDefault="00EF7321"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0"/>
        <w:gridCol w:w="6120"/>
      </w:tblGrid>
      <w:tr w:rsidR="004D2690" w:rsidRPr="00C419CE" w:rsidTr="003A43C5">
        <w:trPr>
          <w:trHeight w:val="375"/>
        </w:trPr>
        <w:tc>
          <w:tcPr>
            <w:tcW w:w="2956" w:type="dxa"/>
            <w:shd w:val="clear" w:color="auto" w:fill="D7E4FD"/>
            <w:vAlign w:val="center"/>
          </w:tcPr>
          <w:p w:rsidR="004D2690" w:rsidRPr="00C419CE" w:rsidRDefault="004D2690" w:rsidP="003A43C5">
            <w:pPr>
              <w:rPr>
                <w:rFonts w:ascii="Arial" w:hAnsi="Arial" w:cs="Arial"/>
                <w:b/>
              </w:rPr>
            </w:pPr>
            <w:r w:rsidRPr="00C419CE">
              <w:rPr>
                <w:rFonts w:ascii="Arial" w:hAnsi="Arial" w:cs="Arial"/>
              </w:rPr>
              <w:br w:type="column"/>
            </w:r>
            <w:r w:rsidRPr="00C419CE">
              <w:rPr>
                <w:rFonts w:ascii="Arial" w:hAnsi="Arial" w:cs="Arial"/>
              </w:rPr>
              <w:br w:type="column"/>
            </w:r>
            <w:r w:rsidRPr="00C419CE">
              <w:rPr>
                <w:rFonts w:ascii="Arial" w:hAnsi="Arial" w:cs="Arial"/>
                <w:b/>
              </w:rPr>
              <w:t>Policy statement:</w:t>
            </w:r>
          </w:p>
        </w:tc>
        <w:tc>
          <w:tcPr>
            <w:tcW w:w="6286" w:type="dxa"/>
            <w:shd w:val="clear" w:color="auto" w:fill="auto"/>
            <w:vAlign w:val="center"/>
          </w:tcPr>
          <w:p w:rsidR="004D2690" w:rsidRPr="00C419CE" w:rsidRDefault="004D2690" w:rsidP="003A43C5">
            <w:pPr>
              <w:rPr>
                <w:rFonts w:ascii="Arial" w:hAnsi="Arial" w:cs="Arial"/>
                <w:b/>
              </w:rPr>
            </w:pPr>
            <w:bookmarkStart w:id="6" w:name="Femalesterilisation"/>
            <w:bookmarkEnd w:id="6"/>
            <w:r>
              <w:rPr>
                <w:rFonts w:ascii="Arial" w:hAnsi="Arial" w:cs="Arial"/>
                <w:b/>
              </w:rPr>
              <w:t>Female Sterilisation</w:t>
            </w:r>
            <w:r w:rsidRPr="00C419CE">
              <w:rPr>
                <w:rFonts w:ascii="Arial" w:hAnsi="Arial" w:cs="Arial"/>
                <w:b/>
              </w:rPr>
              <w:t xml:space="preserve"> </w:t>
            </w:r>
          </w:p>
        </w:tc>
      </w:tr>
      <w:tr w:rsidR="004D2690" w:rsidRPr="00C419CE" w:rsidTr="003A43C5">
        <w:trPr>
          <w:trHeight w:val="375"/>
        </w:trPr>
        <w:tc>
          <w:tcPr>
            <w:tcW w:w="2956" w:type="dxa"/>
            <w:shd w:val="clear" w:color="auto" w:fill="D7E4FD"/>
            <w:vAlign w:val="center"/>
          </w:tcPr>
          <w:p w:rsidR="004D2690" w:rsidRPr="00C419CE" w:rsidRDefault="004D2690" w:rsidP="003A43C5">
            <w:pPr>
              <w:rPr>
                <w:rFonts w:ascii="Arial" w:hAnsi="Arial" w:cs="Arial"/>
                <w:b/>
              </w:rPr>
            </w:pPr>
            <w:r w:rsidRPr="00C419CE">
              <w:rPr>
                <w:rFonts w:ascii="Arial" w:hAnsi="Arial" w:cs="Arial"/>
                <w:b/>
              </w:rPr>
              <w:t>Status:</w:t>
            </w:r>
          </w:p>
        </w:tc>
        <w:tc>
          <w:tcPr>
            <w:tcW w:w="6286" w:type="dxa"/>
            <w:shd w:val="clear" w:color="auto" w:fill="92D050"/>
            <w:vAlign w:val="center"/>
          </w:tcPr>
          <w:p w:rsidR="004D2690" w:rsidRPr="00C419CE" w:rsidRDefault="004D2690" w:rsidP="003A43C5">
            <w:pPr>
              <w:rPr>
                <w:rFonts w:ascii="Arial" w:hAnsi="Arial" w:cs="Arial"/>
                <w:b/>
              </w:rPr>
            </w:pPr>
            <w:r>
              <w:rPr>
                <w:rFonts w:ascii="Arial" w:hAnsi="Arial" w:cs="Arial"/>
                <w:b/>
              </w:rPr>
              <w:t>Threshold</w:t>
            </w:r>
          </w:p>
        </w:tc>
      </w:tr>
    </w:tbl>
    <w:p w:rsidR="004D2690" w:rsidRDefault="004D2690" w:rsidP="004D2690">
      <w:pPr>
        <w:pStyle w:val="Default"/>
        <w:spacing w:after="32"/>
        <w:rPr>
          <w:sz w:val="22"/>
        </w:rPr>
      </w:pPr>
    </w:p>
    <w:p w:rsidR="004D2690" w:rsidRPr="00470EDB" w:rsidRDefault="004D2690" w:rsidP="004D2690">
      <w:pPr>
        <w:pStyle w:val="Default"/>
        <w:spacing w:after="32"/>
        <w:rPr>
          <w:sz w:val="22"/>
        </w:rPr>
      </w:pPr>
      <w:r w:rsidRPr="00470EDB">
        <w:rPr>
          <w:sz w:val="22"/>
        </w:rPr>
        <w:t>Criteria:</w:t>
      </w:r>
    </w:p>
    <w:p w:rsidR="004D2690" w:rsidRPr="00470EDB" w:rsidRDefault="004D2690" w:rsidP="004D2690">
      <w:pPr>
        <w:pStyle w:val="Default"/>
        <w:spacing w:after="32"/>
        <w:jc w:val="right"/>
        <w:rPr>
          <w:sz w:val="22"/>
        </w:rPr>
      </w:pPr>
    </w:p>
    <w:p w:rsidR="004D2690" w:rsidRDefault="004D2690" w:rsidP="004D2690">
      <w:pPr>
        <w:pStyle w:val="Default"/>
        <w:numPr>
          <w:ilvl w:val="0"/>
          <w:numId w:val="9"/>
        </w:numPr>
        <w:spacing w:after="32"/>
        <w:rPr>
          <w:sz w:val="22"/>
        </w:rPr>
      </w:pPr>
      <w:r w:rsidRPr="00470EDB">
        <w:rPr>
          <w:sz w:val="22"/>
        </w:rPr>
        <w:t>The woman</w:t>
      </w:r>
      <w:r>
        <w:rPr>
          <w:sz w:val="22"/>
        </w:rPr>
        <w:t xml:space="preserve"> is</w:t>
      </w:r>
      <w:r w:rsidRPr="00470EDB">
        <w:rPr>
          <w:sz w:val="22"/>
        </w:rPr>
        <w:t xml:space="preserve"> certain that her family is complete or that she never wants children in the future and is she aware that the procedure is permanent but has a failure rate, has information on the success rate for reversal and that reversal is not routinely funded on the NHS</w:t>
      </w:r>
      <w:r>
        <w:rPr>
          <w:sz w:val="22"/>
        </w:rPr>
        <w:t xml:space="preserve"> </w:t>
      </w:r>
    </w:p>
    <w:p w:rsidR="004D2690" w:rsidRPr="00470EDB" w:rsidRDefault="004D2690" w:rsidP="004D2690">
      <w:pPr>
        <w:pStyle w:val="Default"/>
        <w:spacing w:after="32"/>
        <w:ind w:left="720"/>
        <w:rPr>
          <w:sz w:val="22"/>
        </w:rPr>
      </w:pPr>
      <w:r w:rsidRPr="00470EDB">
        <w:rPr>
          <w:b/>
          <w:sz w:val="22"/>
        </w:rPr>
        <w:t>OR</w:t>
      </w:r>
    </w:p>
    <w:p w:rsidR="004D2690" w:rsidRPr="00470EDB" w:rsidRDefault="004D2690" w:rsidP="004D2690">
      <w:pPr>
        <w:pStyle w:val="Default"/>
        <w:numPr>
          <w:ilvl w:val="0"/>
          <w:numId w:val="9"/>
        </w:numPr>
        <w:spacing w:after="32"/>
        <w:rPr>
          <w:sz w:val="22"/>
        </w:rPr>
      </w:pPr>
      <w:r w:rsidRPr="00470EDB">
        <w:rPr>
          <w:sz w:val="22"/>
        </w:rPr>
        <w:t>The woman has an absolute clinical contraindication to LARC or has severe side effects to the use of LARC or declines a trial of LARC after counseling from a healthcare professional experienced in fitting these devices</w:t>
      </w:r>
    </w:p>
    <w:p w:rsidR="004D2690" w:rsidRPr="00470EDB" w:rsidRDefault="004D2690" w:rsidP="004D2690">
      <w:pPr>
        <w:pStyle w:val="Default"/>
        <w:spacing w:after="32"/>
        <w:ind w:left="720"/>
        <w:rPr>
          <w:b/>
          <w:sz w:val="22"/>
        </w:rPr>
      </w:pPr>
      <w:r w:rsidRPr="00470EDB">
        <w:rPr>
          <w:b/>
          <w:sz w:val="22"/>
        </w:rPr>
        <w:t>AND</w:t>
      </w:r>
    </w:p>
    <w:p w:rsidR="004D2690" w:rsidRPr="00470EDB" w:rsidRDefault="004D2690" w:rsidP="004D2690">
      <w:pPr>
        <w:pStyle w:val="Default"/>
        <w:numPr>
          <w:ilvl w:val="0"/>
          <w:numId w:val="9"/>
        </w:numPr>
        <w:spacing w:after="32"/>
        <w:rPr>
          <w:sz w:val="22"/>
        </w:rPr>
      </w:pPr>
      <w:r w:rsidRPr="00470EDB">
        <w:rPr>
          <w:sz w:val="22"/>
        </w:rPr>
        <w:t>The woman has mental capacity</w:t>
      </w:r>
    </w:p>
    <w:p w:rsidR="00FA5747" w:rsidRDefault="00FA5747" w:rsidP="00FA5747">
      <w:pPr>
        <w:jc w:val="center"/>
        <w:rPr>
          <w:rFonts w:ascii="Arial" w:hAnsi="Arial" w:cs="Arial"/>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Patients not meeting the above criteria will not be funded unless there are </w:t>
      </w:r>
      <w:r w:rsidRPr="005C4C8F">
        <w:rPr>
          <w:rFonts w:ascii="Arial" w:hAnsi="Arial" w:cs="Arial"/>
          <w:b/>
          <w:color w:val="000000"/>
          <w:sz w:val="24"/>
          <w:szCs w:val="24"/>
        </w:rPr>
        <w:t>clinically exceptional circumstances.</w:t>
      </w:r>
      <w:r w:rsidRPr="005C4C8F">
        <w:rPr>
          <w:rFonts w:ascii="Arial" w:hAnsi="Arial" w:cs="Arial"/>
          <w:color w:val="000000"/>
          <w:sz w:val="24"/>
          <w:szCs w:val="24"/>
        </w:rPr>
        <w:t xml:space="preserve">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r w:rsidRPr="005C4C8F">
        <w:rPr>
          <w:rFonts w:ascii="Arial" w:hAnsi="Arial" w:cs="Arial"/>
          <w:color w:val="000000"/>
          <w:sz w:val="24"/>
          <w:szCs w:val="24"/>
        </w:rPr>
        <w:t xml:space="preserve">Individual funding requests should only be made where the patient demonstrates clinical exceptionality.  </w:t>
      </w:r>
    </w:p>
    <w:p w:rsidR="005C4C8F" w:rsidRPr="005C4C8F" w:rsidRDefault="005C4C8F" w:rsidP="005C4C8F">
      <w:pPr>
        <w:autoSpaceDE w:val="0"/>
        <w:autoSpaceDN w:val="0"/>
        <w:adjustRightInd w:val="0"/>
        <w:spacing w:after="0" w:line="240" w:lineRule="auto"/>
        <w:rPr>
          <w:rFonts w:ascii="Arial" w:hAnsi="Arial" w:cs="Arial"/>
          <w:color w:val="000000"/>
          <w:sz w:val="24"/>
          <w:szCs w:val="24"/>
        </w:rPr>
      </w:pPr>
    </w:p>
    <w:p w:rsidR="005C4C8F" w:rsidRPr="005C4C8F" w:rsidRDefault="005C4C8F" w:rsidP="005C4C8F">
      <w:pPr>
        <w:spacing w:after="0" w:line="240" w:lineRule="auto"/>
        <w:rPr>
          <w:rFonts w:ascii="Arial" w:hAnsi="Arial" w:cs="Arial"/>
          <w:color w:val="000000"/>
          <w:sz w:val="24"/>
          <w:szCs w:val="24"/>
          <w:u w:val="single"/>
        </w:rPr>
      </w:pPr>
      <w:r w:rsidRPr="005C4C8F">
        <w:rPr>
          <w:rFonts w:ascii="Arial" w:hAnsi="Arial" w:cs="Arial"/>
          <w:color w:val="000000"/>
        </w:rPr>
        <w:t>Further information on applying for funding in exceptional clinical circumstances can be found on the CCGs’ website.</w:t>
      </w:r>
    </w:p>
    <w:p w:rsidR="00FA5747" w:rsidRDefault="00FA5747" w:rsidP="00FA5747">
      <w:pPr>
        <w:jc w:val="center"/>
        <w:rPr>
          <w:rFonts w:ascii="Arial" w:hAnsi="Arial" w:cs="Arial"/>
          <w:sz w:val="24"/>
          <w:szCs w:val="24"/>
        </w:rPr>
      </w:pPr>
    </w:p>
    <w:p w:rsidR="00FA5747" w:rsidRDefault="00FA5747" w:rsidP="00FA5747">
      <w:pPr>
        <w:jc w:val="center"/>
        <w:rPr>
          <w:rFonts w:ascii="Arial" w:hAnsi="Arial" w:cs="Arial"/>
          <w:sz w:val="24"/>
          <w:szCs w:val="24"/>
        </w:rPr>
      </w:pPr>
    </w:p>
    <w:p w:rsidR="00FA5747" w:rsidRDefault="00FA5747">
      <w:pPr>
        <w:rPr>
          <w:rFonts w:ascii="Arial" w:hAnsi="Arial" w:cs="Arial"/>
          <w:sz w:val="24"/>
          <w:szCs w:val="24"/>
        </w:rPr>
      </w:pPr>
      <w:r>
        <w:rPr>
          <w:rFonts w:ascii="Arial" w:hAnsi="Arial" w:cs="Arial"/>
          <w:sz w:val="24"/>
          <w:szCs w:val="24"/>
        </w:rPr>
        <w:br w:type="page"/>
      </w:r>
    </w:p>
    <w:p w:rsidR="00FA5747" w:rsidRPr="00346B71" w:rsidRDefault="00EF7321" w:rsidP="00FA5747">
      <w:pPr>
        <w:jc w:val="right"/>
        <w:rPr>
          <w:rFonts w:ascii="Arial" w:hAnsi="Arial" w:cs="Arial"/>
          <w:sz w:val="24"/>
          <w:szCs w:val="24"/>
        </w:rPr>
      </w:pPr>
      <w:hyperlink w:anchor="Top" w:history="1">
        <w:r w:rsidR="00FA5747" w:rsidRPr="00346B71">
          <w:rPr>
            <w:rStyle w:val="Hyperlink"/>
            <w:rFonts w:ascii="Arial" w:hAnsi="Arial"/>
            <w:b/>
            <w:sz w:val="24"/>
            <w:szCs w:val="24"/>
          </w:rPr>
          <w:t>Back to Index</w:t>
        </w:r>
      </w:hyperlink>
    </w:p>
    <w:tbl>
      <w:tblPr>
        <w:tblW w:w="9180"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ayout w:type="fixed"/>
        <w:tblLook w:val="00A0" w:firstRow="1" w:lastRow="0" w:firstColumn="1" w:lastColumn="0" w:noHBand="0" w:noVBand="0"/>
      </w:tblPr>
      <w:tblGrid>
        <w:gridCol w:w="2957"/>
        <w:gridCol w:w="22"/>
        <w:gridCol w:w="6201"/>
      </w:tblGrid>
      <w:tr w:rsidR="004D2690" w:rsidRPr="00285FF6" w:rsidTr="003A43C5">
        <w:trPr>
          <w:trHeight w:val="375"/>
        </w:trPr>
        <w:tc>
          <w:tcPr>
            <w:tcW w:w="2979" w:type="dxa"/>
            <w:gridSpan w:val="2"/>
            <w:shd w:val="clear" w:color="auto" w:fill="D7E4FD"/>
            <w:vAlign w:val="center"/>
          </w:tcPr>
          <w:p w:rsidR="004D2690" w:rsidRPr="00285FF6" w:rsidRDefault="004D2690" w:rsidP="003A43C5">
            <w:pPr>
              <w:rPr>
                <w:rFonts w:ascii="Arial" w:hAnsi="Arial" w:cs="Arial"/>
                <w:b/>
              </w:rPr>
            </w:pPr>
            <w:r w:rsidRPr="00285FF6">
              <w:rPr>
                <w:rFonts w:ascii="Arial" w:hAnsi="Arial" w:cs="Arial"/>
              </w:rPr>
              <w:br w:type="page"/>
            </w:r>
            <w:r w:rsidRPr="00285FF6">
              <w:rPr>
                <w:rFonts w:ascii="Arial" w:hAnsi="Arial" w:cs="Arial"/>
                <w:b/>
              </w:rPr>
              <w:t>Policy statement:</w:t>
            </w:r>
          </w:p>
        </w:tc>
        <w:tc>
          <w:tcPr>
            <w:tcW w:w="6201" w:type="dxa"/>
            <w:shd w:val="clear" w:color="auto" w:fill="auto"/>
            <w:vAlign w:val="center"/>
          </w:tcPr>
          <w:p w:rsidR="004D2690" w:rsidRPr="00285FF6" w:rsidRDefault="004D2690" w:rsidP="003A43C5">
            <w:pPr>
              <w:rPr>
                <w:rFonts w:ascii="Arial" w:hAnsi="Arial" w:cs="Arial"/>
                <w:b/>
              </w:rPr>
            </w:pPr>
            <w:bookmarkStart w:id="7" w:name="Vasectomies"/>
            <w:bookmarkEnd w:id="7"/>
            <w:r w:rsidRPr="00285FF6">
              <w:rPr>
                <w:rFonts w:ascii="Arial" w:hAnsi="Arial" w:cs="Arial"/>
                <w:b/>
              </w:rPr>
              <w:t xml:space="preserve">Vasectomies – </w:t>
            </w:r>
            <w:r>
              <w:rPr>
                <w:rFonts w:ascii="Arial" w:hAnsi="Arial" w:cs="Arial"/>
                <w:b/>
              </w:rPr>
              <w:t>conventional and no-scapel</w:t>
            </w:r>
          </w:p>
        </w:tc>
      </w:tr>
      <w:tr w:rsidR="004D2690" w:rsidRPr="00C419CE" w:rsidTr="003A43C5">
        <w:trPr>
          <w:trHeight w:val="375"/>
        </w:trPr>
        <w:tc>
          <w:tcPr>
            <w:tcW w:w="2957" w:type="dxa"/>
            <w:shd w:val="clear" w:color="auto" w:fill="D7E4FD"/>
            <w:vAlign w:val="center"/>
          </w:tcPr>
          <w:p w:rsidR="004D2690" w:rsidRPr="00285FF6" w:rsidRDefault="004D2690" w:rsidP="003A43C5">
            <w:pPr>
              <w:rPr>
                <w:rFonts w:ascii="Arial" w:hAnsi="Arial" w:cs="Arial"/>
                <w:b/>
              </w:rPr>
            </w:pPr>
            <w:r>
              <w:rPr>
                <w:rFonts w:ascii="Arial" w:hAnsi="Arial" w:cs="Arial"/>
                <w:b/>
              </w:rPr>
              <w:t>Status:</w:t>
            </w:r>
          </w:p>
        </w:tc>
        <w:tc>
          <w:tcPr>
            <w:tcW w:w="6223" w:type="dxa"/>
            <w:gridSpan w:val="2"/>
            <w:shd w:val="clear" w:color="auto" w:fill="92D050"/>
            <w:vAlign w:val="center"/>
          </w:tcPr>
          <w:p w:rsidR="004D2690" w:rsidRPr="00523F5E" w:rsidRDefault="004D2690" w:rsidP="003A43C5">
            <w:pPr>
              <w:rPr>
                <w:rFonts w:ascii="Arial" w:hAnsi="Arial" w:cs="Arial"/>
                <w:b/>
              </w:rPr>
            </w:pPr>
            <w:r w:rsidRPr="00CF7E6F">
              <w:rPr>
                <w:rFonts w:ascii="Arial" w:hAnsi="Arial" w:cs="Arial"/>
                <w:b/>
              </w:rPr>
              <w:t>Threshold</w:t>
            </w:r>
          </w:p>
        </w:tc>
      </w:tr>
    </w:tbl>
    <w:p w:rsidR="004D2690" w:rsidRPr="00A06E23" w:rsidRDefault="004D2690" w:rsidP="004D2690">
      <w:pPr>
        <w:pStyle w:val="Default"/>
        <w:widowControl w:val="0"/>
        <w:rPr>
          <w:sz w:val="22"/>
        </w:rPr>
      </w:pPr>
    </w:p>
    <w:p w:rsidR="004D2690" w:rsidRPr="00A06E23" w:rsidRDefault="004D2690" w:rsidP="004D2690">
      <w:pPr>
        <w:spacing w:after="0" w:line="240" w:lineRule="auto"/>
        <w:jc w:val="both"/>
        <w:rPr>
          <w:rFonts w:ascii="Arial" w:hAnsi="Arial" w:cs="Arial"/>
        </w:rPr>
      </w:pPr>
      <w:r w:rsidRPr="00A06E23">
        <w:rPr>
          <w:rFonts w:ascii="Arial" w:hAnsi="Arial" w:cs="Arial"/>
        </w:rPr>
        <w:t>South Essex CCGs commission vasectomies under general anaesthetic on a restricted basis.</w:t>
      </w:r>
    </w:p>
    <w:p w:rsidR="004D2690" w:rsidRPr="00A06E23" w:rsidRDefault="004D2690" w:rsidP="004D2690">
      <w:pPr>
        <w:spacing w:after="0" w:line="240" w:lineRule="auto"/>
        <w:jc w:val="both"/>
        <w:rPr>
          <w:rFonts w:ascii="Arial" w:hAnsi="Arial" w:cs="Arial"/>
        </w:rPr>
      </w:pPr>
    </w:p>
    <w:p w:rsidR="004D2690" w:rsidRPr="00A06E23" w:rsidRDefault="004D2690" w:rsidP="004D2690">
      <w:pPr>
        <w:spacing w:after="0" w:line="240" w:lineRule="auto"/>
        <w:jc w:val="both"/>
        <w:rPr>
          <w:rFonts w:ascii="Arial" w:hAnsi="Arial" w:cs="Arial"/>
        </w:rPr>
      </w:pPr>
      <w:r w:rsidRPr="00A06E23">
        <w:rPr>
          <w:rFonts w:ascii="Arial" w:hAnsi="Arial" w:cs="Arial"/>
        </w:rPr>
        <w:t xml:space="preserve">This policy is for circumstances when vasectomy should be performed </w:t>
      </w:r>
      <w:r w:rsidRPr="00A06E23">
        <w:rPr>
          <w:rFonts w:ascii="Arial" w:hAnsi="Arial" w:cs="Arial"/>
          <w:i/>
        </w:rPr>
        <w:t>under general anaesthetic.</w:t>
      </w:r>
      <w:r w:rsidRPr="00A06E23">
        <w:rPr>
          <w:rFonts w:ascii="Arial" w:hAnsi="Arial" w:cs="Arial"/>
          <w:i/>
          <w:iCs/>
        </w:rPr>
        <w:t xml:space="preserve">  </w:t>
      </w:r>
      <w:r w:rsidRPr="00A06E23">
        <w:rPr>
          <w:rFonts w:ascii="Arial" w:hAnsi="Arial" w:cs="Arial"/>
          <w:iCs/>
        </w:rPr>
        <w:t>In other cases a referral should be made to a Primary Care Provider.</w:t>
      </w:r>
    </w:p>
    <w:p w:rsidR="004D2690" w:rsidRPr="00A06E23" w:rsidRDefault="004D2690" w:rsidP="004D2690">
      <w:pPr>
        <w:spacing w:after="0" w:line="240" w:lineRule="auto"/>
        <w:jc w:val="both"/>
        <w:rPr>
          <w:rFonts w:ascii="Arial" w:hAnsi="Arial" w:cs="Arial"/>
          <w:iCs/>
        </w:rPr>
      </w:pPr>
    </w:p>
    <w:p w:rsidR="004D2690" w:rsidRPr="00A06E23" w:rsidRDefault="004D2690" w:rsidP="004D2690">
      <w:pPr>
        <w:spacing w:after="0" w:line="240" w:lineRule="auto"/>
        <w:jc w:val="both"/>
        <w:rPr>
          <w:rFonts w:ascii="Arial" w:hAnsi="Arial" w:cs="Arial"/>
          <w:iCs/>
        </w:rPr>
      </w:pPr>
      <w:r w:rsidRPr="00A06E23">
        <w:rPr>
          <w:rFonts w:ascii="Arial" w:hAnsi="Arial" w:cs="Arial"/>
          <w:iCs/>
        </w:rPr>
        <w:t>Only in the following circumstances will a vasectomy under general anaesthetic be funded;</w:t>
      </w:r>
    </w:p>
    <w:p w:rsidR="004D2690" w:rsidRPr="00285FF6" w:rsidRDefault="004D2690" w:rsidP="004D2690">
      <w:pPr>
        <w:spacing w:after="0" w:line="240" w:lineRule="auto"/>
        <w:jc w:val="both"/>
        <w:rPr>
          <w:rFonts w:ascii="Arial" w:hAnsi="Arial" w:cs="Arial"/>
          <w:iCs/>
        </w:rPr>
      </w:pPr>
    </w:p>
    <w:p w:rsidR="004D2690" w:rsidRPr="00285FF6" w:rsidRDefault="004D2690" w:rsidP="004D2690">
      <w:pPr>
        <w:numPr>
          <w:ilvl w:val="0"/>
          <w:numId w:val="10"/>
        </w:numPr>
        <w:spacing w:after="0" w:line="240" w:lineRule="auto"/>
        <w:jc w:val="both"/>
        <w:rPr>
          <w:rFonts w:ascii="Arial" w:hAnsi="Arial" w:cs="Arial"/>
        </w:rPr>
      </w:pPr>
      <w:r w:rsidRPr="00285FF6">
        <w:rPr>
          <w:rFonts w:ascii="Arial" w:hAnsi="Arial" w:cs="Arial"/>
          <w:iCs/>
        </w:rPr>
        <w:t>Previous documented adverse reaction to local anaesthesia</w:t>
      </w:r>
      <w:r>
        <w:rPr>
          <w:rFonts w:ascii="Arial" w:hAnsi="Arial" w:cs="Arial"/>
          <w:iCs/>
        </w:rPr>
        <w:t>.</w:t>
      </w:r>
    </w:p>
    <w:p w:rsidR="004D2690" w:rsidRPr="001652DB" w:rsidRDefault="004D2690" w:rsidP="004D2690">
      <w:pPr>
        <w:spacing w:after="0" w:line="240" w:lineRule="auto"/>
        <w:ind w:left="360"/>
        <w:jc w:val="both"/>
        <w:rPr>
          <w:rFonts w:ascii="Arial" w:hAnsi="Arial" w:cs="Arial"/>
          <w:b/>
        </w:rPr>
      </w:pPr>
      <w:r w:rsidRPr="001652DB">
        <w:rPr>
          <w:rFonts w:ascii="Arial" w:hAnsi="Arial" w:cs="Arial"/>
          <w:b/>
        </w:rPr>
        <w:t>OR</w:t>
      </w:r>
    </w:p>
    <w:p w:rsidR="004D2690" w:rsidRPr="00285FF6" w:rsidRDefault="004D2690" w:rsidP="004D2690">
      <w:pPr>
        <w:numPr>
          <w:ilvl w:val="0"/>
          <w:numId w:val="10"/>
        </w:numPr>
        <w:spacing w:after="0" w:line="240" w:lineRule="auto"/>
        <w:jc w:val="both"/>
        <w:rPr>
          <w:rFonts w:ascii="Arial" w:hAnsi="Arial" w:cs="Arial"/>
        </w:rPr>
      </w:pPr>
      <w:r w:rsidRPr="00285FF6">
        <w:rPr>
          <w:rFonts w:ascii="Arial" w:hAnsi="Arial" w:cs="Arial"/>
          <w:iCs/>
        </w:rPr>
        <w:t>Scarring or deformity distorting the anatomy of the scrotal sac or content making identification and/or control of the spermatic cord through the skin difficult to achieve</w:t>
      </w:r>
      <w:r>
        <w:rPr>
          <w:rFonts w:ascii="Arial" w:hAnsi="Arial" w:cs="Arial"/>
          <w:iCs/>
        </w:rPr>
        <w:t>.</w:t>
      </w:r>
    </w:p>
    <w:p w:rsidR="004D2690" w:rsidRDefault="004D2690" w:rsidP="004D2690">
      <w:pPr>
        <w:pStyle w:val="ListParagraph"/>
        <w:ind w:left="567"/>
        <w:jc w:val="right"/>
      </w:pPr>
    </w:p>
    <w:p w:rsidR="00FA5747" w:rsidRDefault="00FA5747" w:rsidP="00FA5747">
      <w:pPr>
        <w:pStyle w:val="NoSpacing"/>
        <w:rPr>
          <w:i/>
          <w:sz w:val="18"/>
          <w:szCs w:val="18"/>
        </w:rPr>
      </w:pPr>
    </w:p>
    <w:sectPr w:rsidR="00FA5747" w:rsidSect="00BE13C1">
      <w:footerReference w:type="default" r:id="rId7"/>
      <w:pgSz w:w="11906" w:h="16838"/>
      <w:pgMar w:top="1134"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21" w:rsidRDefault="00EF7321" w:rsidP="001E5A95">
      <w:pPr>
        <w:spacing w:after="0" w:line="240" w:lineRule="auto"/>
      </w:pPr>
      <w:r>
        <w:separator/>
      </w:r>
    </w:p>
  </w:endnote>
  <w:endnote w:type="continuationSeparator" w:id="0">
    <w:p w:rsidR="00EF7321" w:rsidRDefault="00EF7321" w:rsidP="001E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C1" w:rsidRPr="009562A9" w:rsidRDefault="00BE13C1" w:rsidP="00BE13C1">
    <w:pPr>
      <w:pStyle w:val="Footer"/>
      <w:jc w:val="right"/>
    </w:pPr>
    <w:r w:rsidRPr="002D74C2">
      <w:rPr>
        <w:rFonts w:ascii="Arial" w:hAnsi="Arial" w:cs="Arial"/>
        <w:b/>
        <w:noProof/>
        <w:color w:val="0066CC"/>
        <w:sz w:val="16"/>
        <w:szCs w:val="16"/>
        <w:lang w:eastAsia="en-GB"/>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mc:AlternateContent>
        <mc:Choice Requires="wps">
          <w:drawing>
            <wp:anchor distT="4294967295" distB="4294967295" distL="114300" distR="114300" simplePos="0" relativeHeight="251659264" behindDoc="0" locked="0" layoutInCell="1" allowOverlap="1" wp14:anchorId="0347C4AE" wp14:editId="73510BB1">
              <wp:simplePos x="0" y="0"/>
              <wp:positionH relativeFrom="column">
                <wp:posOffset>-571500</wp:posOffset>
              </wp:positionH>
              <wp:positionV relativeFrom="paragraph">
                <wp:posOffset>-88901</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196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BAEwIAACkEAAAOAAAAZHJzL2Uyb0RvYy54bWysU8GO2jAQvVfqP1i5QxI2pBARVlUCvdAW&#10;abcfYGyHWHVsyzYEVPXfOzYJYttLVfVijz0zz2/mjVfPl06gMzOWK1lG6TSJEJNEUS6PZfTtdTtZ&#10;RMg6LCkWSrIyujIbPa/fv1v1umAz1SpBmUEAIm3R6zJqndNFHFvSsg7bqdJMgrNRpsMOjuYYU4N7&#10;QO9EPEuSPO6VodoowqyF2/rmjNYBv2kYcV+bxjKHRBkBNxdWE9aDX+P1ChdHg3XLyUAD/wOLDnMJ&#10;j96hauwwOhn+B1THiVFWNW5KVBerpuGEhRqgmjT5rZqXFmsWaoHmWH1vk/1/sOTLeW8Qp6BdhCTu&#10;QKIdlww9+c702hYQUMm98bWRi3zRO0W+WyRV1WJ5ZIHh61VDWuoz4jcp/mA14B/6z4pCDD45Fdp0&#10;aUznIaEB6BLUuN7VYBeHCFzm83SeJiAaGX0xLsZEbaz7xFSHvFFGAjgHYHzeWeeJ4GIM8e9IteVC&#10;BLGFRD2wXSbzJGRYJTj1Xh9nzfFQCYPO2M9LkudVFcoCz2OYUSdJA1rLMN0MtsNc3Gx4XUiPB7UA&#10;n8G6DcSPZbLcLDaLbJLN8s0kS+p68nFbZZN8m36Y1091VdXpT08tzYqWU8qkZzcOZ5r9nfjDN7mN&#10;1X08732I36KHhgHZcQ+kg5hev9skHBS97s0oMsxjCB7+jh/4xzPYjz98/QsAAP//AwBQSwMEFAAG&#10;AAgAAAAhADjcqkzcAAAACwEAAA8AAABkcnMvZG93bnJldi54bWxMj0FrwkAQhe9C/8Myhd50E1vF&#10;pNmItPQmFK2l1zU7JsHsbNhdNf77TkGwtzczjzffK5aD7cQZfWgdKUgnCQikypmWagW7r4/xAkSI&#10;mozuHKGCKwZYlg+jQufGXWiD522sBYdQyLWCJsY+lzJUDVodJq5H4tvBeasjj76WxusLh9tOTpNk&#10;Lq1uiT80use3Bqvj9mQVrH5mC//5fjykcb2z+D0zcuoypZ4eh9UriIhDvJvhD5/RoWSmvTuRCaJT&#10;MM4S7hJZpC8s2JE9z1nsbxtZFvJ/h/IXAAD//wMAUEsBAi0AFAAGAAgAAAAhALaDOJL+AAAA4QEA&#10;ABMAAAAAAAAAAAAAAAAAAAAAAFtDb250ZW50X1R5cGVzXS54bWxQSwECLQAUAAYACAAAACEAOP0h&#10;/9YAAACUAQAACwAAAAAAAAAAAAAAAAAvAQAAX3JlbHMvLnJlbHNQSwECLQAUAAYACAAAACEANU0w&#10;QBMCAAApBAAADgAAAAAAAAAAAAAAAAAuAgAAZHJzL2Uyb0RvYy54bWxQSwECLQAUAAYACAAAACEA&#10;ONyqTNwAAAALAQAADwAAAAAAAAAAAAAAAABtBAAAZHJzL2Rvd25yZXYueG1sUEsFBgAAAAAEAAQA&#10;8wAAAHYFAAAAAA==&#10;" strokecolor="#06c" strokeweight="1.5pt"/>
          </w:pict>
        </mc:Fallback>
      </mc:AlternateContent>
    </w:r>
    <w:hyperlink r:id="rId1" w:history="1">
      <w:r w:rsidR="005C4C8F">
        <w:rPr>
          <w:rStyle w:val="Hyperlink"/>
          <w:rFonts w:ascii="Arial" w:hAnsi="Arial"/>
          <w:b/>
          <w:noProof/>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Mid</w:t>
      </w:r>
    </w:hyperlink>
    <w:r w:rsidR="005C4C8F">
      <w:rPr>
        <w:rStyle w:val="Hyperlink"/>
        <w:rFonts w:ascii="Arial" w:hAnsi="Arial"/>
        <w:b/>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 xml:space="preserve"> &amp; South Essex CCGs Service Restriction Policy</w:t>
    </w:r>
    <w:r w:rsidRPr="002D74C2">
      <w:rPr>
        <w:rFonts w:ascii="Arial" w:hAnsi="Arial" w:cs="Arial"/>
        <w:b/>
        <w:color w:val="0066CC"/>
        <w:sz w:val="16"/>
        <w:szCs w:val="16"/>
      </w:rPr>
      <w:tab/>
    </w:r>
    <w:r w:rsidRPr="002D74C2">
      <w:rPr>
        <w:rFonts w:ascii="Arial" w:hAnsi="Arial" w:cs="Arial"/>
        <w:b/>
        <w:color w:val="0066CC"/>
        <w:sz w:val="16"/>
        <w:szCs w:val="16"/>
      </w:rPr>
      <w:tab/>
    </w:r>
    <w:r w:rsidRPr="009562A9">
      <w:rPr>
        <w:rFonts w:ascii="Arial" w:hAnsi="Arial" w:cs="Arial"/>
      </w:rPr>
      <w:fldChar w:fldCharType="begin"/>
    </w:r>
    <w:r w:rsidRPr="009562A9">
      <w:rPr>
        <w:rFonts w:ascii="Arial" w:hAnsi="Arial" w:cs="Arial"/>
      </w:rPr>
      <w:instrText xml:space="preserve">PAGE  </w:instrText>
    </w:r>
    <w:r w:rsidRPr="009562A9">
      <w:rPr>
        <w:rFonts w:ascii="Arial" w:hAnsi="Arial" w:cs="Arial"/>
      </w:rPr>
      <w:fldChar w:fldCharType="separate"/>
    </w:r>
    <w:r w:rsidR="00606F00">
      <w:rPr>
        <w:rFonts w:ascii="Arial" w:hAnsi="Arial" w:cs="Arial"/>
        <w:noProof/>
      </w:rPr>
      <w:t>1</w:t>
    </w:r>
    <w:r w:rsidRPr="009562A9">
      <w:rPr>
        <w:rFonts w:ascii="Arial" w:hAnsi="Arial" w:cs="Arial"/>
      </w:rPr>
      <w:fldChar w:fldCharType="end"/>
    </w:r>
  </w:p>
  <w:p w:rsidR="00BE13C1" w:rsidRPr="002D74C2" w:rsidRDefault="00BE13C1" w:rsidP="00BE13C1">
    <w:pPr>
      <w:pStyle w:val="Header"/>
      <w:spacing w:after="120"/>
      <w:rPr>
        <w:rFonts w:ascii="Arial" w:hAnsi="Arial" w:cs="Arial"/>
        <w:b/>
        <w:color w:val="0066CC"/>
        <w:sz w:val="16"/>
        <w:szCs w:val="16"/>
      </w:rPr>
    </w:pPr>
    <w:r w:rsidRPr="002D74C2">
      <w:rPr>
        <w:rFonts w:ascii="Arial" w:hAnsi="Arial" w:cs="Arial"/>
        <w:b/>
        <w:color w:val="0066CC"/>
        <w:sz w:val="16"/>
        <w:szCs w:val="16"/>
      </w:rPr>
      <w:t xml:space="preserve">        </w:t>
    </w:r>
  </w:p>
  <w:p w:rsidR="00BE13C1" w:rsidRPr="002D74C2" w:rsidRDefault="00BE13C1" w:rsidP="00BE13C1">
    <w:pPr>
      <w:pStyle w:val="Header"/>
      <w:spacing w:after="120"/>
      <w:rPr>
        <w:rFonts w:ascii="Arial" w:hAnsi="Arial" w:cs="Arial"/>
        <w:sz w:val="16"/>
        <w:szCs w:val="16"/>
      </w:rPr>
    </w:pPr>
    <w:r w:rsidRPr="002D74C2">
      <w:rPr>
        <w:rFonts w:ascii="Arial" w:hAnsi="Arial" w:cs="Arial"/>
        <w:sz w:val="16"/>
        <w:szCs w:val="16"/>
      </w:rPr>
      <w:t xml:space="preserve">Please check website for latest versions of policies as may be subject to change throughout the year: </w:t>
    </w:r>
  </w:p>
  <w:p w:rsidR="00BE13C1" w:rsidRDefault="00BE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21" w:rsidRDefault="00EF7321" w:rsidP="001E5A95">
      <w:pPr>
        <w:spacing w:after="0" w:line="240" w:lineRule="auto"/>
      </w:pPr>
      <w:r>
        <w:separator/>
      </w:r>
    </w:p>
  </w:footnote>
  <w:footnote w:type="continuationSeparator" w:id="0">
    <w:p w:rsidR="00EF7321" w:rsidRDefault="00EF7321" w:rsidP="001E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6E"/>
    <w:multiLevelType w:val="hybridMultilevel"/>
    <w:tmpl w:val="110C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33C9B"/>
    <w:multiLevelType w:val="hybridMultilevel"/>
    <w:tmpl w:val="7E6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77052"/>
    <w:multiLevelType w:val="hybridMultilevel"/>
    <w:tmpl w:val="9B06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58F"/>
    <w:multiLevelType w:val="hybridMultilevel"/>
    <w:tmpl w:val="440CF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35E60"/>
    <w:multiLevelType w:val="hybridMultilevel"/>
    <w:tmpl w:val="96EE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E15EB"/>
    <w:multiLevelType w:val="hybridMultilevel"/>
    <w:tmpl w:val="00AE6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A586E"/>
    <w:multiLevelType w:val="hybridMultilevel"/>
    <w:tmpl w:val="71DA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96EF6"/>
    <w:multiLevelType w:val="hybridMultilevel"/>
    <w:tmpl w:val="8EFA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52792"/>
    <w:multiLevelType w:val="hybridMultilevel"/>
    <w:tmpl w:val="EEBC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B0B87"/>
    <w:multiLevelType w:val="hybridMultilevel"/>
    <w:tmpl w:val="47F8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E6648"/>
    <w:multiLevelType w:val="hybridMultilevel"/>
    <w:tmpl w:val="97E0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2"/>
  </w:num>
  <w:num w:numId="6">
    <w:abstractNumId w:val="10"/>
  </w:num>
  <w:num w:numId="7">
    <w:abstractNumId w:val="9"/>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5"/>
    <w:rsid w:val="001A562E"/>
    <w:rsid w:val="001E5A95"/>
    <w:rsid w:val="00346B71"/>
    <w:rsid w:val="00362E11"/>
    <w:rsid w:val="004D2690"/>
    <w:rsid w:val="005C4C8F"/>
    <w:rsid w:val="00606F00"/>
    <w:rsid w:val="00746DB4"/>
    <w:rsid w:val="0095676C"/>
    <w:rsid w:val="00A73BBB"/>
    <w:rsid w:val="00AE755B"/>
    <w:rsid w:val="00B15FA8"/>
    <w:rsid w:val="00B86A91"/>
    <w:rsid w:val="00BE13C1"/>
    <w:rsid w:val="00E07153"/>
    <w:rsid w:val="00E849B6"/>
    <w:rsid w:val="00EF7321"/>
    <w:rsid w:val="00FA5747"/>
    <w:rsid w:val="00FE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8FC24-98B2-4B4B-93D8-5AE89DC6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62E"/>
    <w:pPr>
      <w:spacing w:after="0" w:line="240" w:lineRule="auto"/>
    </w:pPr>
    <w:rPr>
      <w:rFonts w:ascii="Arial" w:hAnsi="Arial"/>
      <w:sz w:val="24"/>
    </w:rPr>
  </w:style>
  <w:style w:type="paragraph" w:styleId="Header">
    <w:name w:val="header"/>
    <w:basedOn w:val="Normal"/>
    <w:link w:val="HeaderChar"/>
    <w:uiPriority w:val="99"/>
    <w:unhideWhenUsed/>
    <w:rsid w:val="001E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95"/>
  </w:style>
  <w:style w:type="paragraph" w:styleId="Footer">
    <w:name w:val="footer"/>
    <w:basedOn w:val="Normal"/>
    <w:link w:val="FooterChar"/>
    <w:uiPriority w:val="99"/>
    <w:unhideWhenUsed/>
    <w:rsid w:val="001E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95"/>
  </w:style>
  <w:style w:type="paragraph" w:styleId="BalloonText">
    <w:name w:val="Balloon Text"/>
    <w:basedOn w:val="Normal"/>
    <w:link w:val="BalloonTextChar"/>
    <w:uiPriority w:val="99"/>
    <w:semiHidden/>
    <w:unhideWhenUsed/>
    <w:rsid w:val="001E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95"/>
    <w:rPr>
      <w:rFonts w:ascii="Tahoma" w:hAnsi="Tahoma" w:cs="Tahoma"/>
      <w:sz w:val="16"/>
      <w:szCs w:val="16"/>
    </w:rPr>
  </w:style>
  <w:style w:type="table" w:styleId="TableGrid">
    <w:name w:val="Table Grid"/>
    <w:basedOn w:val="TableNormal"/>
    <w:uiPriority w:val="59"/>
    <w:rsid w:val="00346B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6B71"/>
    <w:rPr>
      <w:rFonts w:cs="Arial"/>
      <w:color w:val="000000"/>
    </w:rPr>
  </w:style>
  <w:style w:type="character" w:customStyle="1" w:styleId="NoSpacingChar">
    <w:name w:val="No Spacing Char"/>
    <w:basedOn w:val="DefaultParagraphFont"/>
    <w:link w:val="NoSpacing"/>
    <w:uiPriority w:val="1"/>
    <w:rsid w:val="00346B71"/>
    <w:rPr>
      <w:rFonts w:ascii="Arial" w:hAnsi="Arial"/>
      <w:sz w:val="24"/>
    </w:rPr>
  </w:style>
  <w:style w:type="character" w:styleId="FollowedHyperlink">
    <w:name w:val="FollowedHyperlink"/>
    <w:basedOn w:val="DefaultParagraphFont"/>
    <w:uiPriority w:val="99"/>
    <w:semiHidden/>
    <w:unhideWhenUsed/>
    <w:rsid w:val="00346B71"/>
    <w:rPr>
      <w:color w:val="800080" w:themeColor="followedHyperlink"/>
      <w:u w:val="single"/>
    </w:rPr>
  </w:style>
  <w:style w:type="paragraph" w:customStyle="1" w:styleId="Default">
    <w:name w:val="Default"/>
    <w:rsid w:val="00746D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86A91"/>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B8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idessexccg.nhs.uk/your-health-services/service-restric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Clare  (06Q) NHS Mid Essex CCG</dc:creator>
  <cp:lastModifiedBy>Lawson Kaye (99E) Basildon &amp; Brentwood CCG</cp:lastModifiedBy>
  <cp:revision>1</cp:revision>
  <dcterms:created xsi:type="dcterms:W3CDTF">2020-06-16T14:50:00Z</dcterms:created>
  <dcterms:modified xsi:type="dcterms:W3CDTF">2020-06-16T14:50:00Z</dcterms:modified>
</cp:coreProperties>
</file>