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5E11" w14:textId="2B709AF1" w:rsidR="00A33756" w:rsidRDefault="00A33756" w:rsidP="00190D44"/>
    <w:p w14:paraId="0EB7A460" w14:textId="338A2FAF" w:rsidR="00C4712C" w:rsidRPr="00190D44" w:rsidRDefault="000C2FBA" w:rsidP="0055564F">
      <w:pPr>
        <w:spacing w:before="7680"/>
        <w:ind w:left="0"/>
        <w:rPr>
          <w:b/>
          <w:bCs/>
          <w:color w:val="0070C0"/>
          <w:sz w:val="56"/>
          <w:szCs w:val="56"/>
        </w:rPr>
      </w:pPr>
      <w:r w:rsidRPr="00190D44">
        <w:rPr>
          <w:b/>
          <w:bCs/>
          <w:color w:val="0070C0"/>
          <w:sz w:val="56"/>
          <w:szCs w:val="56"/>
        </w:rPr>
        <w:t>C</w:t>
      </w:r>
      <w:r w:rsidR="00444A32" w:rsidRPr="00190D44">
        <w:rPr>
          <w:b/>
          <w:bCs/>
          <w:color w:val="0070C0"/>
          <w:sz w:val="56"/>
          <w:szCs w:val="56"/>
        </w:rPr>
        <w:t>ounter Fraud, Bribery and Corruption Policy</w:t>
      </w:r>
    </w:p>
    <w:p w14:paraId="0E6FCB24" w14:textId="77777777" w:rsidR="00C4712C" w:rsidRDefault="00C4712C" w:rsidP="00190D44">
      <w:r>
        <w:br w:type="page"/>
      </w:r>
    </w:p>
    <w:p w14:paraId="2D363A9C" w14:textId="64C96396" w:rsidR="00A33756" w:rsidRPr="008D45F5" w:rsidRDefault="00A33756" w:rsidP="00190D44">
      <w:pPr>
        <w:ind w:left="0"/>
        <w:rPr>
          <w:b/>
          <w:bCs/>
          <w:sz w:val="28"/>
          <w:szCs w:val="28"/>
        </w:rPr>
      </w:pPr>
      <w:r w:rsidRPr="008D45F5">
        <w:rPr>
          <w:b/>
          <w:bCs/>
          <w:sz w:val="28"/>
          <w:szCs w:val="28"/>
        </w:rP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6B3F2E" w:rsidRPr="006B3F2E" w14:paraId="3FAD6F32" w14:textId="77777777" w:rsidTr="006B3F2E">
        <w:trPr>
          <w:tblHeader/>
        </w:trPr>
        <w:tc>
          <w:tcPr>
            <w:tcW w:w="4395" w:type="dxa"/>
            <w:shd w:val="clear" w:color="auto" w:fill="003087"/>
          </w:tcPr>
          <w:p w14:paraId="22F985DF" w14:textId="57B59422" w:rsidR="006B3F2E" w:rsidRPr="006B3F2E" w:rsidRDefault="006B3F2E" w:rsidP="006B3F2E">
            <w:pPr>
              <w:spacing w:before="0" w:after="0"/>
              <w:ind w:left="0"/>
              <w:rPr>
                <w:b/>
                <w:bCs/>
              </w:rPr>
            </w:pPr>
            <w:r w:rsidRPr="006B3F2E">
              <w:rPr>
                <w:b/>
                <w:bCs/>
              </w:rPr>
              <w:t xml:space="preserve">Document Control Information </w:t>
            </w:r>
          </w:p>
        </w:tc>
        <w:tc>
          <w:tcPr>
            <w:tcW w:w="4677" w:type="dxa"/>
          </w:tcPr>
          <w:p w14:paraId="59918BCF" w14:textId="7EFC11C3" w:rsidR="006B3F2E" w:rsidRPr="006B3F2E" w:rsidRDefault="006B3F2E" w:rsidP="006B3F2E">
            <w:pPr>
              <w:spacing w:before="0" w:after="0"/>
              <w:ind w:left="0"/>
              <w:rPr>
                <w:b/>
                <w:bCs/>
              </w:rPr>
            </w:pPr>
            <w:r w:rsidRPr="006B3F2E">
              <w:rPr>
                <w:b/>
                <w:bCs/>
              </w:rPr>
              <w:t xml:space="preserve">Details </w:t>
            </w:r>
          </w:p>
        </w:tc>
      </w:tr>
      <w:tr w:rsidR="00444A32" w:rsidRPr="00444A32" w14:paraId="1B99C03D" w14:textId="77777777" w:rsidTr="00444A32">
        <w:tc>
          <w:tcPr>
            <w:tcW w:w="4395" w:type="dxa"/>
            <w:shd w:val="clear" w:color="auto" w:fill="003087"/>
          </w:tcPr>
          <w:p w14:paraId="6064906B" w14:textId="77777777" w:rsidR="00444A32" w:rsidRPr="00444A32" w:rsidRDefault="00444A32" w:rsidP="006B3F2E">
            <w:pPr>
              <w:spacing w:before="0" w:after="0"/>
              <w:ind w:left="0"/>
            </w:pPr>
            <w:r w:rsidRPr="00444A32">
              <w:t>Policy Name</w:t>
            </w:r>
          </w:p>
        </w:tc>
        <w:tc>
          <w:tcPr>
            <w:tcW w:w="4677" w:type="dxa"/>
          </w:tcPr>
          <w:p w14:paraId="0D05339D" w14:textId="5B55B16C" w:rsidR="00444A32" w:rsidRPr="00444A32" w:rsidRDefault="00444A32" w:rsidP="006B3F2E">
            <w:pPr>
              <w:spacing w:before="0" w:after="0"/>
              <w:ind w:left="0"/>
            </w:pPr>
            <w:r w:rsidRPr="00444A32">
              <w:t>Counter Fraud, Bribery and Corruption Policy</w:t>
            </w:r>
          </w:p>
        </w:tc>
      </w:tr>
      <w:tr w:rsidR="00444A32" w:rsidRPr="00444A32" w14:paraId="6A4407B6" w14:textId="77777777" w:rsidTr="00444A32">
        <w:tc>
          <w:tcPr>
            <w:tcW w:w="4395" w:type="dxa"/>
            <w:shd w:val="clear" w:color="auto" w:fill="003087"/>
          </w:tcPr>
          <w:p w14:paraId="7470B275" w14:textId="77777777" w:rsidR="00444A32" w:rsidRPr="00444A32" w:rsidRDefault="00444A32" w:rsidP="006B3F2E">
            <w:pPr>
              <w:spacing w:before="0" w:after="0"/>
              <w:ind w:left="0"/>
            </w:pPr>
            <w:r w:rsidRPr="00444A32">
              <w:t>Policy Number</w:t>
            </w:r>
          </w:p>
        </w:tc>
        <w:tc>
          <w:tcPr>
            <w:tcW w:w="4677" w:type="dxa"/>
          </w:tcPr>
          <w:p w14:paraId="227B2B97" w14:textId="4957584D" w:rsidR="00444A32" w:rsidRPr="00444A32" w:rsidRDefault="008D45F5" w:rsidP="006B3F2E">
            <w:pPr>
              <w:spacing w:before="0" w:after="0"/>
              <w:ind w:left="0"/>
            </w:pPr>
            <w:r>
              <w:t>MSEICB</w:t>
            </w:r>
            <w:r w:rsidR="006B3F2E">
              <w:t xml:space="preserve"> 026</w:t>
            </w:r>
          </w:p>
        </w:tc>
      </w:tr>
      <w:tr w:rsidR="00444A32" w:rsidRPr="00444A32" w14:paraId="0BBF9B6B" w14:textId="77777777" w:rsidTr="00444A32">
        <w:tc>
          <w:tcPr>
            <w:tcW w:w="4395" w:type="dxa"/>
            <w:shd w:val="clear" w:color="auto" w:fill="003087"/>
          </w:tcPr>
          <w:p w14:paraId="4EE8B260" w14:textId="77777777" w:rsidR="00444A32" w:rsidRPr="00444A32" w:rsidRDefault="00444A32" w:rsidP="006B3F2E">
            <w:pPr>
              <w:spacing w:before="0" w:after="0"/>
              <w:ind w:left="0"/>
            </w:pPr>
            <w:r w:rsidRPr="00444A32">
              <w:t>Version</w:t>
            </w:r>
          </w:p>
        </w:tc>
        <w:tc>
          <w:tcPr>
            <w:tcW w:w="4677" w:type="dxa"/>
          </w:tcPr>
          <w:p w14:paraId="500FDDDF" w14:textId="0C7DDDF6" w:rsidR="00444A32" w:rsidRPr="008D45F5" w:rsidRDefault="00D4259F" w:rsidP="006B3F2E">
            <w:pPr>
              <w:spacing w:before="0" w:after="0"/>
              <w:ind w:left="0"/>
            </w:pPr>
            <w:r>
              <w:t>3.0</w:t>
            </w:r>
          </w:p>
        </w:tc>
      </w:tr>
      <w:tr w:rsidR="00444A32" w:rsidRPr="00444A32" w14:paraId="2F60058F" w14:textId="77777777" w:rsidTr="00444A32">
        <w:tc>
          <w:tcPr>
            <w:tcW w:w="4395" w:type="dxa"/>
            <w:shd w:val="clear" w:color="auto" w:fill="003087"/>
          </w:tcPr>
          <w:p w14:paraId="50B9FE75" w14:textId="77777777" w:rsidR="00444A32" w:rsidRPr="00444A32" w:rsidRDefault="00444A32" w:rsidP="006B3F2E">
            <w:pPr>
              <w:spacing w:before="0" w:after="0"/>
              <w:ind w:left="0"/>
            </w:pPr>
            <w:r w:rsidRPr="00444A32">
              <w:t>Status</w:t>
            </w:r>
          </w:p>
        </w:tc>
        <w:tc>
          <w:tcPr>
            <w:tcW w:w="4677" w:type="dxa"/>
          </w:tcPr>
          <w:p w14:paraId="0A63BD40" w14:textId="63C1205A" w:rsidR="00444A32" w:rsidRPr="008D45F5" w:rsidRDefault="00807A3B" w:rsidP="006B3F2E">
            <w:pPr>
              <w:spacing w:before="0" w:after="0"/>
              <w:ind w:left="0"/>
            </w:pPr>
            <w:r>
              <w:t xml:space="preserve">Final Approved </w:t>
            </w:r>
          </w:p>
        </w:tc>
      </w:tr>
      <w:tr w:rsidR="00444A32" w:rsidRPr="00444A32" w14:paraId="64B6DE7D" w14:textId="77777777" w:rsidTr="00444A32">
        <w:tc>
          <w:tcPr>
            <w:tcW w:w="4395" w:type="dxa"/>
            <w:shd w:val="clear" w:color="auto" w:fill="003087"/>
          </w:tcPr>
          <w:p w14:paraId="11C21977" w14:textId="77777777" w:rsidR="00444A32" w:rsidRPr="00444A32" w:rsidRDefault="00444A32" w:rsidP="006B3F2E">
            <w:pPr>
              <w:spacing w:before="0" w:after="0"/>
              <w:ind w:left="0"/>
            </w:pPr>
            <w:r w:rsidRPr="00444A32">
              <w:t>Author / Lead</w:t>
            </w:r>
          </w:p>
        </w:tc>
        <w:tc>
          <w:tcPr>
            <w:tcW w:w="4677" w:type="dxa"/>
          </w:tcPr>
          <w:p w14:paraId="5E57ADE4" w14:textId="37103DCF" w:rsidR="00444A32" w:rsidRPr="00444A32" w:rsidRDefault="00635948" w:rsidP="006B3F2E">
            <w:pPr>
              <w:spacing w:before="0" w:after="0"/>
              <w:ind w:left="0"/>
            </w:pPr>
            <w:r>
              <w:t xml:space="preserve">Deputy Director </w:t>
            </w:r>
            <w:r>
              <w:rPr>
                <w:lang w:val="en-US" w:eastAsia="zh-CN"/>
              </w:rPr>
              <w:t>of Finance, Primary Care and Financial Services</w:t>
            </w:r>
            <w:r>
              <w:t xml:space="preserve"> / </w:t>
            </w:r>
            <w:r w:rsidR="00B92623">
              <w:t>Senior Manager</w:t>
            </w:r>
            <w:r w:rsidR="00BC6FD3">
              <w:t xml:space="preserve"> Corporate Services</w:t>
            </w:r>
          </w:p>
        </w:tc>
      </w:tr>
      <w:tr w:rsidR="00444A32" w:rsidRPr="00444A32" w14:paraId="07259A2D" w14:textId="77777777" w:rsidTr="00444A32">
        <w:tc>
          <w:tcPr>
            <w:tcW w:w="4395" w:type="dxa"/>
            <w:shd w:val="clear" w:color="auto" w:fill="003087"/>
          </w:tcPr>
          <w:p w14:paraId="5682595F" w14:textId="77777777" w:rsidR="00444A32" w:rsidRPr="00444A32" w:rsidRDefault="00444A32" w:rsidP="006B3F2E">
            <w:pPr>
              <w:spacing w:before="0" w:after="0"/>
              <w:ind w:left="0"/>
            </w:pPr>
            <w:r w:rsidRPr="00444A32">
              <w:t>Responsible Executive Director</w:t>
            </w:r>
          </w:p>
        </w:tc>
        <w:tc>
          <w:tcPr>
            <w:tcW w:w="4677" w:type="dxa"/>
          </w:tcPr>
          <w:p w14:paraId="61AB63EE" w14:textId="40CD887C" w:rsidR="00444A32" w:rsidRPr="00444A32" w:rsidRDefault="00D66A3E" w:rsidP="006B3F2E">
            <w:pPr>
              <w:spacing w:before="0" w:after="0"/>
              <w:ind w:left="0"/>
            </w:pPr>
            <w:r>
              <w:t>Executive Chief Finance Officer</w:t>
            </w:r>
          </w:p>
        </w:tc>
      </w:tr>
      <w:tr w:rsidR="00444A32" w:rsidRPr="00444A32" w14:paraId="4D84DFA5" w14:textId="77777777" w:rsidTr="00444A32">
        <w:tc>
          <w:tcPr>
            <w:tcW w:w="4395" w:type="dxa"/>
            <w:shd w:val="clear" w:color="auto" w:fill="003087"/>
          </w:tcPr>
          <w:p w14:paraId="4898555D" w14:textId="77777777" w:rsidR="00444A32" w:rsidRPr="00444A32" w:rsidRDefault="00444A32" w:rsidP="006B3F2E">
            <w:pPr>
              <w:spacing w:before="0" w:after="0"/>
              <w:ind w:left="0"/>
            </w:pPr>
            <w:r w:rsidRPr="00444A32">
              <w:t>Responsible Committee</w:t>
            </w:r>
          </w:p>
        </w:tc>
        <w:tc>
          <w:tcPr>
            <w:tcW w:w="4677" w:type="dxa"/>
          </w:tcPr>
          <w:p w14:paraId="170FA049" w14:textId="77777777" w:rsidR="00444A32" w:rsidRPr="00444A32" w:rsidRDefault="00444A32" w:rsidP="006B3F2E">
            <w:pPr>
              <w:spacing w:before="0" w:after="0"/>
              <w:ind w:left="0"/>
            </w:pPr>
            <w:r w:rsidRPr="00444A32">
              <w:t>Audit Committee</w:t>
            </w:r>
          </w:p>
        </w:tc>
      </w:tr>
      <w:tr w:rsidR="00444A32" w:rsidRPr="00444A32" w14:paraId="5310E28D" w14:textId="77777777" w:rsidTr="00444A32">
        <w:tc>
          <w:tcPr>
            <w:tcW w:w="4395" w:type="dxa"/>
            <w:shd w:val="clear" w:color="auto" w:fill="003087"/>
          </w:tcPr>
          <w:p w14:paraId="7D848F95" w14:textId="338E400E" w:rsidR="00444A32" w:rsidRPr="00444A32" w:rsidRDefault="00444A32" w:rsidP="006B3F2E">
            <w:pPr>
              <w:spacing w:before="0" w:after="0"/>
              <w:ind w:left="0"/>
            </w:pPr>
            <w:r w:rsidRPr="00444A32">
              <w:t xml:space="preserve">Date </w:t>
            </w:r>
            <w:r w:rsidR="004C708E">
              <w:t>Approved</w:t>
            </w:r>
            <w:r w:rsidRPr="00444A32">
              <w:t xml:space="preserve"> by Responsible Committee</w:t>
            </w:r>
          </w:p>
        </w:tc>
        <w:tc>
          <w:tcPr>
            <w:tcW w:w="4677" w:type="dxa"/>
          </w:tcPr>
          <w:p w14:paraId="618554BE" w14:textId="6A84D887" w:rsidR="00444A32" w:rsidRPr="0055564F" w:rsidRDefault="00CF077F" w:rsidP="006B3F2E">
            <w:pPr>
              <w:spacing w:before="0" w:after="0"/>
              <w:ind w:left="0"/>
            </w:pPr>
            <w:r>
              <w:t>4 September 202</w:t>
            </w:r>
            <w:r w:rsidR="00B172A5">
              <w:t>5</w:t>
            </w:r>
          </w:p>
        </w:tc>
      </w:tr>
      <w:tr w:rsidR="00444A32" w:rsidRPr="00444A32" w14:paraId="1405F58D" w14:textId="77777777" w:rsidTr="00444A32">
        <w:tc>
          <w:tcPr>
            <w:tcW w:w="4395" w:type="dxa"/>
            <w:shd w:val="clear" w:color="auto" w:fill="003087"/>
          </w:tcPr>
          <w:p w14:paraId="49D019C8" w14:textId="09AC78A1" w:rsidR="00444A32" w:rsidRPr="00444A32" w:rsidRDefault="00444A32" w:rsidP="006B3F2E">
            <w:pPr>
              <w:spacing w:before="0" w:after="0"/>
              <w:ind w:left="0"/>
            </w:pPr>
            <w:r w:rsidRPr="00444A32">
              <w:t xml:space="preserve">Date </w:t>
            </w:r>
            <w:r w:rsidR="004C708E">
              <w:t xml:space="preserve">Ratified </w:t>
            </w:r>
            <w:r w:rsidRPr="00444A32">
              <w:t>by Board</w:t>
            </w:r>
          </w:p>
        </w:tc>
        <w:tc>
          <w:tcPr>
            <w:tcW w:w="4677" w:type="dxa"/>
          </w:tcPr>
          <w:p w14:paraId="4F79F056" w14:textId="2832C6E3" w:rsidR="00ED1A91" w:rsidRPr="0055564F" w:rsidRDefault="00737691" w:rsidP="006B3F2E">
            <w:pPr>
              <w:spacing w:before="0" w:after="0"/>
              <w:ind w:left="0"/>
            </w:pPr>
            <w:r>
              <w:t>1</w:t>
            </w:r>
            <w:r w:rsidR="00CF077F">
              <w:t>8</w:t>
            </w:r>
            <w:r>
              <w:t xml:space="preserve"> September 202</w:t>
            </w:r>
            <w:r w:rsidR="00CF077F">
              <w:t>5</w:t>
            </w:r>
          </w:p>
        </w:tc>
      </w:tr>
      <w:tr w:rsidR="00444A32" w:rsidRPr="00444A32" w14:paraId="3481ABED" w14:textId="77777777" w:rsidTr="00444A32">
        <w:tc>
          <w:tcPr>
            <w:tcW w:w="4395" w:type="dxa"/>
            <w:shd w:val="clear" w:color="auto" w:fill="003087"/>
          </w:tcPr>
          <w:p w14:paraId="43A9E1B0" w14:textId="77777777" w:rsidR="00444A32" w:rsidRPr="00444A32" w:rsidRDefault="00444A32" w:rsidP="006B3F2E">
            <w:pPr>
              <w:spacing w:before="0" w:after="0"/>
              <w:ind w:left="0"/>
            </w:pPr>
            <w:r w:rsidRPr="00444A32">
              <w:t>Next Review Date</w:t>
            </w:r>
          </w:p>
        </w:tc>
        <w:tc>
          <w:tcPr>
            <w:tcW w:w="4677" w:type="dxa"/>
          </w:tcPr>
          <w:p w14:paraId="6743F101" w14:textId="1977D790" w:rsidR="00444A32" w:rsidRPr="00444A32" w:rsidRDefault="00CF077F" w:rsidP="006B3F2E">
            <w:pPr>
              <w:spacing w:before="0" w:after="0"/>
              <w:ind w:left="0"/>
            </w:pPr>
            <w:r>
              <w:t xml:space="preserve">September </w:t>
            </w:r>
            <w:r w:rsidR="008D45F5">
              <w:t>202</w:t>
            </w:r>
            <w:r w:rsidR="00E128C4">
              <w:t>7</w:t>
            </w:r>
          </w:p>
        </w:tc>
      </w:tr>
      <w:tr w:rsidR="00444A32" w:rsidRPr="00444A32" w14:paraId="2C636FAE" w14:textId="77777777" w:rsidTr="00444A32">
        <w:tc>
          <w:tcPr>
            <w:tcW w:w="4395" w:type="dxa"/>
            <w:shd w:val="clear" w:color="auto" w:fill="003087"/>
          </w:tcPr>
          <w:p w14:paraId="6DAD6089" w14:textId="77777777" w:rsidR="00444A32" w:rsidRPr="00444A32" w:rsidRDefault="00444A32" w:rsidP="006B3F2E">
            <w:pPr>
              <w:spacing w:before="0" w:after="0"/>
              <w:ind w:left="0"/>
            </w:pPr>
            <w:r w:rsidRPr="00444A32">
              <w:t>Target Audience</w:t>
            </w:r>
          </w:p>
        </w:tc>
        <w:tc>
          <w:tcPr>
            <w:tcW w:w="4677" w:type="dxa"/>
          </w:tcPr>
          <w:p w14:paraId="2F5D65E0" w14:textId="77777777" w:rsidR="00444A32" w:rsidRPr="00190D44" w:rsidRDefault="00444A32" w:rsidP="006B3F2E">
            <w:pPr>
              <w:pStyle w:val="ListParagraph"/>
              <w:numPr>
                <w:ilvl w:val="0"/>
                <w:numId w:val="24"/>
              </w:numPr>
              <w:spacing w:before="0" w:after="0"/>
              <w:ind w:left="0"/>
            </w:pPr>
            <w:bookmarkStart w:id="0" w:name="_Hlk95224276"/>
            <w:r w:rsidRPr="00190D44">
              <w:t>MSE ICB staff (including temporary/ bank/agency staff)</w:t>
            </w:r>
          </w:p>
          <w:p w14:paraId="2D1A10D4" w14:textId="4E24A78F" w:rsidR="00444A32" w:rsidRPr="00190D44" w:rsidRDefault="00444A32" w:rsidP="006B3F2E">
            <w:pPr>
              <w:pStyle w:val="ListParagraph"/>
              <w:numPr>
                <w:ilvl w:val="0"/>
                <w:numId w:val="24"/>
              </w:numPr>
              <w:spacing w:before="0" w:after="0"/>
              <w:ind w:left="0"/>
            </w:pPr>
            <w:r w:rsidRPr="00190D44">
              <w:t xml:space="preserve">Contractors engaged by the MSE ICB </w:t>
            </w:r>
          </w:p>
          <w:p w14:paraId="5C044F4F" w14:textId="77777777" w:rsidR="00444A32" w:rsidRPr="00190D44" w:rsidRDefault="00444A32" w:rsidP="006B3F2E">
            <w:pPr>
              <w:pStyle w:val="ListParagraph"/>
              <w:numPr>
                <w:ilvl w:val="0"/>
                <w:numId w:val="24"/>
              </w:numPr>
              <w:spacing w:before="0" w:after="0"/>
              <w:ind w:left="0"/>
            </w:pPr>
            <w:r w:rsidRPr="00190D44">
              <w:t>Staff from other MSE ICS Partnership organisations working on behalf of the ICB</w:t>
            </w:r>
            <w:bookmarkEnd w:id="0"/>
          </w:p>
        </w:tc>
      </w:tr>
      <w:tr w:rsidR="00444A32" w:rsidRPr="00444A32" w14:paraId="32904203" w14:textId="77777777" w:rsidTr="00444A32">
        <w:tc>
          <w:tcPr>
            <w:tcW w:w="4395" w:type="dxa"/>
            <w:shd w:val="clear" w:color="auto" w:fill="003087"/>
          </w:tcPr>
          <w:p w14:paraId="7DC021DA" w14:textId="77777777" w:rsidR="00444A32" w:rsidRPr="00444A32" w:rsidRDefault="00444A32" w:rsidP="006B3F2E">
            <w:pPr>
              <w:spacing w:before="0" w:after="0"/>
              <w:ind w:left="0"/>
            </w:pPr>
            <w:r w:rsidRPr="00444A32">
              <w:t xml:space="preserve">Stakeholders engaged in development of Policy (internal and external) </w:t>
            </w:r>
          </w:p>
        </w:tc>
        <w:tc>
          <w:tcPr>
            <w:tcW w:w="4677" w:type="dxa"/>
          </w:tcPr>
          <w:p w14:paraId="4EDF9883" w14:textId="77777777" w:rsidR="00444A32" w:rsidRPr="00190D44" w:rsidRDefault="00444A32" w:rsidP="006B3F2E">
            <w:pPr>
              <w:pStyle w:val="ListParagraph"/>
              <w:numPr>
                <w:ilvl w:val="0"/>
                <w:numId w:val="25"/>
              </w:numPr>
              <w:spacing w:before="0" w:after="0"/>
              <w:ind w:left="0"/>
            </w:pPr>
            <w:r w:rsidRPr="00190D44">
              <w:t>Local Counter Fraud Specialist</w:t>
            </w:r>
          </w:p>
          <w:p w14:paraId="65332A48" w14:textId="0C1C7768" w:rsidR="00E002C1" w:rsidRDefault="00E002C1" w:rsidP="006B3F2E">
            <w:pPr>
              <w:pStyle w:val="ListParagraph"/>
              <w:numPr>
                <w:ilvl w:val="0"/>
                <w:numId w:val="25"/>
              </w:numPr>
              <w:spacing w:before="0" w:after="0"/>
              <w:ind w:left="0"/>
            </w:pPr>
            <w:r>
              <w:t>Senior Manager Corporate Services</w:t>
            </w:r>
          </w:p>
          <w:p w14:paraId="36A81E57" w14:textId="124C8F1C" w:rsidR="00444A32" w:rsidRPr="00190D44" w:rsidRDefault="00E002C1" w:rsidP="001C3ED5">
            <w:pPr>
              <w:pStyle w:val="ListParagraph"/>
              <w:numPr>
                <w:ilvl w:val="0"/>
                <w:numId w:val="25"/>
              </w:numPr>
              <w:spacing w:before="0" w:after="0"/>
              <w:ind w:left="0"/>
            </w:pPr>
            <w:r>
              <w:t xml:space="preserve">Associate Director </w:t>
            </w:r>
            <w:r w:rsidR="001C3ED5">
              <w:t>Corporate Services</w:t>
            </w:r>
            <w:r>
              <w:t xml:space="preserve"> </w:t>
            </w:r>
            <w:r w:rsidR="007B715A">
              <w:t xml:space="preserve">Executive </w:t>
            </w:r>
            <w:r w:rsidR="00444A32" w:rsidRPr="00190D44">
              <w:t>Chief Finance Officer</w:t>
            </w:r>
          </w:p>
          <w:p w14:paraId="72EABE37" w14:textId="220CDA0C" w:rsidR="00444A32" w:rsidRPr="00190D44" w:rsidRDefault="00444A32" w:rsidP="006B3F2E">
            <w:pPr>
              <w:pStyle w:val="ListParagraph"/>
              <w:numPr>
                <w:ilvl w:val="0"/>
                <w:numId w:val="25"/>
              </w:numPr>
              <w:spacing w:before="0" w:after="0"/>
              <w:ind w:left="0"/>
            </w:pPr>
            <w:r w:rsidRPr="00190D44">
              <w:t>Audit Committee</w:t>
            </w:r>
          </w:p>
        </w:tc>
      </w:tr>
      <w:tr w:rsidR="00444A32" w:rsidRPr="00444A32" w14:paraId="3F4B1CC6" w14:textId="77777777" w:rsidTr="00444A32">
        <w:tc>
          <w:tcPr>
            <w:tcW w:w="4395" w:type="dxa"/>
            <w:shd w:val="clear" w:color="auto" w:fill="003087"/>
          </w:tcPr>
          <w:p w14:paraId="578D89B0" w14:textId="6AA0BF7A" w:rsidR="00444A32" w:rsidRPr="00444A32" w:rsidRDefault="00444A32" w:rsidP="006B3F2E">
            <w:pPr>
              <w:spacing w:before="0" w:after="0"/>
              <w:ind w:left="0"/>
            </w:pPr>
            <w:r w:rsidRPr="00444A32">
              <w:t xml:space="preserve">Impact Assessments Undertaken </w:t>
            </w:r>
          </w:p>
        </w:tc>
        <w:tc>
          <w:tcPr>
            <w:tcW w:w="4677" w:type="dxa"/>
          </w:tcPr>
          <w:p w14:paraId="6BE8066B" w14:textId="77777777" w:rsidR="00444A32" w:rsidRPr="00190D44" w:rsidRDefault="00444A32" w:rsidP="006B3F2E">
            <w:pPr>
              <w:pStyle w:val="ListParagraph"/>
              <w:numPr>
                <w:ilvl w:val="0"/>
                <w:numId w:val="23"/>
              </w:numPr>
              <w:spacing w:before="0" w:after="0"/>
              <w:ind w:left="0"/>
              <w:rPr>
                <w:b/>
                <w:bCs/>
              </w:rPr>
            </w:pPr>
            <w:r w:rsidRPr="00190D44">
              <w:t>Equality and Health Inequalities Impact Assessment</w:t>
            </w:r>
          </w:p>
        </w:tc>
      </w:tr>
    </w:tbl>
    <w:p w14:paraId="28A99FFB" w14:textId="77777777" w:rsidR="00444A32" w:rsidRDefault="00444A32" w:rsidP="00190D44"/>
    <w:p w14:paraId="37E7D827" w14:textId="1DA6F249" w:rsidR="00A33756" w:rsidRPr="0098161E" w:rsidRDefault="007A4BEA" w:rsidP="0098161E">
      <w:pPr>
        <w:ind w:left="0"/>
        <w:rPr>
          <w:b/>
          <w:bCs/>
        </w:rPr>
      </w:pPr>
      <w:r w:rsidRPr="0098161E">
        <w:rPr>
          <w:b/>
          <w:bCs/>
        </w:rPr>
        <w:t xml:space="preserve">Version </w:t>
      </w:r>
      <w:r w:rsidR="00D44658" w:rsidRPr="0098161E">
        <w:rPr>
          <w:b/>
          <w:bCs/>
        </w:rPr>
        <w:t>History</w:t>
      </w:r>
      <w:r w:rsidR="008E7980" w:rsidRPr="0098161E">
        <w:rPr>
          <w:b/>
          <w:bCs/>
        </w:rPr>
        <w:t>:</w:t>
      </w:r>
    </w:p>
    <w:tbl>
      <w:tblPr>
        <w:tblStyle w:val="TableGrid2"/>
        <w:tblW w:w="0" w:type="auto"/>
        <w:tblLook w:val="04A0" w:firstRow="1" w:lastRow="0" w:firstColumn="1" w:lastColumn="0" w:noHBand="0" w:noVBand="1"/>
      </w:tblPr>
      <w:tblGrid>
        <w:gridCol w:w="1287"/>
        <w:gridCol w:w="1418"/>
        <w:gridCol w:w="2797"/>
        <w:gridCol w:w="3514"/>
      </w:tblGrid>
      <w:tr w:rsidR="00444A32" w:rsidRPr="00026290" w14:paraId="3F42ED20" w14:textId="77777777" w:rsidTr="00444A32">
        <w:trPr>
          <w:trHeight w:val="489"/>
          <w:tblHeader/>
        </w:trPr>
        <w:tc>
          <w:tcPr>
            <w:tcW w:w="1287" w:type="dxa"/>
            <w:shd w:val="clear" w:color="auto" w:fill="003087"/>
            <w:vAlign w:val="center"/>
          </w:tcPr>
          <w:p w14:paraId="79601135" w14:textId="77777777" w:rsidR="00444A32" w:rsidRPr="00026290" w:rsidRDefault="00444A32" w:rsidP="006B3F2E">
            <w:pPr>
              <w:spacing w:before="0" w:after="0"/>
              <w:ind w:left="0"/>
              <w:rPr>
                <w:lang w:val="en-US" w:eastAsia="zh-CN"/>
              </w:rPr>
            </w:pPr>
            <w:r w:rsidRPr="00026290">
              <w:rPr>
                <w:lang w:val="en-US" w:eastAsia="zh-CN"/>
              </w:rPr>
              <w:t>Version</w:t>
            </w:r>
          </w:p>
        </w:tc>
        <w:tc>
          <w:tcPr>
            <w:tcW w:w="1418" w:type="dxa"/>
            <w:shd w:val="clear" w:color="auto" w:fill="003087"/>
            <w:vAlign w:val="center"/>
          </w:tcPr>
          <w:p w14:paraId="75810BCC" w14:textId="77777777" w:rsidR="00444A32" w:rsidRPr="00026290" w:rsidRDefault="00444A32" w:rsidP="006B3F2E">
            <w:pPr>
              <w:spacing w:before="0" w:after="0"/>
              <w:ind w:left="0"/>
              <w:rPr>
                <w:lang w:val="en-US" w:eastAsia="zh-CN"/>
              </w:rPr>
            </w:pPr>
            <w:r w:rsidRPr="00026290">
              <w:rPr>
                <w:lang w:val="en-US" w:eastAsia="zh-CN"/>
              </w:rPr>
              <w:t>Date</w:t>
            </w:r>
          </w:p>
        </w:tc>
        <w:tc>
          <w:tcPr>
            <w:tcW w:w="2797" w:type="dxa"/>
            <w:shd w:val="clear" w:color="auto" w:fill="003087"/>
            <w:vAlign w:val="center"/>
          </w:tcPr>
          <w:p w14:paraId="72AE8086" w14:textId="77777777" w:rsidR="00444A32" w:rsidRPr="00026290" w:rsidRDefault="00444A32" w:rsidP="006B3F2E">
            <w:pPr>
              <w:spacing w:before="0" w:after="0"/>
              <w:ind w:left="0"/>
              <w:rPr>
                <w:lang w:val="en-US" w:eastAsia="zh-CN"/>
              </w:rPr>
            </w:pPr>
            <w:r w:rsidRPr="00026290">
              <w:rPr>
                <w:lang w:val="en-US" w:eastAsia="zh-CN"/>
              </w:rPr>
              <w:t>Author (Name and Title)</w:t>
            </w:r>
          </w:p>
        </w:tc>
        <w:tc>
          <w:tcPr>
            <w:tcW w:w="3514" w:type="dxa"/>
            <w:shd w:val="clear" w:color="auto" w:fill="003087"/>
            <w:vAlign w:val="center"/>
          </w:tcPr>
          <w:p w14:paraId="2B8598C8" w14:textId="77777777" w:rsidR="00444A32" w:rsidRPr="00026290" w:rsidRDefault="00444A32" w:rsidP="006B3F2E">
            <w:pPr>
              <w:spacing w:before="0" w:after="0"/>
              <w:ind w:left="0"/>
              <w:rPr>
                <w:lang w:val="en-US" w:eastAsia="zh-CN"/>
              </w:rPr>
            </w:pPr>
            <w:r w:rsidRPr="00026290">
              <w:rPr>
                <w:lang w:val="en-US" w:eastAsia="zh-CN"/>
              </w:rPr>
              <w:t>Summary of amendments made</w:t>
            </w:r>
          </w:p>
        </w:tc>
      </w:tr>
      <w:tr w:rsidR="00444A32" w:rsidRPr="00026290" w14:paraId="2EDD7D42" w14:textId="77777777" w:rsidTr="00444A32">
        <w:trPr>
          <w:trHeight w:val="424"/>
        </w:trPr>
        <w:tc>
          <w:tcPr>
            <w:tcW w:w="1287" w:type="dxa"/>
            <w:vAlign w:val="center"/>
          </w:tcPr>
          <w:p w14:paraId="058FAE82" w14:textId="77777777" w:rsidR="00444A32" w:rsidRPr="00026290" w:rsidRDefault="00444A32" w:rsidP="006B3F2E">
            <w:pPr>
              <w:spacing w:before="0" w:after="0"/>
              <w:ind w:left="0"/>
              <w:rPr>
                <w:lang w:val="en-US" w:eastAsia="zh-CN"/>
              </w:rPr>
            </w:pPr>
            <w:r w:rsidRPr="00026290">
              <w:rPr>
                <w:lang w:val="en-US" w:eastAsia="zh-CN"/>
              </w:rPr>
              <w:t>0.1</w:t>
            </w:r>
          </w:p>
        </w:tc>
        <w:tc>
          <w:tcPr>
            <w:tcW w:w="1418" w:type="dxa"/>
            <w:vAlign w:val="center"/>
          </w:tcPr>
          <w:p w14:paraId="74266872" w14:textId="77777777" w:rsidR="00444A32" w:rsidRPr="00026290" w:rsidRDefault="00444A32" w:rsidP="006B3F2E">
            <w:pPr>
              <w:spacing w:before="0" w:after="0"/>
              <w:ind w:left="0"/>
              <w:rPr>
                <w:lang w:val="en-US" w:eastAsia="zh-CN"/>
              </w:rPr>
            </w:pPr>
            <w:r>
              <w:rPr>
                <w:lang w:val="en-US" w:eastAsia="zh-CN"/>
              </w:rPr>
              <w:t>08/02/22</w:t>
            </w:r>
          </w:p>
        </w:tc>
        <w:tc>
          <w:tcPr>
            <w:tcW w:w="2797" w:type="dxa"/>
            <w:vAlign w:val="center"/>
          </w:tcPr>
          <w:p w14:paraId="0081D89A" w14:textId="77777777" w:rsidR="00444A32" w:rsidRPr="00026290" w:rsidRDefault="00444A32" w:rsidP="006B3F2E">
            <w:pPr>
              <w:spacing w:before="0" w:after="0"/>
              <w:ind w:left="0"/>
              <w:rPr>
                <w:lang w:val="en-US" w:eastAsia="zh-CN"/>
              </w:rPr>
            </w:pPr>
            <w:r>
              <w:rPr>
                <w:lang w:val="en-US" w:eastAsia="zh-CN"/>
              </w:rPr>
              <w:t>David Triggs, Governance Lead</w:t>
            </w:r>
          </w:p>
        </w:tc>
        <w:tc>
          <w:tcPr>
            <w:tcW w:w="3514" w:type="dxa"/>
            <w:vAlign w:val="center"/>
          </w:tcPr>
          <w:p w14:paraId="105F30BD" w14:textId="77777777" w:rsidR="00444A32" w:rsidRPr="00026290" w:rsidRDefault="00444A32" w:rsidP="006B3F2E">
            <w:pPr>
              <w:spacing w:before="0" w:after="0"/>
              <w:ind w:left="0"/>
              <w:rPr>
                <w:lang w:val="en-US" w:eastAsia="zh-CN"/>
              </w:rPr>
            </w:pPr>
            <w:r w:rsidRPr="00026290">
              <w:rPr>
                <w:lang w:val="en-US" w:eastAsia="zh-CN"/>
              </w:rPr>
              <w:t>Draft ICB Policy</w:t>
            </w:r>
          </w:p>
        </w:tc>
      </w:tr>
      <w:tr w:rsidR="00444A32" w:rsidRPr="00026290" w14:paraId="10B014FB" w14:textId="77777777" w:rsidTr="00444A32">
        <w:trPr>
          <w:trHeight w:val="402"/>
        </w:trPr>
        <w:tc>
          <w:tcPr>
            <w:tcW w:w="1287" w:type="dxa"/>
            <w:vAlign w:val="center"/>
          </w:tcPr>
          <w:p w14:paraId="021B0D9B" w14:textId="77777777" w:rsidR="00444A32" w:rsidRPr="00026290" w:rsidRDefault="00444A32" w:rsidP="006B3F2E">
            <w:pPr>
              <w:spacing w:before="0" w:after="0"/>
              <w:ind w:left="0"/>
              <w:rPr>
                <w:lang w:val="en-US" w:eastAsia="zh-CN"/>
              </w:rPr>
            </w:pPr>
            <w:r>
              <w:rPr>
                <w:lang w:val="en-US" w:eastAsia="zh-CN"/>
              </w:rPr>
              <w:t>0.2</w:t>
            </w:r>
          </w:p>
        </w:tc>
        <w:tc>
          <w:tcPr>
            <w:tcW w:w="1418" w:type="dxa"/>
            <w:vAlign w:val="center"/>
          </w:tcPr>
          <w:p w14:paraId="62E5AD1D" w14:textId="77777777" w:rsidR="00444A32" w:rsidRPr="00026290" w:rsidRDefault="00444A32" w:rsidP="006B3F2E">
            <w:pPr>
              <w:spacing w:before="0" w:after="0"/>
              <w:ind w:left="0"/>
              <w:rPr>
                <w:lang w:val="en-US" w:eastAsia="zh-CN"/>
              </w:rPr>
            </w:pPr>
            <w:r>
              <w:rPr>
                <w:lang w:val="en-US" w:eastAsia="zh-CN"/>
              </w:rPr>
              <w:t>08/02/2022</w:t>
            </w:r>
          </w:p>
        </w:tc>
        <w:tc>
          <w:tcPr>
            <w:tcW w:w="2797" w:type="dxa"/>
            <w:vAlign w:val="center"/>
          </w:tcPr>
          <w:p w14:paraId="202F23C5" w14:textId="77777777" w:rsidR="00444A32" w:rsidRDefault="00444A32" w:rsidP="006B3F2E">
            <w:pPr>
              <w:spacing w:before="0" w:after="0"/>
              <w:ind w:left="0"/>
              <w:rPr>
                <w:lang w:val="en-US" w:eastAsia="zh-CN"/>
              </w:rPr>
            </w:pPr>
            <w:r>
              <w:rPr>
                <w:lang w:val="en-US" w:eastAsia="zh-CN"/>
              </w:rPr>
              <w:t xml:space="preserve">Viv Barnes and </w:t>
            </w:r>
          </w:p>
          <w:p w14:paraId="4B7BF06B" w14:textId="77777777" w:rsidR="00444A32" w:rsidRDefault="00444A32" w:rsidP="006B3F2E">
            <w:pPr>
              <w:spacing w:before="0" w:after="0"/>
              <w:ind w:left="0"/>
              <w:rPr>
                <w:lang w:val="en-US" w:eastAsia="zh-CN"/>
              </w:rPr>
            </w:pPr>
            <w:r>
              <w:rPr>
                <w:lang w:val="en-US" w:eastAsia="zh-CN"/>
              </w:rPr>
              <w:t xml:space="preserve">Sara O’Connor </w:t>
            </w:r>
          </w:p>
          <w:p w14:paraId="6CC30705" w14:textId="77777777" w:rsidR="00444A32" w:rsidRPr="00026290" w:rsidRDefault="00444A32" w:rsidP="006B3F2E">
            <w:pPr>
              <w:spacing w:before="0" w:after="0"/>
              <w:ind w:left="0"/>
              <w:rPr>
                <w:lang w:val="en-US" w:eastAsia="zh-CN"/>
              </w:rPr>
            </w:pPr>
            <w:r>
              <w:rPr>
                <w:lang w:val="en-US" w:eastAsia="zh-CN"/>
              </w:rPr>
              <w:t>Governance Leads</w:t>
            </w:r>
          </w:p>
        </w:tc>
        <w:tc>
          <w:tcPr>
            <w:tcW w:w="3514" w:type="dxa"/>
            <w:vAlign w:val="center"/>
          </w:tcPr>
          <w:p w14:paraId="7E34B306" w14:textId="77777777" w:rsidR="007F2CB0" w:rsidRDefault="00444A32" w:rsidP="006B3F2E">
            <w:pPr>
              <w:spacing w:before="0" w:after="0"/>
              <w:ind w:left="0"/>
              <w:rPr>
                <w:lang w:val="en-US" w:eastAsia="zh-CN"/>
              </w:rPr>
            </w:pPr>
            <w:r>
              <w:rPr>
                <w:lang w:val="en-US" w:eastAsia="zh-CN"/>
              </w:rPr>
              <w:t>Review of first draft</w:t>
            </w:r>
          </w:p>
          <w:p w14:paraId="10F135F8" w14:textId="6F47D3A9" w:rsidR="00444A32" w:rsidRPr="00026290" w:rsidRDefault="007F2CB0" w:rsidP="006B3F2E">
            <w:pPr>
              <w:spacing w:before="0" w:after="0"/>
              <w:ind w:left="0"/>
              <w:rPr>
                <w:lang w:val="en-US" w:eastAsia="zh-CN"/>
              </w:rPr>
            </w:pPr>
            <w:r>
              <w:rPr>
                <w:lang w:val="en-US" w:eastAsia="zh-CN"/>
              </w:rPr>
              <w:t>Minor text changes &amp; highlight need to insert links to related documents</w:t>
            </w:r>
          </w:p>
        </w:tc>
      </w:tr>
      <w:tr w:rsidR="00444A32" w:rsidRPr="00026290" w14:paraId="4CF60625" w14:textId="77777777" w:rsidTr="00444A32">
        <w:trPr>
          <w:trHeight w:val="423"/>
        </w:trPr>
        <w:tc>
          <w:tcPr>
            <w:tcW w:w="1287" w:type="dxa"/>
            <w:vAlign w:val="center"/>
          </w:tcPr>
          <w:p w14:paraId="4E21A944" w14:textId="1D242E39" w:rsidR="00444A32" w:rsidRPr="00026290" w:rsidRDefault="00FF19A3" w:rsidP="006B3F2E">
            <w:pPr>
              <w:spacing w:before="0" w:after="0"/>
              <w:ind w:left="0"/>
              <w:rPr>
                <w:lang w:val="en-US" w:eastAsia="zh-CN"/>
              </w:rPr>
            </w:pPr>
            <w:r>
              <w:rPr>
                <w:lang w:val="en-US" w:eastAsia="zh-CN"/>
              </w:rPr>
              <w:t>0.3</w:t>
            </w:r>
          </w:p>
        </w:tc>
        <w:tc>
          <w:tcPr>
            <w:tcW w:w="1418" w:type="dxa"/>
            <w:vAlign w:val="center"/>
          </w:tcPr>
          <w:p w14:paraId="7C676580" w14:textId="2900AEA6" w:rsidR="00444A32" w:rsidRPr="00026290" w:rsidRDefault="00FF19A3" w:rsidP="006B3F2E">
            <w:pPr>
              <w:spacing w:before="0" w:after="0"/>
              <w:ind w:left="0"/>
              <w:rPr>
                <w:lang w:val="en-US" w:eastAsia="zh-CN"/>
              </w:rPr>
            </w:pPr>
            <w:r>
              <w:rPr>
                <w:lang w:val="en-US" w:eastAsia="zh-CN"/>
              </w:rPr>
              <w:t>15/02/22</w:t>
            </w:r>
          </w:p>
        </w:tc>
        <w:tc>
          <w:tcPr>
            <w:tcW w:w="2797" w:type="dxa"/>
            <w:vAlign w:val="center"/>
          </w:tcPr>
          <w:p w14:paraId="25ADCA80" w14:textId="01D21ABC" w:rsidR="00444A32" w:rsidRPr="00026290" w:rsidRDefault="00FF19A3" w:rsidP="006B3F2E">
            <w:pPr>
              <w:spacing w:before="0" w:after="0"/>
              <w:ind w:left="0"/>
              <w:rPr>
                <w:lang w:val="en-US" w:eastAsia="zh-CN"/>
              </w:rPr>
            </w:pPr>
            <w:r>
              <w:rPr>
                <w:lang w:val="en-US" w:eastAsia="zh-CN"/>
              </w:rPr>
              <w:t>Mark Barker CFO</w:t>
            </w:r>
          </w:p>
        </w:tc>
        <w:tc>
          <w:tcPr>
            <w:tcW w:w="3514" w:type="dxa"/>
            <w:vAlign w:val="center"/>
          </w:tcPr>
          <w:p w14:paraId="09F25B7C" w14:textId="77777777" w:rsidR="00444A32" w:rsidRDefault="00FF19A3" w:rsidP="006B3F2E">
            <w:pPr>
              <w:spacing w:before="0" w:after="0"/>
              <w:ind w:left="0"/>
              <w:rPr>
                <w:lang w:val="en-US" w:eastAsia="zh-CN"/>
              </w:rPr>
            </w:pPr>
            <w:r>
              <w:rPr>
                <w:lang w:val="en-US" w:eastAsia="zh-CN"/>
              </w:rPr>
              <w:t>Minor text changes</w:t>
            </w:r>
          </w:p>
          <w:p w14:paraId="173E52AA" w14:textId="4A0D33D3" w:rsidR="007F2CB0" w:rsidRPr="00026290" w:rsidRDefault="007F2CB0" w:rsidP="006B3F2E">
            <w:pPr>
              <w:spacing w:before="0" w:after="0"/>
              <w:ind w:left="0"/>
              <w:rPr>
                <w:lang w:val="en-US" w:eastAsia="zh-CN"/>
              </w:rPr>
            </w:pPr>
            <w:r>
              <w:rPr>
                <w:lang w:val="en-US" w:eastAsia="zh-CN"/>
              </w:rPr>
              <w:t>Change Director of Finance to Director of Resources</w:t>
            </w:r>
          </w:p>
        </w:tc>
      </w:tr>
      <w:tr w:rsidR="00444A32" w:rsidRPr="00026290" w14:paraId="4CE7E9EF" w14:textId="77777777" w:rsidTr="00444A32">
        <w:trPr>
          <w:trHeight w:val="423"/>
        </w:trPr>
        <w:tc>
          <w:tcPr>
            <w:tcW w:w="1287" w:type="dxa"/>
            <w:vAlign w:val="center"/>
          </w:tcPr>
          <w:p w14:paraId="155690BC" w14:textId="324E3604" w:rsidR="00444A32" w:rsidRPr="00026290" w:rsidRDefault="00FF19A3" w:rsidP="006B3F2E">
            <w:pPr>
              <w:spacing w:before="0" w:after="0"/>
              <w:ind w:left="0"/>
              <w:rPr>
                <w:lang w:val="en-US" w:eastAsia="zh-CN"/>
              </w:rPr>
            </w:pPr>
            <w:r>
              <w:rPr>
                <w:lang w:val="en-US" w:eastAsia="zh-CN"/>
              </w:rPr>
              <w:t>0.4</w:t>
            </w:r>
          </w:p>
        </w:tc>
        <w:tc>
          <w:tcPr>
            <w:tcW w:w="1418" w:type="dxa"/>
            <w:vAlign w:val="center"/>
          </w:tcPr>
          <w:p w14:paraId="34FB473A" w14:textId="2CEEBD1B" w:rsidR="00444A32" w:rsidRPr="00026290" w:rsidRDefault="00FF19A3" w:rsidP="006B3F2E">
            <w:pPr>
              <w:spacing w:before="0" w:after="0"/>
              <w:ind w:left="0"/>
              <w:rPr>
                <w:lang w:val="en-US" w:eastAsia="zh-CN"/>
              </w:rPr>
            </w:pPr>
            <w:r>
              <w:rPr>
                <w:lang w:val="en-US" w:eastAsia="zh-CN"/>
              </w:rPr>
              <w:t>04/03/22</w:t>
            </w:r>
          </w:p>
        </w:tc>
        <w:tc>
          <w:tcPr>
            <w:tcW w:w="2797" w:type="dxa"/>
            <w:vAlign w:val="center"/>
          </w:tcPr>
          <w:p w14:paraId="26E84820" w14:textId="48376F19" w:rsidR="00444A32" w:rsidRPr="00026290" w:rsidRDefault="00FF19A3" w:rsidP="006B3F2E">
            <w:pPr>
              <w:spacing w:before="0" w:after="0"/>
              <w:ind w:left="0"/>
              <w:rPr>
                <w:lang w:val="en-US" w:eastAsia="zh-CN"/>
              </w:rPr>
            </w:pPr>
            <w:r>
              <w:rPr>
                <w:lang w:val="en-US" w:eastAsia="zh-CN"/>
              </w:rPr>
              <w:t>Audit Committee</w:t>
            </w:r>
          </w:p>
        </w:tc>
        <w:tc>
          <w:tcPr>
            <w:tcW w:w="3514" w:type="dxa"/>
            <w:vAlign w:val="center"/>
          </w:tcPr>
          <w:p w14:paraId="3823B51D" w14:textId="090478D6" w:rsidR="00444A32" w:rsidRPr="00026290" w:rsidRDefault="006B3F2E" w:rsidP="006B3F2E">
            <w:pPr>
              <w:spacing w:before="0" w:after="0"/>
              <w:ind w:left="0"/>
              <w:rPr>
                <w:lang w:val="en-US" w:eastAsia="zh-CN"/>
              </w:rPr>
            </w:pPr>
            <w:r>
              <w:rPr>
                <w:lang w:val="en-US" w:eastAsia="zh-CN"/>
              </w:rPr>
              <w:t>Minor amendments.</w:t>
            </w:r>
          </w:p>
        </w:tc>
      </w:tr>
      <w:tr w:rsidR="00444A32" w:rsidRPr="00026290" w14:paraId="7E04408E" w14:textId="77777777" w:rsidTr="00444A32">
        <w:trPr>
          <w:trHeight w:val="423"/>
        </w:trPr>
        <w:tc>
          <w:tcPr>
            <w:tcW w:w="1287" w:type="dxa"/>
            <w:vAlign w:val="center"/>
          </w:tcPr>
          <w:p w14:paraId="78064BD7" w14:textId="5D0E0092" w:rsidR="00444A32" w:rsidRPr="00026290" w:rsidRDefault="006B3F2E" w:rsidP="006B3F2E">
            <w:pPr>
              <w:spacing w:before="0" w:after="0"/>
              <w:ind w:left="0"/>
              <w:rPr>
                <w:lang w:val="en-US" w:eastAsia="zh-CN"/>
              </w:rPr>
            </w:pPr>
            <w:r>
              <w:rPr>
                <w:lang w:val="en-US" w:eastAsia="zh-CN"/>
              </w:rPr>
              <w:t>1.0</w:t>
            </w:r>
          </w:p>
        </w:tc>
        <w:tc>
          <w:tcPr>
            <w:tcW w:w="1418" w:type="dxa"/>
            <w:vAlign w:val="center"/>
          </w:tcPr>
          <w:p w14:paraId="24986507" w14:textId="297CC59E" w:rsidR="00444A32" w:rsidRPr="00026290" w:rsidRDefault="006B3F2E" w:rsidP="006B3F2E">
            <w:pPr>
              <w:spacing w:before="0" w:after="0"/>
              <w:ind w:left="0"/>
              <w:rPr>
                <w:lang w:val="en-US" w:eastAsia="zh-CN"/>
              </w:rPr>
            </w:pPr>
            <w:r>
              <w:rPr>
                <w:lang w:val="en-US" w:eastAsia="zh-CN"/>
              </w:rPr>
              <w:t>12/08/22</w:t>
            </w:r>
          </w:p>
        </w:tc>
        <w:tc>
          <w:tcPr>
            <w:tcW w:w="2797" w:type="dxa"/>
            <w:vAlign w:val="center"/>
          </w:tcPr>
          <w:p w14:paraId="0B70357A" w14:textId="77777777" w:rsidR="006B3F2E" w:rsidRDefault="006B3F2E" w:rsidP="006B3F2E">
            <w:pPr>
              <w:spacing w:before="0" w:after="0"/>
              <w:ind w:left="0"/>
              <w:rPr>
                <w:lang w:val="en-US" w:eastAsia="zh-CN"/>
              </w:rPr>
            </w:pPr>
            <w:r>
              <w:rPr>
                <w:lang w:val="en-US" w:eastAsia="zh-CN"/>
              </w:rPr>
              <w:t>Marion Barritt /</w:t>
            </w:r>
          </w:p>
          <w:p w14:paraId="05688301" w14:textId="774DA9C5" w:rsidR="006B3F2E" w:rsidRPr="00026290" w:rsidRDefault="006B3F2E" w:rsidP="006B3F2E">
            <w:pPr>
              <w:spacing w:before="0" w:after="0"/>
              <w:ind w:left="0"/>
              <w:rPr>
                <w:lang w:val="en-US" w:eastAsia="zh-CN"/>
              </w:rPr>
            </w:pPr>
            <w:r>
              <w:rPr>
                <w:lang w:val="en-US" w:eastAsia="zh-CN"/>
              </w:rPr>
              <w:t>Sara O’Connor</w:t>
            </w:r>
          </w:p>
        </w:tc>
        <w:tc>
          <w:tcPr>
            <w:tcW w:w="3514" w:type="dxa"/>
            <w:vAlign w:val="center"/>
          </w:tcPr>
          <w:p w14:paraId="15767F74" w14:textId="22D0EAC0" w:rsidR="00444A32" w:rsidRPr="00026290" w:rsidRDefault="006B3F2E" w:rsidP="006B3F2E">
            <w:pPr>
              <w:spacing w:before="0" w:after="0"/>
              <w:ind w:left="0"/>
              <w:rPr>
                <w:lang w:val="en-US" w:eastAsia="zh-CN"/>
              </w:rPr>
            </w:pPr>
            <w:r>
              <w:rPr>
                <w:lang w:val="en-US" w:eastAsia="zh-CN"/>
              </w:rPr>
              <w:t>Final review against policy checklist.</w:t>
            </w:r>
          </w:p>
        </w:tc>
      </w:tr>
      <w:tr w:rsidR="00444A32" w:rsidRPr="00026290" w14:paraId="34941B5D" w14:textId="77777777" w:rsidTr="00444A32">
        <w:trPr>
          <w:trHeight w:val="423"/>
        </w:trPr>
        <w:tc>
          <w:tcPr>
            <w:tcW w:w="1287" w:type="dxa"/>
            <w:vAlign w:val="center"/>
          </w:tcPr>
          <w:p w14:paraId="042D895E" w14:textId="5321A988" w:rsidR="00444A32" w:rsidRPr="00026290" w:rsidRDefault="001C3ED5" w:rsidP="006B3F2E">
            <w:pPr>
              <w:spacing w:before="0" w:after="0"/>
              <w:ind w:left="0"/>
              <w:rPr>
                <w:lang w:val="en-US" w:eastAsia="zh-CN"/>
              </w:rPr>
            </w:pPr>
            <w:r>
              <w:rPr>
                <w:lang w:val="en-US" w:eastAsia="zh-CN"/>
              </w:rPr>
              <w:lastRenderedPageBreak/>
              <w:t>1.1</w:t>
            </w:r>
          </w:p>
        </w:tc>
        <w:tc>
          <w:tcPr>
            <w:tcW w:w="1418" w:type="dxa"/>
            <w:vAlign w:val="center"/>
          </w:tcPr>
          <w:p w14:paraId="61FB7F56" w14:textId="371EBC4A" w:rsidR="00444A32" w:rsidRPr="00026290" w:rsidRDefault="00C94861" w:rsidP="006B3F2E">
            <w:pPr>
              <w:spacing w:before="0" w:after="0"/>
              <w:ind w:left="0"/>
              <w:rPr>
                <w:lang w:val="en-US" w:eastAsia="zh-CN"/>
              </w:rPr>
            </w:pPr>
            <w:r>
              <w:rPr>
                <w:lang w:val="en-US" w:eastAsia="zh-CN"/>
              </w:rPr>
              <w:t>30/04/24</w:t>
            </w:r>
          </w:p>
        </w:tc>
        <w:tc>
          <w:tcPr>
            <w:tcW w:w="2797" w:type="dxa"/>
            <w:vAlign w:val="center"/>
          </w:tcPr>
          <w:p w14:paraId="0850FC2F" w14:textId="32D01783" w:rsidR="00444A32" w:rsidRPr="00026290" w:rsidRDefault="001727A8" w:rsidP="006B3F2E">
            <w:pPr>
              <w:spacing w:before="0" w:after="0"/>
              <w:ind w:left="0"/>
              <w:rPr>
                <w:lang w:val="en-US" w:eastAsia="zh-CN"/>
              </w:rPr>
            </w:pPr>
            <w:r>
              <w:rPr>
                <w:lang w:val="en-US" w:eastAsia="zh-CN"/>
              </w:rPr>
              <w:t xml:space="preserve">Hannah Wenlock, </w:t>
            </w:r>
            <w:r w:rsidR="00920F12">
              <w:rPr>
                <w:lang w:val="en-US" w:eastAsia="zh-CN"/>
              </w:rPr>
              <w:t xml:space="preserve">Anti-Crime Specialist, </w:t>
            </w:r>
            <w:r>
              <w:rPr>
                <w:lang w:val="en-US" w:eastAsia="zh-CN"/>
              </w:rPr>
              <w:t>TIAA</w:t>
            </w:r>
          </w:p>
        </w:tc>
        <w:tc>
          <w:tcPr>
            <w:tcW w:w="3514" w:type="dxa"/>
            <w:vAlign w:val="center"/>
          </w:tcPr>
          <w:p w14:paraId="25E746CE" w14:textId="77777777" w:rsidR="00444A32" w:rsidRPr="00026290" w:rsidRDefault="00444A32" w:rsidP="006B3F2E">
            <w:pPr>
              <w:spacing w:before="0" w:after="0"/>
              <w:ind w:left="0"/>
              <w:rPr>
                <w:lang w:val="en-US" w:eastAsia="zh-CN"/>
              </w:rPr>
            </w:pPr>
          </w:p>
        </w:tc>
      </w:tr>
      <w:tr w:rsidR="00C94861" w:rsidRPr="00026290" w14:paraId="3B871CB4" w14:textId="77777777" w:rsidTr="00444A32">
        <w:trPr>
          <w:trHeight w:val="423"/>
        </w:trPr>
        <w:tc>
          <w:tcPr>
            <w:tcW w:w="1287" w:type="dxa"/>
            <w:vAlign w:val="center"/>
          </w:tcPr>
          <w:p w14:paraId="79BABA5A" w14:textId="60651E28" w:rsidR="00C94861" w:rsidRDefault="00C94861" w:rsidP="006B3F2E">
            <w:pPr>
              <w:spacing w:before="0" w:after="0"/>
              <w:ind w:left="0"/>
              <w:rPr>
                <w:lang w:val="en-US" w:eastAsia="zh-CN"/>
              </w:rPr>
            </w:pPr>
            <w:r>
              <w:rPr>
                <w:lang w:val="en-US" w:eastAsia="zh-CN"/>
              </w:rPr>
              <w:t>1.2</w:t>
            </w:r>
          </w:p>
        </w:tc>
        <w:tc>
          <w:tcPr>
            <w:tcW w:w="1418" w:type="dxa"/>
            <w:vAlign w:val="center"/>
          </w:tcPr>
          <w:p w14:paraId="0B8C01DD" w14:textId="3CF83A78" w:rsidR="00C94861" w:rsidRDefault="00C94861" w:rsidP="006B3F2E">
            <w:pPr>
              <w:spacing w:before="0" w:after="0"/>
              <w:ind w:left="0"/>
              <w:rPr>
                <w:lang w:val="en-US" w:eastAsia="zh-CN"/>
              </w:rPr>
            </w:pPr>
            <w:r>
              <w:rPr>
                <w:lang w:val="en-US" w:eastAsia="zh-CN"/>
              </w:rPr>
              <w:t>06/06/2</w:t>
            </w:r>
            <w:r w:rsidR="00165BF5">
              <w:rPr>
                <w:lang w:val="en-US" w:eastAsia="zh-CN"/>
              </w:rPr>
              <w:t>4</w:t>
            </w:r>
          </w:p>
        </w:tc>
        <w:tc>
          <w:tcPr>
            <w:tcW w:w="2797" w:type="dxa"/>
            <w:vAlign w:val="center"/>
          </w:tcPr>
          <w:p w14:paraId="72FE3118" w14:textId="77777777" w:rsidR="00C94861" w:rsidRDefault="00C94861" w:rsidP="006B3F2E">
            <w:pPr>
              <w:spacing w:before="0" w:after="0"/>
              <w:ind w:left="0"/>
              <w:rPr>
                <w:lang w:val="en-US" w:eastAsia="zh-CN"/>
              </w:rPr>
            </w:pPr>
            <w:r>
              <w:rPr>
                <w:lang w:val="en-US" w:eastAsia="zh-CN"/>
              </w:rPr>
              <w:t>Sara O’Connor</w:t>
            </w:r>
          </w:p>
          <w:p w14:paraId="153035CF" w14:textId="4FF53A5B" w:rsidR="00C94861" w:rsidRDefault="00C94861" w:rsidP="006B3F2E">
            <w:pPr>
              <w:spacing w:before="0" w:after="0"/>
              <w:ind w:left="0"/>
              <w:rPr>
                <w:lang w:val="en-US" w:eastAsia="zh-CN"/>
              </w:rPr>
            </w:pPr>
            <w:r>
              <w:rPr>
                <w:lang w:val="en-US" w:eastAsia="zh-CN"/>
              </w:rPr>
              <w:t>Senior Manager Corporate Services</w:t>
            </w:r>
          </w:p>
        </w:tc>
        <w:tc>
          <w:tcPr>
            <w:tcW w:w="3514" w:type="dxa"/>
            <w:vAlign w:val="center"/>
          </w:tcPr>
          <w:p w14:paraId="758CF45A" w14:textId="707B224B" w:rsidR="00C94861" w:rsidRPr="00026290" w:rsidRDefault="00E94DB9" w:rsidP="006B3F2E">
            <w:pPr>
              <w:spacing w:before="0" w:after="0"/>
              <w:ind w:left="0"/>
              <w:rPr>
                <w:lang w:val="en-US" w:eastAsia="zh-CN"/>
              </w:rPr>
            </w:pPr>
            <w:r>
              <w:rPr>
                <w:lang w:val="en-US" w:eastAsia="zh-CN"/>
              </w:rPr>
              <w:t>Job titles and other minor amendments as a result of ICB organisational change.</w:t>
            </w:r>
          </w:p>
        </w:tc>
      </w:tr>
      <w:tr w:rsidR="00ED4EF1" w:rsidRPr="00026290" w14:paraId="36DC0686" w14:textId="77777777" w:rsidTr="00444A32">
        <w:trPr>
          <w:trHeight w:val="423"/>
        </w:trPr>
        <w:tc>
          <w:tcPr>
            <w:tcW w:w="1287" w:type="dxa"/>
            <w:vAlign w:val="center"/>
          </w:tcPr>
          <w:p w14:paraId="045A3B14" w14:textId="250E121F" w:rsidR="00ED4EF1" w:rsidRDefault="00ED4EF1" w:rsidP="006B3F2E">
            <w:pPr>
              <w:spacing w:before="0" w:after="0"/>
              <w:ind w:left="0"/>
              <w:rPr>
                <w:lang w:val="en-US" w:eastAsia="zh-CN"/>
              </w:rPr>
            </w:pPr>
            <w:r>
              <w:rPr>
                <w:lang w:val="en-US" w:eastAsia="zh-CN"/>
              </w:rPr>
              <w:t>1.3</w:t>
            </w:r>
          </w:p>
        </w:tc>
        <w:tc>
          <w:tcPr>
            <w:tcW w:w="1418" w:type="dxa"/>
            <w:vAlign w:val="center"/>
          </w:tcPr>
          <w:p w14:paraId="14991CA6" w14:textId="704FD2ED" w:rsidR="00ED4EF1" w:rsidRDefault="00165BF5" w:rsidP="006B3F2E">
            <w:pPr>
              <w:spacing w:before="0" w:after="0"/>
              <w:ind w:left="0"/>
              <w:rPr>
                <w:lang w:val="en-US" w:eastAsia="zh-CN"/>
              </w:rPr>
            </w:pPr>
            <w:r>
              <w:rPr>
                <w:lang w:val="en-US" w:eastAsia="zh-CN"/>
              </w:rPr>
              <w:t>09/08/24</w:t>
            </w:r>
          </w:p>
        </w:tc>
        <w:tc>
          <w:tcPr>
            <w:tcW w:w="2797" w:type="dxa"/>
            <w:vAlign w:val="center"/>
          </w:tcPr>
          <w:p w14:paraId="50ECD07D" w14:textId="36228B55" w:rsidR="00ED4EF1" w:rsidRDefault="00165BF5" w:rsidP="006B3F2E">
            <w:pPr>
              <w:spacing w:before="0" w:after="0"/>
              <w:ind w:left="0"/>
              <w:rPr>
                <w:lang w:val="en-US" w:eastAsia="zh-CN"/>
              </w:rPr>
            </w:pPr>
            <w:r>
              <w:rPr>
                <w:lang w:val="en-US" w:eastAsia="zh-CN"/>
              </w:rPr>
              <w:t>Natalie Brodie, Deputy Director of Finance, Primary Care and Financial Services</w:t>
            </w:r>
          </w:p>
        </w:tc>
        <w:tc>
          <w:tcPr>
            <w:tcW w:w="3514" w:type="dxa"/>
            <w:vAlign w:val="center"/>
          </w:tcPr>
          <w:p w14:paraId="2807307D" w14:textId="3F061D82" w:rsidR="00ED4EF1" w:rsidRDefault="00165BF5" w:rsidP="006B3F2E">
            <w:pPr>
              <w:spacing w:before="0" w:after="0"/>
              <w:ind w:left="0"/>
              <w:rPr>
                <w:lang w:val="en-US" w:eastAsia="zh-CN"/>
              </w:rPr>
            </w:pPr>
            <w:r>
              <w:rPr>
                <w:lang w:val="en-US" w:eastAsia="zh-CN"/>
              </w:rPr>
              <w:t xml:space="preserve">Minor amendments. </w:t>
            </w:r>
          </w:p>
        </w:tc>
      </w:tr>
      <w:tr w:rsidR="0095460B" w:rsidRPr="00026290" w14:paraId="1002C317" w14:textId="77777777" w:rsidTr="00444A32">
        <w:trPr>
          <w:trHeight w:val="423"/>
        </w:trPr>
        <w:tc>
          <w:tcPr>
            <w:tcW w:w="1287" w:type="dxa"/>
            <w:vAlign w:val="center"/>
          </w:tcPr>
          <w:p w14:paraId="6817908D" w14:textId="2606F2AD" w:rsidR="0095460B" w:rsidRDefault="0095460B" w:rsidP="006B3F2E">
            <w:pPr>
              <w:spacing w:before="0" w:after="0"/>
              <w:ind w:left="0"/>
              <w:rPr>
                <w:lang w:val="en-US" w:eastAsia="zh-CN"/>
              </w:rPr>
            </w:pPr>
            <w:r>
              <w:rPr>
                <w:lang w:val="en-US" w:eastAsia="zh-CN"/>
              </w:rPr>
              <w:t>2.0</w:t>
            </w:r>
          </w:p>
        </w:tc>
        <w:tc>
          <w:tcPr>
            <w:tcW w:w="1418" w:type="dxa"/>
            <w:vAlign w:val="center"/>
          </w:tcPr>
          <w:p w14:paraId="6B115268" w14:textId="139F38F6" w:rsidR="0095460B" w:rsidRDefault="0095460B" w:rsidP="006B3F2E">
            <w:pPr>
              <w:spacing w:before="0" w:after="0"/>
              <w:ind w:left="0"/>
              <w:rPr>
                <w:lang w:val="en-US" w:eastAsia="zh-CN"/>
              </w:rPr>
            </w:pPr>
            <w:r>
              <w:rPr>
                <w:lang w:val="en-US" w:eastAsia="zh-CN"/>
              </w:rPr>
              <w:t>23/07/24</w:t>
            </w:r>
          </w:p>
        </w:tc>
        <w:tc>
          <w:tcPr>
            <w:tcW w:w="2797" w:type="dxa"/>
            <w:vAlign w:val="center"/>
          </w:tcPr>
          <w:p w14:paraId="129340D1" w14:textId="56310BD4" w:rsidR="0095460B" w:rsidRDefault="0095460B" w:rsidP="006B3F2E">
            <w:pPr>
              <w:spacing w:before="0" w:after="0"/>
              <w:ind w:left="0"/>
              <w:rPr>
                <w:lang w:val="en-US" w:eastAsia="zh-CN"/>
              </w:rPr>
            </w:pPr>
            <w:r>
              <w:rPr>
                <w:lang w:val="en-US" w:eastAsia="zh-CN"/>
              </w:rPr>
              <w:t>Helen Chasney, Corporate Services &amp; Governance Support Officer</w:t>
            </w:r>
          </w:p>
        </w:tc>
        <w:tc>
          <w:tcPr>
            <w:tcW w:w="3514" w:type="dxa"/>
            <w:vAlign w:val="center"/>
          </w:tcPr>
          <w:p w14:paraId="362A4E18" w14:textId="5959C498" w:rsidR="0095460B" w:rsidRDefault="0095460B" w:rsidP="006B3F2E">
            <w:pPr>
              <w:spacing w:before="0" w:after="0"/>
              <w:ind w:left="0"/>
              <w:rPr>
                <w:lang w:val="en-US" w:eastAsia="zh-CN"/>
              </w:rPr>
            </w:pPr>
            <w:r>
              <w:rPr>
                <w:lang w:val="en-US" w:eastAsia="zh-CN"/>
              </w:rPr>
              <w:t>Approved final version.</w:t>
            </w:r>
          </w:p>
        </w:tc>
      </w:tr>
      <w:tr w:rsidR="00CF077F" w:rsidRPr="00026290" w14:paraId="6D37D475" w14:textId="77777777" w:rsidTr="00444A32">
        <w:trPr>
          <w:trHeight w:val="423"/>
        </w:trPr>
        <w:tc>
          <w:tcPr>
            <w:tcW w:w="1287" w:type="dxa"/>
            <w:vAlign w:val="center"/>
          </w:tcPr>
          <w:p w14:paraId="79B16048" w14:textId="6CC7E118" w:rsidR="00CF077F" w:rsidRDefault="00CF077F" w:rsidP="006B3F2E">
            <w:pPr>
              <w:spacing w:before="0" w:after="0"/>
              <w:ind w:left="0"/>
              <w:rPr>
                <w:lang w:val="en-US" w:eastAsia="zh-CN"/>
              </w:rPr>
            </w:pPr>
            <w:r>
              <w:rPr>
                <w:lang w:val="en-US" w:eastAsia="zh-CN"/>
              </w:rPr>
              <w:t>2.1</w:t>
            </w:r>
          </w:p>
        </w:tc>
        <w:tc>
          <w:tcPr>
            <w:tcW w:w="1418" w:type="dxa"/>
            <w:vAlign w:val="center"/>
          </w:tcPr>
          <w:p w14:paraId="24C7B467" w14:textId="78354F41" w:rsidR="00CF077F" w:rsidRDefault="00CF077F" w:rsidP="006B3F2E">
            <w:pPr>
              <w:spacing w:before="0" w:after="0"/>
              <w:ind w:left="0"/>
              <w:rPr>
                <w:lang w:val="en-US" w:eastAsia="zh-CN"/>
              </w:rPr>
            </w:pPr>
            <w:r>
              <w:rPr>
                <w:lang w:val="en-US" w:eastAsia="zh-CN"/>
              </w:rPr>
              <w:t>21/08/25</w:t>
            </w:r>
          </w:p>
        </w:tc>
        <w:tc>
          <w:tcPr>
            <w:tcW w:w="2797" w:type="dxa"/>
            <w:vAlign w:val="center"/>
          </w:tcPr>
          <w:p w14:paraId="4CDC1666" w14:textId="77777777" w:rsidR="00CF077F" w:rsidRDefault="00CF077F" w:rsidP="006B3F2E">
            <w:pPr>
              <w:spacing w:before="0" w:after="0"/>
              <w:ind w:left="0"/>
              <w:rPr>
                <w:lang w:val="en-US" w:eastAsia="zh-CN"/>
              </w:rPr>
            </w:pPr>
            <w:r>
              <w:rPr>
                <w:lang w:val="en-US" w:eastAsia="zh-CN"/>
              </w:rPr>
              <w:t xml:space="preserve">Hannah Wenlock, </w:t>
            </w:r>
          </w:p>
          <w:p w14:paraId="1C608BD7" w14:textId="65215BB7" w:rsidR="00CF077F" w:rsidRDefault="00CF077F" w:rsidP="006B3F2E">
            <w:pPr>
              <w:spacing w:before="0" w:after="0"/>
              <w:ind w:left="0"/>
              <w:rPr>
                <w:lang w:val="en-US" w:eastAsia="zh-CN"/>
              </w:rPr>
            </w:pPr>
            <w:r>
              <w:rPr>
                <w:lang w:val="en-US" w:eastAsia="zh-CN"/>
              </w:rPr>
              <w:t>Anti-Crime Specialist, TIAA Ltd</w:t>
            </w:r>
          </w:p>
        </w:tc>
        <w:tc>
          <w:tcPr>
            <w:tcW w:w="3514" w:type="dxa"/>
            <w:vAlign w:val="center"/>
          </w:tcPr>
          <w:p w14:paraId="3EE18854" w14:textId="692DCC56" w:rsidR="00CF077F" w:rsidRDefault="00CF077F" w:rsidP="006B3F2E">
            <w:pPr>
              <w:spacing w:before="0" w:after="0"/>
              <w:ind w:left="0"/>
              <w:rPr>
                <w:lang w:val="en-US" w:eastAsia="zh-CN"/>
              </w:rPr>
            </w:pPr>
            <w:r>
              <w:rPr>
                <w:lang w:val="en-US" w:eastAsia="zh-CN"/>
              </w:rPr>
              <w:t xml:space="preserve">Amendments to take account of </w:t>
            </w:r>
            <w:r w:rsidRPr="00CF077F">
              <w:rPr>
                <w:lang w:val="en-US" w:eastAsia="zh-CN"/>
              </w:rPr>
              <w:t>Economic Crime and Corporate Transparency Act 2023 (ECCTA) and the Failure to Prevent Fraud Offence</w:t>
            </w:r>
            <w:r>
              <w:rPr>
                <w:lang w:val="en-US" w:eastAsia="zh-CN"/>
              </w:rPr>
              <w:t xml:space="preserve"> (Section 4.7) and amendment to flowchart in Appendix A.</w:t>
            </w:r>
          </w:p>
        </w:tc>
      </w:tr>
      <w:tr w:rsidR="00B172A5" w:rsidRPr="00026290" w14:paraId="48A6A6B7" w14:textId="77777777" w:rsidTr="00444A32">
        <w:trPr>
          <w:trHeight w:val="423"/>
        </w:trPr>
        <w:tc>
          <w:tcPr>
            <w:tcW w:w="1287" w:type="dxa"/>
            <w:vAlign w:val="center"/>
          </w:tcPr>
          <w:p w14:paraId="22AE544A" w14:textId="3021883D" w:rsidR="00B172A5" w:rsidRDefault="00B172A5" w:rsidP="006B3F2E">
            <w:pPr>
              <w:spacing w:before="0" w:after="0"/>
              <w:ind w:left="0"/>
              <w:rPr>
                <w:lang w:val="en-US" w:eastAsia="zh-CN"/>
              </w:rPr>
            </w:pPr>
            <w:r>
              <w:rPr>
                <w:lang w:val="en-US" w:eastAsia="zh-CN"/>
              </w:rPr>
              <w:t>3.0</w:t>
            </w:r>
          </w:p>
        </w:tc>
        <w:tc>
          <w:tcPr>
            <w:tcW w:w="1418" w:type="dxa"/>
            <w:vAlign w:val="center"/>
          </w:tcPr>
          <w:p w14:paraId="14E4673D" w14:textId="25DDC4B2" w:rsidR="00B172A5" w:rsidRDefault="002923AC" w:rsidP="006B3F2E">
            <w:pPr>
              <w:spacing w:before="0" w:after="0"/>
              <w:ind w:left="0"/>
              <w:rPr>
                <w:lang w:val="en-US" w:eastAsia="zh-CN"/>
              </w:rPr>
            </w:pPr>
            <w:r>
              <w:rPr>
                <w:lang w:val="en-US" w:eastAsia="zh-CN"/>
              </w:rPr>
              <w:t>04/09/25</w:t>
            </w:r>
          </w:p>
        </w:tc>
        <w:tc>
          <w:tcPr>
            <w:tcW w:w="2797" w:type="dxa"/>
            <w:vAlign w:val="center"/>
          </w:tcPr>
          <w:p w14:paraId="19594629" w14:textId="2F515433" w:rsidR="00B172A5" w:rsidRDefault="00CC6534" w:rsidP="006B3F2E">
            <w:pPr>
              <w:spacing w:before="0" w:after="0"/>
              <w:ind w:left="0"/>
              <w:rPr>
                <w:lang w:val="en-US" w:eastAsia="zh-CN"/>
              </w:rPr>
            </w:pPr>
            <w:r>
              <w:rPr>
                <w:lang w:val="en-US" w:eastAsia="zh-CN"/>
              </w:rPr>
              <w:t>Helen Chasney, Corp Svcs &amp; Gov Support Officer</w:t>
            </w:r>
          </w:p>
        </w:tc>
        <w:tc>
          <w:tcPr>
            <w:tcW w:w="3514" w:type="dxa"/>
            <w:vAlign w:val="center"/>
          </w:tcPr>
          <w:p w14:paraId="10E552D0" w14:textId="785E00B5" w:rsidR="00B172A5" w:rsidRDefault="00CC6534" w:rsidP="006B3F2E">
            <w:pPr>
              <w:spacing w:before="0" w:after="0"/>
              <w:ind w:left="0"/>
              <w:rPr>
                <w:lang w:val="en-US" w:eastAsia="zh-CN"/>
              </w:rPr>
            </w:pPr>
            <w:r>
              <w:rPr>
                <w:lang w:val="en-US" w:eastAsia="zh-CN"/>
              </w:rPr>
              <w:t>Approved final version</w:t>
            </w:r>
          </w:p>
        </w:tc>
      </w:tr>
    </w:tbl>
    <w:p w14:paraId="20E4FA2C" w14:textId="77777777" w:rsidR="00D44658" w:rsidRDefault="00D44658" w:rsidP="00190D44"/>
    <w:p w14:paraId="23EC951E" w14:textId="6EC54495" w:rsidR="001F1201" w:rsidRDefault="001F1201" w:rsidP="00190D44">
      <w:pPr>
        <w:sectPr w:rsidR="001F1201" w:rsidSect="00906F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0" w:gutter="0"/>
          <w:cols w:space="708"/>
          <w:titlePg/>
          <w:docGrid w:linePitch="360"/>
        </w:sectPr>
      </w:pPr>
    </w:p>
    <w:p w14:paraId="46216402" w14:textId="77777777" w:rsidR="00A33756" w:rsidRDefault="00A33756" w:rsidP="00190D44"/>
    <w:p w14:paraId="0A067ED7" w14:textId="77777777" w:rsidR="00A33756" w:rsidRPr="00F3042B" w:rsidRDefault="00A33756" w:rsidP="00190D44">
      <w:pPr>
        <w:rPr>
          <w:b/>
          <w:bCs/>
        </w:rPr>
      </w:pPr>
      <w:r w:rsidRPr="00F3042B">
        <w:rPr>
          <w:b/>
          <w:bCs/>
        </w:rPr>
        <w:t>CONTENTS</w:t>
      </w:r>
    </w:p>
    <w:p w14:paraId="1B066203" w14:textId="1F6F7DDA" w:rsidR="00A33756" w:rsidRDefault="00A33756" w:rsidP="00190D44"/>
    <w:p w14:paraId="6B8EE9D9" w14:textId="6D3AE7A2" w:rsidR="004A1040" w:rsidRDefault="00D81B3C">
      <w:pPr>
        <w:pStyle w:val="TOC1"/>
        <w:rPr>
          <w:rFonts w:asciiTheme="minorHAnsi" w:hAnsiTheme="minorHAnsi"/>
          <w:b w:val="0"/>
          <w:bCs w:val="0"/>
          <w:caps w:val="0"/>
          <w:noProof/>
          <w:kern w:val="2"/>
          <w:sz w:val="24"/>
          <w:szCs w:val="24"/>
          <w14:ligatures w14:val="standardContextual"/>
        </w:rPr>
      </w:pPr>
      <w:r w:rsidRPr="00D81B3C">
        <w:rPr>
          <w:rFonts w:eastAsia="Times New Roman" w:cs="Times New Roman"/>
        </w:rPr>
        <w:fldChar w:fldCharType="begin"/>
      </w:r>
      <w:r w:rsidRPr="00D81B3C">
        <w:rPr>
          <w:rFonts w:eastAsia="Times New Roman" w:cs="Times New Roman"/>
        </w:rPr>
        <w:instrText xml:space="preserve"> TOC \o "1-1" \t "Style1,2" </w:instrText>
      </w:r>
      <w:r w:rsidRPr="00D81B3C">
        <w:rPr>
          <w:rFonts w:eastAsia="Times New Roman" w:cs="Times New Roman"/>
        </w:rPr>
        <w:fldChar w:fldCharType="separate"/>
      </w:r>
      <w:r w:rsidR="004A1040">
        <w:rPr>
          <w:noProof/>
        </w:rPr>
        <w:t>1</w:t>
      </w:r>
      <w:r w:rsidR="004A1040">
        <w:rPr>
          <w:rFonts w:asciiTheme="minorHAnsi" w:hAnsiTheme="minorHAnsi"/>
          <w:b w:val="0"/>
          <w:bCs w:val="0"/>
          <w:caps w:val="0"/>
          <w:noProof/>
          <w:kern w:val="2"/>
          <w:sz w:val="24"/>
          <w:szCs w:val="24"/>
          <w14:ligatures w14:val="standardContextual"/>
        </w:rPr>
        <w:tab/>
      </w:r>
      <w:r w:rsidR="004A1040">
        <w:rPr>
          <w:noProof/>
        </w:rPr>
        <w:t>Introduction</w:t>
      </w:r>
      <w:r w:rsidR="004A1040">
        <w:rPr>
          <w:noProof/>
        </w:rPr>
        <w:tab/>
        <w:t>5</w:t>
      </w:r>
    </w:p>
    <w:p w14:paraId="64AE2A42" w14:textId="677AE4ED" w:rsidR="004A1040" w:rsidRDefault="004A1040">
      <w:pPr>
        <w:pStyle w:val="TOC1"/>
        <w:rPr>
          <w:rFonts w:asciiTheme="minorHAnsi" w:hAnsiTheme="minorHAnsi"/>
          <w:b w:val="0"/>
          <w:bCs w:val="0"/>
          <w:caps w:val="0"/>
          <w:noProof/>
          <w:kern w:val="2"/>
          <w:sz w:val="24"/>
          <w:szCs w:val="24"/>
          <w14:ligatures w14:val="standardContextual"/>
        </w:rPr>
      </w:pPr>
      <w:r>
        <w:rPr>
          <w:noProof/>
        </w:rPr>
        <w:t>2</w:t>
      </w:r>
      <w:r>
        <w:rPr>
          <w:rFonts w:asciiTheme="minorHAnsi" w:hAnsiTheme="minorHAnsi"/>
          <w:b w:val="0"/>
          <w:bCs w:val="0"/>
          <w:caps w:val="0"/>
          <w:noProof/>
          <w:kern w:val="2"/>
          <w:sz w:val="24"/>
          <w:szCs w:val="24"/>
          <w14:ligatures w14:val="standardContextual"/>
        </w:rPr>
        <w:tab/>
      </w:r>
      <w:r>
        <w:rPr>
          <w:noProof/>
        </w:rPr>
        <w:t>Purpose</w:t>
      </w:r>
      <w:r>
        <w:rPr>
          <w:noProof/>
        </w:rPr>
        <w:tab/>
        <w:t>5</w:t>
      </w:r>
    </w:p>
    <w:p w14:paraId="08980CB5" w14:textId="34FFA18B" w:rsidR="004A1040" w:rsidRDefault="004A1040">
      <w:pPr>
        <w:pStyle w:val="TOC1"/>
        <w:rPr>
          <w:rFonts w:asciiTheme="minorHAnsi" w:hAnsiTheme="minorHAnsi"/>
          <w:b w:val="0"/>
          <w:bCs w:val="0"/>
          <w:caps w:val="0"/>
          <w:noProof/>
          <w:kern w:val="2"/>
          <w:sz w:val="24"/>
          <w:szCs w:val="24"/>
          <w14:ligatures w14:val="standardContextual"/>
        </w:rPr>
      </w:pPr>
      <w:r>
        <w:rPr>
          <w:noProof/>
        </w:rPr>
        <w:t>3</w:t>
      </w:r>
      <w:r>
        <w:rPr>
          <w:rFonts w:asciiTheme="minorHAnsi" w:hAnsiTheme="minorHAnsi"/>
          <w:b w:val="0"/>
          <w:bCs w:val="0"/>
          <w:caps w:val="0"/>
          <w:noProof/>
          <w:kern w:val="2"/>
          <w:sz w:val="24"/>
          <w:szCs w:val="24"/>
          <w14:ligatures w14:val="standardContextual"/>
        </w:rPr>
        <w:tab/>
      </w:r>
      <w:r>
        <w:rPr>
          <w:noProof/>
        </w:rPr>
        <w:t>Scope</w:t>
      </w:r>
      <w:r>
        <w:rPr>
          <w:noProof/>
        </w:rPr>
        <w:tab/>
        <w:t>6</w:t>
      </w:r>
    </w:p>
    <w:p w14:paraId="4C2C305A" w14:textId="61ACA15D" w:rsidR="004A1040" w:rsidRDefault="004A1040">
      <w:pPr>
        <w:pStyle w:val="TOC1"/>
        <w:rPr>
          <w:rFonts w:asciiTheme="minorHAnsi" w:hAnsiTheme="minorHAnsi"/>
          <w:b w:val="0"/>
          <w:bCs w:val="0"/>
          <w:caps w:val="0"/>
          <w:noProof/>
          <w:kern w:val="2"/>
          <w:sz w:val="24"/>
          <w:szCs w:val="24"/>
          <w14:ligatures w14:val="standardContextual"/>
        </w:rPr>
      </w:pPr>
      <w:r>
        <w:rPr>
          <w:noProof/>
        </w:rPr>
        <w:t>4</w:t>
      </w:r>
      <w:r>
        <w:rPr>
          <w:rFonts w:asciiTheme="minorHAnsi" w:hAnsiTheme="minorHAnsi"/>
          <w:b w:val="0"/>
          <w:bCs w:val="0"/>
          <w:caps w:val="0"/>
          <w:noProof/>
          <w:kern w:val="2"/>
          <w:sz w:val="24"/>
          <w:szCs w:val="24"/>
          <w14:ligatures w14:val="standardContextual"/>
        </w:rPr>
        <w:tab/>
      </w:r>
      <w:r>
        <w:rPr>
          <w:noProof/>
        </w:rPr>
        <w:t>Definitions</w:t>
      </w:r>
      <w:r>
        <w:rPr>
          <w:noProof/>
        </w:rPr>
        <w:tab/>
        <w:t>6</w:t>
      </w:r>
    </w:p>
    <w:p w14:paraId="5647DA2A" w14:textId="01C44CCB" w:rsidR="004A1040" w:rsidRDefault="004A1040">
      <w:pPr>
        <w:pStyle w:val="TOC1"/>
        <w:rPr>
          <w:rFonts w:asciiTheme="minorHAnsi" w:hAnsiTheme="minorHAnsi"/>
          <w:b w:val="0"/>
          <w:bCs w:val="0"/>
          <w:caps w:val="0"/>
          <w:noProof/>
          <w:kern w:val="2"/>
          <w:sz w:val="24"/>
          <w:szCs w:val="24"/>
          <w14:ligatures w14:val="standardContextual"/>
        </w:rPr>
      </w:pPr>
      <w:r>
        <w:rPr>
          <w:noProof/>
        </w:rPr>
        <w:t>5</w:t>
      </w:r>
      <w:r>
        <w:rPr>
          <w:rFonts w:asciiTheme="minorHAnsi" w:hAnsiTheme="minorHAnsi"/>
          <w:b w:val="0"/>
          <w:bCs w:val="0"/>
          <w:caps w:val="0"/>
          <w:noProof/>
          <w:kern w:val="2"/>
          <w:sz w:val="24"/>
          <w:szCs w:val="24"/>
          <w14:ligatures w14:val="standardContextual"/>
        </w:rPr>
        <w:tab/>
      </w:r>
      <w:r>
        <w:rPr>
          <w:noProof/>
        </w:rPr>
        <w:t>Roles and Responsibilities</w:t>
      </w:r>
      <w:r>
        <w:rPr>
          <w:noProof/>
        </w:rPr>
        <w:tab/>
        <w:t>10</w:t>
      </w:r>
    </w:p>
    <w:p w14:paraId="1D89658F" w14:textId="26C89636" w:rsidR="004A1040" w:rsidRDefault="004A1040">
      <w:pPr>
        <w:pStyle w:val="TOC1"/>
        <w:rPr>
          <w:rFonts w:asciiTheme="minorHAnsi" w:hAnsiTheme="minorHAnsi"/>
          <w:b w:val="0"/>
          <w:bCs w:val="0"/>
          <w:caps w:val="0"/>
          <w:noProof/>
          <w:kern w:val="2"/>
          <w:sz w:val="24"/>
          <w:szCs w:val="24"/>
          <w14:ligatures w14:val="standardContextual"/>
        </w:rPr>
      </w:pPr>
      <w:r>
        <w:rPr>
          <w:noProof/>
        </w:rPr>
        <w:t>6</w:t>
      </w:r>
      <w:r>
        <w:rPr>
          <w:rFonts w:asciiTheme="minorHAnsi" w:hAnsiTheme="minorHAnsi"/>
          <w:b w:val="0"/>
          <w:bCs w:val="0"/>
          <w:caps w:val="0"/>
          <w:noProof/>
          <w:kern w:val="2"/>
          <w:sz w:val="24"/>
          <w:szCs w:val="24"/>
          <w14:ligatures w14:val="standardContextual"/>
        </w:rPr>
        <w:tab/>
      </w:r>
      <w:r>
        <w:rPr>
          <w:noProof/>
        </w:rPr>
        <w:t>The Response Plan</w:t>
      </w:r>
      <w:r>
        <w:rPr>
          <w:noProof/>
        </w:rPr>
        <w:tab/>
        <w:t>15</w:t>
      </w:r>
    </w:p>
    <w:p w14:paraId="3B09F2CB" w14:textId="72F70FAF" w:rsidR="004A1040" w:rsidRDefault="004A1040">
      <w:pPr>
        <w:pStyle w:val="TOC1"/>
        <w:rPr>
          <w:rFonts w:asciiTheme="minorHAnsi" w:hAnsiTheme="minorHAnsi"/>
          <w:b w:val="0"/>
          <w:bCs w:val="0"/>
          <w:caps w:val="0"/>
          <w:noProof/>
          <w:kern w:val="2"/>
          <w:sz w:val="24"/>
          <w:szCs w:val="24"/>
          <w14:ligatures w14:val="standardContextual"/>
        </w:rPr>
      </w:pPr>
      <w:r>
        <w:rPr>
          <w:noProof/>
        </w:rPr>
        <w:t>7</w:t>
      </w:r>
      <w:r>
        <w:rPr>
          <w:rFonts w:asciiTheme="minorHAnsi" w:hAnsiTheme="minorHAnsi"/>
          <w:b w:val="0"/>
          <w:bCs w:val="0"/>
          <w:caps w:val="0"/>
          <w:noProof/>
          <w:kern w:val="2"/>
          <w:sz w:val="24"/>
          <w:szCs w:val="24"/>
          <w14:ligatures w14:val="standardContextual"/>
        </w:rPr>
        <w:tab/>
      </w:r>
      <w:r>
        <w:rPr>
          <w:noProof/>
        </w:rPr>
        <w:t>Approach to Tackling Economic Crime</w:t>
      </w:r>
      <w:r>
        <w:rPr>
          <w:noProof/>
        </w:rPr>
        <w:tab/>
        <w:t>17</w:t>
      </w:r>
    </w:p>
    <w:p w14:paraId="07B43968" w14:textId="3E0BF45A" w:rsidR="004A1040" w:rsidRDefault="004A1040">
      <w:pPr>
        <w:pStyle w:val="TOC1"/>
        <w:rPr>
          <w:rFonts w:asciiTheme="minorHAnsi" w:hAnsiTheme="minorHAnsi"/>
          <w:b w:val="0"/>
          <w:bCs w:val="0"/>
          <w:caps w:val="0"/>
          <w:noProof/>
          <w:kern w:val="2"/>
          <w:sz w:val="24"/>
          <w:szCs w:val="24"/>
          <w14:ligatures w14:val="standardContextual"/>
        </w:rPr>
      </w:pPr>
      <w:r>
        <w:rPr>
          <w:noProof/>
        </w:rPr>
        <w:t>8</w:t>
      </w:r>
      <w:r>
        <w:rPr>
          <w:rFonts w:asciiTheme="minorHAnsi" w:hAnsiTheme="minorHAnsi"/>
          <w:b w:val="0"/>
          <w:bCs w:val="0"/>
          <w:caps w:val="0"/>
          <w:noProof/>
          <w:kern w:val="2"/>
          <w:sz w:val="24"/>
          <w:szCs w:val="24"/>
          <w14:ligatures w14:val="standardContextual"/>
        </w:rPr>
        <w:tab/>
      </w:r>
      <w:r>
        <w:rPr>
          <w:noProof/>
        </w:rPr>
        <w:t>Monitoring Compliance</w:t>
      </w:r>
      <w:r>
        <w:rPr>
          <w:noProof/>
        </w:rPr>
        <w:tab/>
        <w:t>18</w:t>
      </w:r>
    </w:p>
    <w:p w14:paraId="280AEE39" w14:textId="0215478A" w:rsidR="004A1040" w:rsidRDefault="004A1040">
      <w:pPr>
        <w:pStyle w:val="TOC1"/>
        <w:rPr>
          <w:rFonts w:asciiTheme="minorHAnsi" w:hAnsiTheme="minorHAnsi"/>
          <w:b w:val="0"/>
          <w:bCs w:val="0"/>
          <w:caps w:val="0"/>
          <w:noProof/>
          <w:kern w:val="2"/>
          <w:sz w:val="24"/>
          <w:szCs w:val="24"/>
          <w14:ligatures w14:val="standardContextual"/>
        </w:rPr>
      </w:pPr>
      <w:r>
        <w:rPr>
          <w:noProof/>
        </w:rPr>
        <w:t>9</w:t>
      </w:r>
      <w:r>
        <w:rPr>
          <w:rFonts w:asciiTheme="minorHAnsi" w:hAnsiTheme="minorHAnsi"/>
          <w:b w:val="0"/>
          <w:bCs w:val="0"/>
          <w:caps w:val="0"/>
          <w:noProof/>
          <w:kern w:val="2"/>
          <w:sz w:val="24"/>
          <w:szCs w:val="24"/>
          <w14:ligatures w14:val="standardContextual"/>
        </w:rPr>
        <w:tab/>
      </w:r>
      <w:r>
        <w:rPr>
          <w:noProof/>
        </w:rPr>
        <w:t>Staff Training</w:t>
      </w:r>
      <w:r>
        <w:rPr>
          <w:noProof/>
        </w:rPr>
        <w:tab/>
        <w:t>19</w:t>
      </w:r>
    </w:p>
    <w:p w14:paraId="4661D753" w14:textId="5546BE4D" w:rsidR="004A1040" w:rsidRDefault="004A1040">
      <w:pPr>
        <w:pStyle w:val="TOC1"/>
        <w:rPr>
          <w:rFonts w:asciiTheme="minorHAnsi" w:hAnsiTheme="minorHAnsi"/>
          <w:b w:val="0"/>
          <w:bCs w:val="0"/>
          <w:caps w:val="0"/>
          <w:noProof/>
          <w:kern w:val="2"/>
          <w:sz w:val="24"/>
          <w:szCs w:val="24"/>
          <w14:ligatures w14:val="standardContextual"/>
        </w:rPr>
      </w:pPr>
      <w:r>
        <w:rPr>
          <w:noProof/>
        </w:rPr>
        <w:t>10</w:t>
      </w:r>
      <w:r>
        <w:rPr>
          <w:rFonts w:asciiTheme="minorHAnsi" w:hAnsiTheme="minorHAnsi"/>
          <w:b w:val="0"/>
          <w:bCs w:val="0"/>
          <w:caps w:val="0"/>
          <w:noProof/>
          <w:kern w:val="2"/>
          <w:sz w:val="24"/>
          <w:szCs w:val="24"/>
          <w14:ligatures w14:val="standardContextual"/>
        </w:rPr>
        <w:tab/>
      </w:r>
      <w:r>
        <w:rPr>
          <w:noProof/>
        </w:rPr>
        <w:t>Arrangements for Review</w:t>
      </w:r>
      <w:r>
        <w:rPr>
          <w:noProof/>
        </w:rPr>
        <w:tab/>
        <w:t>19</w:t>
      </w:r>
    </w:p>
    <w:p w14:paraId="328E6418" w14:textId="7BC6E63C" w:rsidR="004A1040" w:rsidRDefault="004A1040">
      <w:pPr>
        <w:pStyle w:val="TOC1"/>
        <w:rPr>
          <w:rFonts w:asciiTheme="minorHAnsi" w:hAnsiTheme="minorHAnsi"/>
          <w:b w:val="0"/>
          <w:bCs w:val="0"/>
          <w:caps w:val="0"/>
          <w:noProof/>
          <w:kern w:val="2"/>
          <w:sz w:val="24"/>
          <w:szCs w:val="24"/>
          <w14:ligatures w14:val="standardContextual"/>
        </w:rPr>
      </w:pPr>
      <w:r>
        <w:rPr>
          <w:noProof/>
        </w:rPr>
        <w:t>11</w:t>
      </w:r>
      <w:r>
        <w:rPr>
          <w:rFonts w:asciiTheme="minorHAnsi" w:hAnsiTheme="minorHAnsi"/>
          <w:b w:val="0"/>
          <w:bCs w:val="0"/>
          <w:caps w:val="0"/>
          <w:noProof/>
          <w:kern w:val="2"/>
          <w:sz w:val="24"/>
          <w:szCs w:val="24"/>
          <w14:ligatures w14:val="standardContextual"/>
        </w:rPr>
        <w:tab/>
      </w:r>
      <w:r w:rsidRPr="002E7B1A">
        <w:rPr>
          <w:noProof/>
          <w:color w:val="0000FF" w:themeColor="hyperlink"/>
          <w:u w:val="single"/>
        </w:rPr>
        <w:t>Associated Policies, Guidance and Documents</w:t>
      </w:r>
      <w:r>
        <w:rPr>
          <w:noProof/>
        </w:rPr>
        <w:tab/>
        <w:t>20</w:t>
      </w:r>
    </w:p>
    <w:p w14:paraId="1BA2B780" w14:textId="4ADFE46D" w:rsidR="004A1040" w:rsidRDefault="004A1040">
      <w:pPr>
        <w:pStyle w:val="TOC1"/>
        <w:rPr>
          <w:rFonts w:asciiTheme="minorHAnsi" w:hAnsiTheme="minorHAnsi"/>
          <w:b w:val="0"/>
          <w:bCs w:val="0"/>
          <w:caps w:val="0"/>
          <w:noProof/>
          <w:kern w:val="2"/>
          <w:sz w:val="24"/>
          <w:szCs w:val="24"/>
          <w14:ligatures w14:val="standardContextual"/>
        </w:rPr>
      </w:pPr>
      <w:r>
        <w:rPr>
          <w:noProof/>
        </w:rPr>
        <w:t>12</w:t>
      </w:r>
      <w:r>
        <w:rPr>
          <w:rFonts w:asciiTheme="minorHAnsi" w:hAnsiTheme="minorHAnsi"/>
          <w:b w:val="0"/>
          <w:bCs w:val="0"/>
          <w:caps w:val="0"/>
          <w:noProof/>
          <w:kern w:val="2"/>
          <w:sz w:val="24"/>
          <w:szCs w:val="24"/>
          <w14:ligatures w14:val="standardContextual"/>
        </w:rPr>
        <w:tab/>
      </w:r>
      <w:r>
        <w:rPr>
          <w:noProof/>
        </w:rPr>
        <w:t>References</w:t>
      </w:r>
      <w:r>
        <w:rPr>
          <w:noProof/>
        </w:rPr>
        <w:tab/>
        <w:t>20</w:t>
      </w:r>
    </w:p>
    <w:p w14:paraId="4C66679D" w14:textId="3C1C89F4" w:rsidR="004A1040" w:rsidRDefault="004A1040">
      <w:pPr>
        <w:pStyle w:val="TOC1"/>
        <w:rPr>
          <w:rFonts w:asciiTheme="minorHAnsi" w:hAnsiTheme="minorHAnsi"/>
          <w:b w:val="0"/>
          <w:bCs w:val="0"/>
          <w:caps w:val="0"/>
          <w:noProof/>
          <w:kern w:val="2"/>
          <w:sz w:val="24"/>
          <w:szCs w:val="24"/>
          <w14:ligatures w14:val="standardContextual"/>
        </w:rPr>
      </w:pPr>
      <w:r>
        <w:rPr>
          <w:noProof/>
        </w:rPr>
        <w:t>13</w:t>
      </w:r>
      <w:r>
        <w:rPr>
          <w:rFonts w:asciiTheme="minorHAnsi" w:hAnsiTheme="minorHAnsi"/>
          <w:b w:val="0"/>
          <w:bCs w:val="0"/>
          <w:caps w:val="0"/>
          <w:noProof/>
          <w:kern w:val="2"/>
          <w:sz w:val="24"/>
          <w:szCs w:val="24"/>
          <w14:ligatures w14:val="standardContextual"/>
        </w:rPr>
        <w:tab/>
      </w:r>
      <w:r>
        <w:rPr>
          <w:noProof/>
        </w:rPr>
        <w:t>Equality Impact Assessment (EIA)</w:t>
      </w:r>
      <w:r>
        <w:rPr>
          <w:noProof/>
        </w:rPr>
        <w:tab/>
        <w:t>20</w:t>
      </w:r>
    </w:p>
    <w:p w14:paraId="0FA1E222" w14:textId="264EC414" w:rsidR="004A1040" w:rsidRDefault="004A1040">
      <w:pPr>
        <w:pStyle w:val="TOC1"/>
        <w:rPr>
          <w:rFonts w:asciiTheme="minorHAnsi" w:hAnsiTheme="minorHAnsi"/>
          <w:b w:val="0"/>
          <w:bCs w:val="0"/>
          <w:caps w:val="0"/>
          <w:noProof/>
          <w:kern w:val="2"/>
          <w:sz w:val="24"/>
          <w:szCs w:val="24"/>
          <w14:ligatures w14:val="standardContextual"/>
        </w:rPr>
      </w:pPr>
      <w:r>
        <w:rPr>
          <w:noProof/>
        </w:rPr>
        <w:t xml:space="preserve">APPENDIX A – </w:t>
      </w:r>
      <w:r w:rsidRPr="002E7B1A">
        <w:rPr>
          <w:rFonts w:cs="Arial"/>
          <w:noProof/>
        </w:rPr>
        <w:t>What to do if you have any suspicions of fraud?</w:t>
      </w:r>
      <w:r>
        <w:rPr>
          <w:noProof/>
        </w:rPr>
        <w:tab/>
        <w:t>21</w:t>
      </w:r>
    </w:p>
    <w:p w14:paraId="506CDBA3" w14:textId="1570C059" w:rsidR="004A1040" w:rsidRDefault="004A1040">
      <w:pPr>
        <w:pStyle w:val="TOC1"/>
        <w:rPr>
          <w:rFonts w:asciiTheme="minorHAnsi" w:hAnsiTheme="minorHAnsi"/>
          <w:b w:val="0"/>
          <w:bCs w:val="0"/>
          <w:caps w:val="0"/>
          <w:noProof/>
          <w:kern w:val="2"/>
          <w:sz w:val="24"/>
          <w:szCs w:val="24"/>
          <w14:ligatures w14:val="standardContextual"/>
        </w:rPr>
      </w:pPr>
      <w:r>
        <w:rPr>
          <w:noProof/>
        </w:rPr>
        <w:t>APPENDIX B - How to report suspected fraud taking place in the NHS.</w:t>
      </w:r>
      <w:r>
        <w:rPr>
          <w:noProof/>
        </w:rPr>
        <w:tab/>
        <w:t>22</w:t>
      </w:r>
    </w:p>
    <w:p w14:paraId="0F824DEF" w14:textId="02DED8C8" w:rsidR="004C34F5" w:rsidRDefault="004C34F5">
      <w:pPr>
        <w:pStyle w:val="TOC1"/>
        <w:rPr>
          <w:noProof/>
        </w:rPr>
      </w:pPr>
      <w:r>
        <w:rPr>
          <w:noProof/>
        </w:rPr>
        <w:t xml:space="preserve">Appendix c - FRAUD, BRIBERY </w:t>
      </w:r>
      <w:r w:rsidR="00CD652D">
        <w:rPr>
          <w:noProof/>
        </w:rPr>
        <w:t>AND RESPONSE PlaN</w:t>
      </w:r>
      <w:r w:rsidR="00CD652D">
        <w:rPr>
          <w:noProof/>
        </w:rPr>
        <w:tab/>
        <w:t>23</w:t>
      </w:r>
    </w:p>
    <w:p w14:paraId="7B32D946" w14:textId="5E4B474A" w:rsidR="004A1040" w:rsidRDefault="004A1040">
      <w:pPr>
        <w:pStyle w:val="TOC1"/>
        <w:rPr>
          <w:rFonts w:asciiTheme="minorHAnsi" w:hAnsiTheme="minorHAnsi"/>
          <w:b w:val="0"/>
          <w:bCs w:val="0"/>
          <w:caps w:val="0"/>
          <w:noProof/>
          <w:kern w:val="2"/>
          <w:sz w:val="24"/>
          <w:szCs w:val="24"/>
          <w14:ligatures w14:val="standardContextual"/>
        </w:rPr>
      </w:pPr>
      <w:r>
        <w:rPr>
          <w:noProof/>
        </w:rPr>
        <w:t>APPENDIX D - Equality Impact Assessment</w:t>
      </w:r>
      <w:r>
        <w:rPr>
          <w:noProof/>
        </w:rPr>
        <w:tab/>
        <w:t>24</w:t>
      </w:r>
    </w:p>
    <w:p w14:paraId="5EEABFAA" w14:textId="43E8AAAD" w:rsidR="00A33756" w:rsidRDefault="00D81B3C" w:rsidP="00190D44">
      <w:r w:rsidRPr="00D81B3C">
        <w:rPr>
          <w:rFonts w:eastAsia="Times New Roman"/>
        </w:rPr>
        <w:fldChar w:fldCharType="end"/>
      </w:r>
    </w:p>
    <w:p w14:paraId="6EC7CDE6" w14:textId="77777777" w:rsidR="00A33756" w:rsidRDefault="00A33756" w:rsidP="00190D44"/>
    <w:p w14:paraId="0232D50A" w14:textId="77777777" w:rsidR="00A33756" w:rsidRDefault="00A33756" w:rsidP="00190D44">
      <w:pPr>
        <w:sectPr w:rsidR="00A33756" w:rsidSect="00906F46">
          <w:headerReference w:type="default" r:id="rId17"/>
          <w:footerReference w:type="default" r:id="rId18"/>
          <w:pgSz w:w="11906" w:h="16838"/>
          <w:pgMar w:top="1440" w:right="1440" w:bottom="1440" w:left="1440" w:header="708" w:footer="708" w:gutter="0"/>
          <w:cols w:space="708"/>
          <w:docGrid w:linePitch="360"/>
        </w:sectPr>
      </w:pPr>
    </w:p>
    <w:p w14:paraId="7417A901" w14:textId="173BFA18" w:rsidR="00C46A50" w:rsidRDefault="00C46A50" w:rsidP="00012305">
      <w:pPr>
        <w:pStyle w:val="Heading1"/>
      </w:pPr>
      <w:bookmarkStart w:id="1" w:name="_Toc210650401"/>
      <w:r>
        <w:lastRenderedPageBreak/>
        <w:t>Introduction</w:t>
      </w:r>
      <w:bookmarkEnd w:id="1"/>
    </w:p>
    <w:p w14:paraId="5F8F48B8" w14:textId="730B682A" w:rsidR="00C46A50" w:rsidRPr="009A39A8" w:rsidRDefault="00C46A50" w:rsidP="00F86C52">
      <w:pPr>
        <w:pStyle w:val="Heading2"/>
      </w:pPr>
      <w:r w:rsidRPr="009A39A8">
        <w:t>All fraud, bribery and corruption (collectively referred to as economic crime) in the NHS is unacceptable and must not be tolerated. It affects the ability of the NHS to improve health outcomes for the population, as resources are wrongfully diverted and cannot be used for their intended purpose.  NHS funds and resources must, therefore, be safeguarded against those minded to committing economic crime.</w:t>
      </w:r>
    </w:p>
    <w:p w14:paraId="6A461A6A" w14:textId="758DC2AE" w:rsidR="002227F4" w:rsidRPr="002227F4" w:rsidRDefault="002227F4" w:rsidP="00F86C52">
      <w:pPr>
        <w:pStyle w:val="Heading2"/>
      </w:pPr>
      <w:r w:rsidRPr="002227F4">
        <w:t>The</w:t>
      </w:r>
      <w:r>
        <w:t xml:space="preserve"> Mid and South Essex I</w:t>
      </w:r>
      <w:r w:rsidR="002A0A34">
        <w:t>ntegrated Care Board (MSE I</w:t>
      </w:r>
      <w:r>
        <w:t>CB</w:t>
      </w:r>
      <w:r w:rsidR="00B150AC">
        <w:t xml:space="preserve"> or </w:t>
      </w:r>
      <w:r w:rsidR="00C71223">
        <w:t>‘</w:t>
      </w:r>
      <w:r w:rsidR="00B150AC">
        <w:t>the Board</w:t>
      </w:r>
      <w:r w:rsidR="00C71223">
        <w:t>’</w:t>
      </w:r>
      <w:r w:rsidR="002A0A34">
        <w:t>)</w:t>
      </w:r>
      <w:r w:rsidRPr="002227F4">
        <w:t xml:space="preserve"> is absolutely committed to maintaining an honest, open and well-intentioned culture within the organisation. It is, therefore, also absolutely committed to the </w:t>
      </w:r>
      <w:r w:rsidR="00E3136F">
        <w:t xml:space="preserve">identification and </w:t>
      </w:r>
      <w:r w:rsidRPr="002227F4">
        <w:t xml:space="preserve">elimination of fraud, bribery or any other illegal act which occurs either within or against the organisation. </w:t>
      </w:r>
    </w:p>
    <w:p w14:paraId="1E7041FB" w14:textId="55D5D8E0" w:rsidR="002227F4" w:rsidRPr="002227F4" w:rsidRDefault="002227F4" w:rsidP="00F86C52">
      <w:pPr>
        <w:pStyle w:val="Heading2"/>
      </w:pPr>
      <w:r w:rsidRPr="002227F4">
        <w:t>Whilst every effort will be made to prevent fraud and bribery from occurring, where this is not possible, the Board is committed to the rigorous investigation of any such cases</w:t>
      </w:r>
      <w:r w:rsidR="00E3136F">
        <w:t xml:space="preserve"> and robust controls to ensure where identified it can be eliminated and prevented in the future</w:t>
      </w:r>
      <w:r w:rsidRPr="002227F4">
        <w:t>.  Consequently, all cases of suspected fraud, bribery and dishonesty will be considered for investigation.  Where appropriate, criminal prosecution and civil court action may be taken to recover money, costs and interest.  Employees of the</w:t>
      </w:r>
      <w:r>
        <w:t xml:space="preserve"> </w:t>
      </w:r>
      <w:r w:rsidRPr="002227F4">
        <w:t>ICB or of third parties acting on behalf of the ICB may also be subject to criminal/civil/disciplinary action and or referral to a professional regulator.</w:t>
      </w:r>
    </w:p>
    <w:p w14:paraId="539FFC1F" w14:textId="4EF2AA35" w:rsidR="002227F4" w:rsidRPr="002227F4" w:rsidRDefault="002227F4" w:rsidP="00F86C52">
      <w:pPr>
        <w:pStyle w:val="Heading2"/>
      </w:pPr>
      <w:r w:rsidRPr="002227F4">
        <w:t xml:space="preserve">The Board wishes to encourage anyone having reasonable suspicions of fraud and/or bribery to report them.  Therefore, it is also the Board’s policy, which will be rigorously enforced, that no individual will suffer in any way as a result of reporting a reasonably held suspicion, provided that they have acted in ‘good faith’ when doing so.  For these purposes </w:t>
      </w:r>
      <w:r w:rsidR="005719FC">
        <w:t>‘</w:t>
      </w:r>
      <w:r w:rsidRPr="002227F4">
        <w:t>reasonably held suspicions</w:t>
      </w:r>
      <w:r w:rsidR="005719FC">
        <w:t>’</w:t>
      </w:r>
      <w:r w:rsidRPr="002227F4">
        <w:t xml:space="preserve"> shall mean any suspicions other than those, which are raised maliciously and found to be groundless. </w:t>
      </w:r>
      <w:r>
        <w:t xml:space="preserve">The Board </w:t>
      </w:r>
      <w:r w:rsidRPr="002227F4">
        <w:t xml:space="preserve">is </w:t>
      </w:r>
      <w:r>
        <w:t xml:space="preserve">also </w:t>
      </w:r>
      <w:r w:rsidRPr="002227F4">
        <w:t>committed to ensuring employees are treated in line with the Public Interest Disclosure Act 1998</w:t>
      </w:r>
      <w:r>
        <w:t xml:space="preserve"> and its </w:t>
      </w:r>
      <w:hyperlink r:id="rId19" w:history="1">
        <w:r w:rsidR="00A52E60" w:rsidRPr="003D44BB">
          <w:rPr>
            <w:rStyle w:val="Hyperlink"/>
          </w:rPr>
          <w:t>Freedom to Speak Up</w:t>
        </w:r>
        <w:r w:rsidRPr="003D44BB">
          <w:rPr>
            <w:rStyle w:val="Hyperlink"/>
          </w:rPr>
          <w:t xml:space="preserve"> (Whistleblowing) </w:t>
        </w:r>
        <w:r w:rsidR="00A52E60" w:rsidRPr="003D44BB">
          <w:rPr>
            <w:rStyle w:val="Hyperlink"/>
          </w:rPr>
          <w:t>P</w:t>
        </w:r>
        <w:r w:rsidRPr="003D44BB">
          <w:rPr>
            <w:rStyle w:val="Hyperlink"/>
          </w:rPr>
          <w:t>olicy</w:t>
        </w:r>
        <w:r w:rsidR="0071577D" w:rsidRPr="003D44BB">
          <w:rPr>
            <w:rStyle w:val="Hyperlink"/>
          </w:rPr>
          <w:t xml:space="preserve"> (Ref 023)</w:t>
        </w:r>
      </w:hyperlink>
      <w:r>
        <w:t>,</w:t>
      </w:r>
      <w:r w:rsidRPr="002227F4">
        <w:t xml:space="preserve"> which should be consulted by employees who are concerned about making a report.   </w:t>
      </w:r>
    </w:p>
    <w:p w14:paraId="192B4690" w14:textId="240F2553" w:rsidR="00C02763" w:rsidRDefault="00A33756" w:rsidP="00012305">
      <w:pPr>
        <w:pStyle w:val="Heading1"/>
      </w:pPr>
      <w:bookmarkStart w:id="2" w:name="_Toc210650402"/>
      <w:r>
        <w:t>P</w:t>
      </w:r>
      <w:r w:rsidR="00190D44">
        <w:t>urpose</w:t>
      </w:r>
      <w:bookmarkEnd w:id="2"/>
    </w:p>
    <w:p w14:paraId="121B265A" w14:textId="2CF7EDCC" w:rsidR="00A6545A" w:rsidRDefault="00A6545A" w:rsidP="00F86C52">
      <w:pPr>
        <w:pStyle w:val="Heading2"/>
      </w:pPr>
      <w:r>
        <w:t>The overall aim of this policy is to:</w:t>
      </w:r>
    </w:p>
    <w:p w14:paraId="0BD88B16" w14:textId="2A9956DB" w:rsidR="00A6545A" w:rsidRDefault="00A6545A" w:rsidP="00A6545A">
      <w:pPr>
        <w:pStyle w:val="ListParagraph"/>
        <w:numPr>
          <w:ilvl w:val="0"/>
          <w:numId w:val="43"/>
        </w:numPr>
        <w:ind w:left="993" w:hanging="284"/>
      </w:pPr>
      <w:r>
        <w:t xml:space="preserve">Improve the knowledge </w:t>
      </w:r>
      <w:r w:rsidR="0071003B">
        <w:t xml:space="preserve">and understanding </w:t>
      </w:r>
      <w:r w:rsidR="0086358D">
        <w:t>about the risk of fraud, bribery, and corruption within the ICB and that such offences are unacceptable.</w:t>
      </w:r>
    </w:p>
    <w:p w14:paraId="2F67C916" w14:textId="44AD4880" w:rsidR="0086358D" w:rsidRDefault="0086358D" w:rsidP="00A6545A">
      <w:pPr>
        <w:pStyle w:val="ListParagraph"/>
        <w:numPr>
          <w:ilvl w:val="0"/>
          <w:numId w:val="43"/>
        </w:numPr>
        <w:ind w:left="993" w:hanging="284"/>
      </w:pPr>
      <w:r>
        <w:t xml:space="preserve">Assist in the promotion of </w:t>
      </w:r>
      <w:r w:rsidR="00E820A2">
        <w:t xml:space="preserve">a climate of openness, and a culture and environment where staff feel comfortable </w:t>
      </w:r>
      <w:r w:rsidR="005A59B0">
        <w:t>to raise concerns sensibly and responsibly.</w:t>
      </w:r>
    </w:p>
    <w:p w14:paraId="78F856D7" w14:textId="6253AE9C" w:rsidR="005A59B0" w:rsidRDefault="005A59B0" w:rsidP="00A6545A">
      <w:pPr>
        <w:pStyle w:val="ListParagraph"/>
        <w:numPr>
          <w:ilvl w:val="0"/>
          <w:numId w:val="43"/>
        </w:numPr>
        <w:ind w:left="993" w:hanging="284"/>
      </w:pPr>
      <w:r>
        <w:t xml:space="preserve">Set out the ICB’s responsibilities with the deterrence, prevention, detection, </w:t>
      </w:r>
      <w:r w:rsidR="001D4CB8">
        <w:t>and investigation of fraud, bribery, and corruption.</w:t>
      </w:r>
    </w:p>
    <w:p w14:paraId="3D0E3D4D" w14:textId="26FD42F5" w:rsidR="001D4CB8" w:rsidRDefault="001D4CB8" w:rsidP="00A6545A">
      <w:pPr>
        <w:pStyle w:val="ListParagraph"/>
        <w:numPr>
          <w:ilvl w:val="0"/>
          <w:numId w:val="43"/>
        </w:numPr>
        <w:ind w:left="993" w:hanging="284"/>
      </w:pPr>
      <w:r>
        <w:t xml:space="preserve">Ensure the appropriate sanctions are considered following an investigation, which may include any or </w:t>
      </w:r>
      <w:r w:rsidR="000249A3">
        <w:t>all of the following:</w:t>
      </w:r>
    </w:p>
    <w:p w14:paraId="2278D521" w14:textId="77777777" w:rsidR="00256FC6" w:rsidRDefault="00256FC6" w:rsidP="00256FC6">
      <w:pPr>
        <w:pStyle w:val="ListParagraph"/>
        <w:ind w:left="993"/>
      </w:pPr>
    </w:p>
    <w:p w14:paraId="660BABAB" w14:textId="12082462" w:rsidR="000249A3" w:rsidRDefault="00737279" w:rsidP="00256FC6">
      <w:pPr>
        <w:pStyle w:val="ListParagraph"/>
        <w:numPr>
          <w:ilvl w:val="1"/>
          <w:numId w:val="51"/>
        </w:numPr>
        <w:ind w:left="1560" w:hanging="426"/>
      </w:pPr>
      <w:r>
        <w:lastRenderedPageBreak/>
        <w:t>Criminal prosecution.</w:t>
      </w:r>
    </w:p>
    <w:p w14:paraId="344DE534" w14:textId="7A2F6987" w:rsidR="00737279" w:rsidRDefault="00737279" w:rsidP="00256FC6">
      <w:pPr>
        <w:pStyle w:val="ListParagraph"/>
        <w:numPr>
          <w:ilvl w:val="1"/>
          <w:numId w:val="51"/>
        </w:numPr>
        <w:ind w:left="1560" w:hanging="426"/>
      </w:pPr>
      <w:r>
        <w:t>Civil proceedings.</w:t>
      </w:r>
    </w:p>
    <w:p w14:paraId="5549FC05" w14:textId="22F035A9" w:rsidR="000E3A1C" w:rsidRPr="00A6545A" w:rsidRDefault="00737279" w:rsidP="00256FC6">
      <w:pPr>
        <w:pStyle w:val="ListParagraph"/>
        <w:numPr>
          <w:ilvl w:val="1"/>
          <w:numId w:val="51"/>
        </w:numPr>
        <w:ind w:left="1560" w:hanging="426"/>
      </w:pPr>
      <w:r>
        <w:t>Internal / external disciplinary action, including by professional or regulatory bodies.</w:t>
      </w:r>
    </w:p>
    <w:p w14:paraId="31A83C55" w14:textId="071DE25D" w:rsidR="00502DD6" w:rsidRDefault="0098161E" w:rsidP="00F86C52">
      <w:pPr>
        <w:pStyle w:val="Heading2"/>
      </w:pPr>
      <w:r>
        <w:t>The</w:t>
      </w:r>
      <w:r w:rsidR="00502DD6">
        <w:t xml:space="preserve"> ICB is committed to </w:t>
      </w:r>
      <w:r w:rsidR="00547408">
        <w:t xml:space="preserve">the elimination of fraud within the ICB, </w:t>
      </w:r>
      <w:r w:rsidR="0029002A">
        <w:t xml:space="preserve">and wider NHS; to the rigorous </w:t>
      </w:r>
      <w:r w:rsidR="00EC24DE">
        <w:t>investigation of any such allegations</w:t>
      </w:r>
      <w:r w:rsidR="009F4528">
        <w:t xml:space="preserve">, and to </w:t>
      </w:r>
      <w:r w:rsidR="00C418EE">
        <w:t>taking</w:t>
      </w:r>
      <w:r w:rsidR="009F4528">
        <w:t xml:space="preserve"> appropriate action against wrong</w:t>
      </w:r>
      <w:r w:rsidR="00C418EE">
        <w:t xml:space="preserve"> doers, including possible criminal prosecution</w:t>
      </w:r>
      <w:r w:rsidR="006D334F">
        <w:t>, as well as undertaking steps to recover assets lost due to fraudulent activity</w:t>
      </w:r>
      <w:r w:rsidR="007A73F3">
        <w:t>, and</w:t>
      </w:r>
      <w:r w:rsidR="00EC24DE">
        <w:t xml:space="preserve"> </w:t>
      </w:r>
      <w:r w:rsidR="00502DD6">
        <w:t xml:space="preserve">ensuring </w:t>
      </w:r>
      <w:bookmarkStart w:id="3" w:name="_Hlk95307767"/>
      <w:r w:rsidR="00502DD6">
        <w:t>its resources are appropriately protected from fraud, bribery and corruption.</w:t>
      </w:r>
    </w:p>
    <w:bookmarkEnd w:id="3"/>
    <w:p w14:paraId="5C689A75" w14:textId="57E8634F" w:rsidR="000E165D" w:rsidRDefault="00B30C7E" w:rsidP="00F86C52">
      <w:pPr>
        <w:pStyle w:val="Heading2"/>
      </w:pPr>
      <w:r w:rsidRPr="00190D44">
        <w:t>Th</w:t>
      </w:r>
      <w:r w:rsidR="000E165D">
        <w:t xml:space="preserve">e ICB expects anyone </w:t>
      </w:r>
      <w:r w:rsidR="00A1665E">
        <w:t xml:space="preserve">with reasonable suspicions of fraud to report them. The ICB recognises that, whilst cases of theft </w:t>
      </w:r>
      <w:r w:rsidR="00373458">
        <w:t>are usually obvious, there</w:t>
      </w:r>
      <w:r w:rsidR="0097385C">
        <w:t xml:space="preserve"> may initially </w:t>
      </w:r>
      <w:r w:rsidR="00D0265E">
        <w:t xml:space="preserve">only be a </w:t>
      </w:r>
      <w:r w:rsidR="00CF0BB0">
        <w:t>suspicion</w:t>
      </w:r>
      <w:r w:rsidR="00997959">
        <w:t xml:space="preserve"> regarding potential fraud and, therefore, employees should report the </w:t>
      </w:r>
      <w:r w:rsidR="00997959" w:rsidRPr="000B13C3">
        <w:t xml:space="preserve">matter to the </w:t>
      </w:r>
      <w:r w:rsidR="000B13C3" w:rsidRPr="000B13C3">
        <w:t xml:space="preserve">Local </w:t>
      </w:r>
      <w:r w:rsidR="00997959" w:rsidRPr="000B13C3">
        <w:t xml:space="preserve">Counter Fraud </w:t>
      </w:r>
      <w:r w:rsidR="000B13C3" w:rsidRPr="00882117">
        <w:t>Specialist</w:t>
      </w:r>
      <w:r w:rsidR="00997959" w:rsidRPr="000B13C3">
        <w:t xml:space="preserve"> who will then</w:t>
      </w:r>
      <w:r w:rsidR="00997959">
        <w:t xml:space="preserve"> ensure that processes are followed. Any person who becomes aware of fraud, bribery, </w:t>
      </w:r>
      <w:r w:rsidR="00961C7A">
        <w:t xml:space="preserve">or corruption </w:t>
      </w:r>
      <w:r w:rsidR="007A73F3">
        <w:t xml:space="preserve">and does not follow this policy could be subject to disciplinary action. Please refer to the </w:t>
      </w:r>
      <w:hyperlink r:id="rId20" w:history="1">
        <w:r w:rsidR="00092C96">
          <w:rPr>
            <w:rStyle w:val="Hyperlink"/>
          </w:rPr>
          <w:t>ICB’s Disciplinary Policy (Ref 045)</w:t>
        </w:r>
      </w:hyperlink>
      <w:r w:rsidR="007A73F3">
        <w:t>.</w:t>
      </w:r>
    </w:p>
    <w:p w14:paraId="044939D6" w14:textId="0402B93D" w:rsidR="00190D44" w:rsidRPr="00502DD6" w:rsidRDefault="00190D44" w:rsidP="00012305">
      <w:pPr>
        <w:pStyle w:val="Heading1"/>
      </w:pPr>
      <w:bookmarkStart w:id="4" w:name="_Toc210650403"/>
      <w:bookmarkStart w:id="5" w:name="_Toc84611045"/>
      <w:r w:rsidRPr="00502DD6">
        <w:t>S</w:t>
      </w:r>
      <w:r w:rsidR="00502DD6">
        <w:t>cope</w:t>
      </w:r>
      <w:bookmarkEnd w:id="4"/>
    </w:p>
    <w:p w14:paraId="64F62440" w14:textId="77777777" w:rsidR="00167E1A" w:rsidRPr="003065E8" w:rsidRDefault="00C46A50" w:rsidP="00F86C52">
      <w:pPr>
        <w:pStyle w:val="Heading2"/>
      </w:pPr>
      <w:r w:rsidRPr="00C46A50">
        <w:rPr>
          <w:rFonts w:eastAsia="Arial"/>
          <w:lang w:eastAsia="en-US"/>
        </w:rPr>
        <w:t xml:space="preserve">This policy applies to all ICB staff (including temporary/ bank/agency staff), contractors engaged by the ICB and </w:t>
      </w:r>
      <w:r>
        <w:rPr>
          <w:rFonts w:eastAsia="Arial"/>
          <w:lang w:eastAsia="en-US"/>
        </w:rPr>
        <w:t>s</w:t>
      </w:r>
      <w:r w:rsidRPr="00C46A50">
        <w:rPr>
          <w:rFonts w:eastAsia="Arial"/>
          <w:lang w:eastAsia="en-US"/>
        </w:rPr>
        <w:t>taff from other MSE ICS Partnership organisations working on behalf of the ICB</w:t>
      </w:r>
      <w:r w:rsidR="00167E1A">
        <w:rPr>
          <w:rFonts w:eastAsia="Arial"/>
          <w:lang w:eastAsia="en-US"/>
        </w:rPr>
        <w:t>.</w:t>
      </w:r>
    </w:p>
    <w:p w14:paraId="0A073356" w14:textId="71B7A1E4" w:rsidR="00C46A50" w:rsidRPr="00C46A50" w:rsidRDefault="00167E1A" w:rsidP="00F86C52">
      <w:pPr>
        <w:pStyle w:val="Heading2"/>
      </w:pPr>
      <w:r>
        <w:rPr>
          <w:rFonts w:eastAsia="Arial"/>
          <w:lang w:eastAsia="en-US"/>
        </w:rPr>
        <w:t xml:space="preserve">The Local Counter Fraud Specialist (LCFS) will investigate any </w:t>
      </w:r>
      <w:r w:rsidR="00AF3262">
        <w:rPr>
          <w:rFonts w:eastAsia="Arial"/>
          <w:lang w:eastAsia="en-US"/>
        </w:rPr>
        <w:t>fraud that may cause a loss to the NHS, and this may include internal fraud i.e. committed by an employee, or external including an individual, supplier, or a criminal organis</w:t>
      </w:r>
      <w:r w:rsidR="00AF5611">
        <w:rPr>
          <w:rFonts w:eastAsia="Arial"/>
          <w:lang w:eastAsia="en-US"/>
        </w:rPr>
        <w:t>ation</w:t>
      </w:r>
      <w:r>
        <w:rPr>
          <w:rFonts w:eastAsia="Arial"/>
          <w:lang w:eastAsia="en-US"/>
        </w:rPr>
        <w:t>.</w:t>
      </w:r>
    </w:p>
    <w:p w14:paraId="2B59BB94" w14:textId="034BB721" w:rsidR="00A33756" w:rsidRDefault="00A33756" w:rsidP="00012305">
      <w:pPr>
        <w:pStyle w:val="Heading1"/>
      </w:pPr>
      <w:bookmarkStart w:id="6" w:name="_Toc210650404"/>
      <w:r>
        <w:t>D</w:t>
      </w:r>
      <w:r w:rsidR="00502DD6">
        <w:t>efinitions</w:t>
      </w:r>
      <w:bookmarkEnd w:id="5"/>
      <w:bookmarkEnd w:id="6"/>
    </w:p>
    <w:p w14:paraId="414E7A0D" w14:textId="624E61BB" w:rsidR="00886E7F" w:rsidRDefault="00100E16" w:rsidP="00F86C52">
      <w:pPr>
        <w:pStyle w:val="Heading2"/>
      </w:pPr>
      <w:r w:rsidRPr="00A756CC">
        <w:rPr>
          <w:b/>
        </w:rPr>
        <w:t>Fraud</w:t>
      </w:r>
      <w:r>
        <w:t xml:space="preserve"> </w:t>
      </w:r>
      <w:r w:rsidR="00502DD6">
        <w:t xml:space="preserve">- </w:t>
      </w:r>
      <w:r w:rsidRPr="00444A32">
        <w:rPr>
          <w:rStyle w:val="Heading3Char"/>
        </w:rPr>
        <w:t xml:space="preserve">The Fraud Act 2006 </w:t>
      </w:r>
      <w:r w:rsidR="004F797B">
        <w:rPr>
          <w:rStyle w:val="Heading3Char"/>
        </w:rPr>
        <w:t>focuses on the dishonest behaviour of the subject and their intent to make a financial gain</w:t>
      </w:r>
      <w:r w:rsidR="00886E7F">
        <w:rPr>
          <w:rStyle w:val="Heading3Char"/>
        </w:rPr>
        <w:t xml:space="preserve"> or cause a financial loss. The gain does not have to succeed if the intent is there</w:t>
      </w:r>
      <w:r w:rsidR="00886E7F">
        <w:t>.</w:t>
      </w:r>
    </w:p>
    <w:p w14:paraId="1E484FF7" w14:textId="24BBE6D3" w:rsidR="00100E16" w:rsidRDefault="002E5C17" w:rsidP="00F86C52">
      <w:pPr>
        <w:pStyle w:val="Heading2"/>
      </w:pPr>
      <w:r>
        <w:t>The key Fraud Act 2006 offences are:</w:t>
      </w:r>
      <w:r w:rsidR="00100E16">
        <w:t xml:space="preserve"> </w:t>
      </w:r>
    </w:p>
    <w:p w14:paraId="7948BDE2" w14:textId="77777777" w:rsidR="00CD1007" w:rsidRPr="003065E8" w:rsidRDefault="00A756CC" w:rsidP="002E5C17">
      <w:pPr>
        <w:pStyle w:val="ListParagraph"/>
        <w:numPr>
          <w:ilvl w:val="0"/>
          <w:numId w:val="44"/>
        </w:numPr>
        <w:ind w:left="1134" w:hanging="425"/>
        <w:rPr>
          <w:rFonts w:cs="Arial"/>
          <w:b/>
          <w:bCs/>
          <w:specVanish/>
        </w:rPr>
      </w:pPr>
      <w:r w:rsidRPr="003065E8">
        <w:rPr>
          <w:b/>
          <w:bCs/>
        </w:rPr>
        <w:t>Fraud by false representation</w:t>
      </w:r>
      <w:r w:rsidR="002E5C17">
        <w:rPr>
          <w:b/>
          <w:bCs/>
        </w:rPr>
        <w:t>:</w:t>
      </w:r>
      <w:r w:rsidR="00F26F57">
        <w:rPr>
          <w:b/>
          <w:bCs/>
        </w:rPr>
        <w:t xml:space="preserve"> </w:t>
      </w:r>
      <w:r w:rsidR="00F26F57">
        <w:t>knowingly making an untrue or misleading statement. The representation may be express or implied and by any means e.g.,</w:t>
      </w:r>
      <w:r w:rsidR="00CD1007">
        <w:t xml:space="preserve"> by words or actions.</w:t>
      </w:r>
    </w:p>
    <w:p w14:paraId="2D19335F" w14:textId="77777777" w:rsidR="000F3BF6" w:rsidRPr="003065E8" w:rsidRDefault="00CD1007" w:rsidP="002E5C17">
      <w:pPr>
        <w:pStyle w:val="ListParagraph"/>
        <w:numPr>
          <w:ilvl w:val="0"/>
          <w:numId w:val="44"/>
        </w:numPr>
        <w:ind w:left="1134" w:hanging="425"/>
        <w:rPr>
          <w:rFonts w:cs="Arial"/>
          <w:b/>
          <w:bCs/>
          <w:specVanish/>
        </w:rPr>
      </w:pPr>
      <w:r>
        <w:rPr>
          <w:b/>
          <w:bCs/>
        </w:rPr>
        <w:t xml:space="preserve">Fraud by failing to disclose: </w:t>
      </w:r>
      <w:r>
        <w:t xml:space="preserve">involves not saying </w:t>
      </w:r>
      <w:r w:rsidR="00CD5281">
        <w:t xml:space="preserve">something when you have a legal duty to </w:t>
      </w:r>
      <w:r w:rsidR="000F3BF6">
        <w:t>do so e.g., failing to disclose criminal convictions.</w:t>
      </w:r>
    </w:p>
    <w:p w14:paraId="62CA2786" w14:textId="77777777" w:rsidR="004713AA" w:rsidRPr="003065E8" w:rsidRDefault="000F3BF6" w:rsidP="002E5C17">
      <w:pPr>
        <w:pStyle w:val="ListParagraph"/>
        <w:numPr>
          <w:ilvl w:val="0"/>
          <w:numId w:val="44"/>
        </w:numPr>
        <w:ind w:left="1134" w:hanging="425"/>
        <w:rPr>
          <w:rStyle w:val="legds2"/>
          <w:rFonts w:cs="Arial"/>
          <w:b/>
          <w:bCs/>
        </w:rPr>
      </w:pPr>
      <w:r>
        <w:rPr>
          <w:b/>
          <w:bCs/>
        </w:rPr>
        <w:t>Fraud by abuse of position</w:t>
      </w:r>
      <w:r w:rsidRPr="003065E8">
        <w:rPr>
          <w:rStyle w:val="legds2"/>
          <w:rFonts w:cs="Arial"/>
          <w:specVanish w:val="0"/>
        </w:rPr>
        <w:t>:</w:t>
      </w:r>
      <w:r>
        <w:rPr>
          <w:rStyle w:val="legds2"/>
          <w:rFonts w:cs="Arial"/>
          <w:b/>
          <w:bCs/>
          <w:specVanish w:val="0"/>
        </w:rPr>
        <w:t xml:space="preserve"> </w:t>
      </w:r>
      <w:r>
        <w:rPr>
          <w:rStyle w:val="legds2"/>
          <w:rFonts w:cs="Arial"/>
          <w:specVanish w:val="0"/>
        </w:rPr>
        <w:t>abusing a position</w:t>
      </w:r>
      <w:r w:rsidR="004713AA">
        <w:rPr>
          <w:rStyle w:val="legds2"/>
          <w:rFonts w:cs="Arial"/>
          <w:specVanish w:val="0"/>
        </w:rPr>
        <w:t xml:space="preserve"> where there is an expectation to safeguard the financial interests of another person or organisation.</w:t>
      </w:r>
    </w:p>
    <w:p w14:paraId="03329402" w14:textId="77777777" w:rsidR="00C156B2" w:rsidRPr="003065E8" w:rsidRDefault="004713AA" w:rsidP="002E5C17">
      <w:pPr>
        <w:pStyle w:val="ListParagraph"/>
        <w:numPr>
          <w:ilvl w:val="0"/>
          <w:numId w:val="44"/>
        </w:numPr>
        <w:ind w:left="1134" w:hanging="425"/>
        <w:rPr>
          <w:rStyle w:val="legds2"/>
          <w:rFonts w:cs="Arial"/>
          <w:b/>
          <w:bCs/>
        </w:rPr>
      </w:pPr>
      <w:r>
        <w:rPr>
          <w:b/>
          <w:bCs/>
        </w:rPr>
        <w:t>Making or supplying articles for the use in fraud</w:t>
      </w:r>
      <w:r w:rsidRPr="003065E8">
        <w:rPr>
          <w:rStyle w:val="legds2"/>
          <w:rFonts w:cs="Arial"/>
          <w:specVanish w:val="0"/>
        </w:rPr>
        <w:t>:</w:t>
      </w:r>
      <w:r>
        <w:rPr>
          <w:rStyle w:val="legds2"/>
          <w:rFonts w:cs="Arial"/>
          <w:b/>
          <w:bCs/>
          <w:specVanish w:val="0"/>
        </w:rPr>
        <w:t xml:space="preserve"> </w:t>
      </w:r>
      <w:r w:rsidR="00C156B2">
        <w:rPr>
          <w:rStyle w:val="legds2"/>
          <w:rFonts w:cs="Arial"/>
          <w:specVanish w:val="0"/>
        </w:rPr>
        <w:t>e.g., false qualification certificates.</w:t>
      </w:r>
    </w:p>
    <w:p w14:paraId="64A780FD" w14:textId="36EC752B" w:rsidR="00A756CC" w:rsidRPr="002E5C17" w:rsidRDefault="00C156B2" w:rsidP="003065E8">
      <w:pPr>
        <w:pStyle w:val="ListParagraph"/>
        <w:numPr>
          <w:ilvl w:val="0"/>
          <w:numId w:val="44"/>
        </w:numPr>
        <w:ind w:left="1134" w:hanging="425"/>
        <w:rPr>
          <w:rStyle w:val="legds2"/>
          <w:rFonts w:cs="Arial"/>
          <w:b/>
          <w:bCs/>
        </w:rPr>
      </w:pPr>
      <w:r>
        <w:rPr>
          <w:b/>
          <w:bCs/>
        </w:rPr>
        <w:lastRenderedPageBreak/>
        <w:t>Obtaining services dishonestly</w:t>
      </w:r>
      <w:r w:rsidRPr="003065E8">
        <w:rPr>
          <w:rStyle w:val="legds2"/>
          <w:rFonts w:cs="Arial"/>
          <w:specVanish w:val="0"/>
        </w:rPr>
        <w:t>:</w:t>
      </w:r>
      <w:r>
        <w:rPr>
          <w:rStyle w:val="legds2"/>
          <w:rFonts w:cs="Arial"/>
          <w:b/>
          <w:bCs/>
          <w:specVanish w:val="0"/>
        </w:rPr>
        <w:t xml:space="preserve"> </w:t>
      </w:r>
      <w:r>
        <w:rPr>
          <w:rStyle w:val="legds2"/>
          <w:rFonts w:cs="Arial"/>
          <w:specVanish w:val="0"/>
        </w:rPr>
        <w:t>e.g., falsifying car parking permits to avoid parking charges.</w:t>
      </w:r>
    </w:p>
    <w:p w14:paraId="385619FD" w14:textId="77777777" w:rsidR="00A756CC" w:rsidRDefault="00A756CC" w:rsidP="00A756CC">
      <w:pPr>
        <w:pStyle w:val="ListParagraph"/>
        <w:rPr>
          <w:rStyle w:val="legds2"/>
          <w:rFonts w:cs="Arial"/>
          <w:b/>
        </w:rPr>
      </w:pPr>
    </w:p>
    <w:p w14:paraId="059D24D9" w14:textId="5A4AA6FE" w:rsidR="00CD17D2" w:rsidRDefault="00CD17D2" w:rsidP="00CD17D2">
      <w:pPr>
        <w:ind w:left="1097"/>
      </w:pPr>
      <w:r>
        <w:t xml:space="preserve">Fraud carries a maximum sentence of 10 years imprisonment. </w:t>
      </w:r>
    </w:p>
    <w:p w14:paraId="533613BA" w14:textId="74D42B55" w:rsidR="00EC26A0" w:rsidRPr="00A756CC" w:rsidRDefault="00EC26A0" w:rsidP="00F86C52">
      <w:pPr>
        <w:pStyle w:val="Heading2"/>
      </w:pPr>
      <w:r w:rsidRPr="00A756CC">
        <w:rPr>
          <w:b/>
        </w:rPr>
        <w:t>Property</w:t>
      </w:r>
      <w:r w:rsidRPr="00A756CC">
        <w:t xml:space="preserve"> </w:t>
      </w:r>
      <w:r w:rsidR="00CD17D2">
        <w:t xml:space="preserve">- </w:t>
      </w:r>
      <w:r w:rsidRPr="00A756CC">
        <w:t>means any property whether real or personal (including things in action and other intangible property).</w:t>
      </w:r>
    </w:p>
    <w:p w14:paraId="5C9F9D56" w14:textId="526E0455" w:rsidR="00EC26A0" w:rsidRPr="00A756CC" w:rsidRDefault="00EC26A0" w:rsidP="00F86C52">
      <w:pPr>
        <w:pStyle w:val="Heading2"/>
      </w:pPr>
      <w:r w:rsidRPr="00A756CC">
        <w:rPr>
          <w:rStyle w:val="legds2"/>
          <w:b/>
          <w:specVanish w:val="0"/>
        </w:rPr>
        <w:t>Gain</w:t>
      </w:r>
      <w:r w:rsidR="00CD17D2">
        <w:rPr>
          <w:rStyle w:val="legds2"/>
          <w:b/>
          <w:specVanish w:val="0"/>
        </w:rPr>
        <w:t xml:space="preserve"> </w:t>
      </w:r>
      <w:r w:rsidR="00CD17D2" w:rsidRPr="00CD17D2">
        <w:rPr>
          <w:rStyle w:val="legds2"/>
          <w:bCs w:val="0"/>
          <w:specVanish w:val="0"/>
        </w:rPr>
        <w:t>-</w:t>
      </w:r>
      <w:r w:rsidR="00CD17D2">
        <w:rPr>
          <w:rStyle w:val="legds2"/>
          <w:b/>
          <w:specVanish w:val="0"/>
        </w:rPr>
        <w:t xml:space="preserve"> </w:t>
      </w:r>
      <w:r w:rsidRPr="00A756CC">
        <w:rPr>
          <w:rStyle w:val="legds2"/>
          <w:specVanish w:val="0"/>
        </w:rPr>
        <w:t>includes a gain by keeping what one has, as well as a gain by getting what one does not have.</w:t>
      </w:r>
      <w:r w:rsidRPr="00A756CC">
        <w:t xml:space="preserve"> </w:t>
      </w:r>
    </w:p>
    <w:p w14:paraId="7263D31E" w14:textId="709A63A9" w:rsidR="00EC26A0" w:rsidRPr="00A756CC" w:rsidRDefault="00EC26A0" w:rsidP="00F86C52">
      <w:pPr>
        <w:pStyle w:val="Heading2"/>
        <w:rPr>
          <w:rStyle w:val="legds2"/>
        </w:rPr>
      </w:pPr>
      <w:r w:rsidRPr="00A756CC">
        <w:rPr>
          <w:rStyle w:val="legds2"/>
          <w:b/>
          <w:specVanish w:val="0"/>
        </w:rPr>
        <w:t>Los</w:t>
      </w:r>
      <w:r w:rsidR="00CD17D2">
        <w:rPr>
          <w:rStyle w:val="legds2"/>
          <w:b/>
          <w:specVanish w:val="0"/>
        </w:rPr>
        <w:t xml:space="preserve">s </w:t>
      </w:r>
      <w:r w:rsidR="00CD17D2" w:rsidRPr="00CD17D2">
        <w:rPr>
          <w:rStyle w:val="legds2"/>
          <w:bCs w:val="0"/>
          <w:specVanish w:val="0"/>
        </w:rPr>
        <w:t>-</w:t>
      </w:r>
      <w:r w:rsidRPr="00A756CC">
        <w:rPr>
          <w:rStyle w:val="legds2"/>
          <w:specVanish w:val="0"/>
        </w:rPr>
        <w:t xml:space="preserve"> includes a loss by not getting what one might get, as well as a loss by parting with what one has.</w:t>
      </w:r>
    </w:p>
    <w:p w14:paraId="092F4094" w14:textId="43547863" w:rsidR="00C46A50" w:rsidRPr="00A756CC" w:rsidRDefault="00C46A50" w:rsidP="00F86C52">
      <w:pPr>
        <w:pStyle w:val="Heading2"/>
        <w:rPr>
          <w:rStyle w:val="legds2"/>
        </w:rPr>
      </w:pPr>
      <w:r w:rsidRPr="00CD17D2">
        <w:rPr>
          <w:rStyle w:val="legds2"/>
          <w:b/>
          <w:bCs w:val="0"/>
          <w:specVanish w:val="0"/>
        </w:rPr>
        <w:t>NHS Counter Fraud Authority (NHS</w:t>
      </w:r>
      <w:r w:rsidR="00FA3011">
        <w:rPr>
          <w:rStyle w:val="legds2"/>
          <w:b/>
          <w:bCs w:val="0"/>
          <w:specVanish w:val="0"/>
        </w:rPr>
        <w:t xml:space="preserve"> </w:t>
      </w:r>
      <w:r w:rsidRPr="00CD17D2">
        <w:rPr>
          <w:rStyle w:val="legds2"/>
          <w:b/>
          <w:bCs w:val="0"/>
          <w:specVanish w:val="0"/>
        </w:rPr>
        <w:t>CFA)</w:t>
      </w:r>
      <w:r w:rsidR="00CD17D2">
        <w:rPr>
          <w:rStyle w:val="legds2"/>
          <w:specVanish w:val="0"/>
        </w:rPr>
        <w:t xml:space="preserve"> </w:t>
      </w:r>
      <w:r w:rsidR="00BC5FD0">
        <w:rPr>
          <w:rStyle w:val="legds2"/>
          <w:specVanish w:val="0"/>
        </w:rPr>
        <w:t xml:space="preserve">- </w:t>
      </w:r>
      <w:r w:rsidR="00CD17D2">
        <w:rPr>
          <w:rStyle w:val="legds2"/>
          <w:specVanish w:val="0"/>
        </w:rPr>
        <w:t xml:space="preserve">this is the </w:t>
      </w:r>
      <w:r w:rsidRPr="00A756CC">
        <w:rPr>
          <w:rStyle w:val="legds2"/>
          <w:specVanish w:val="0"/>
        </w:rPr>
        <w:t>Special Health Authority charged with identifying, investigating</w:t>
      </w:r>
      <w:r w:rsidR="000B3DF2">
        <w:rPr>
          <w:rStyle w:val="legds2"/>
          <w:specVanish w:val="0"/>
        </w:rPr>
        <w:t>,</w:t>
      </w:r>
      <w:r w:rsidRPr="00A756CC">
        <w:rPr>
          <w:rStyle w:val="legds2"/>
          <w:specVanish w:val="0"/>
        </w:rPr>
        <w:t xml:space="preserve"> and preventing fraud and other economic crime within the NHS and the wider health group.  Focused entirely on counter fraud work, the NHS</w:t>
      </w:r>
      <w:r w:rsidR="00A4000C">
        <w:rPr>
          <w:rStyle w:val="legds2"/>
          <w:specVanish w:val="0"/>
        </w:rPr>
        <w:t xml:space="preserve"> </w:t>
      </w:r>
      <w:r w:rsidRPr="00A756CC">
        <w:rPr>
          <w:rStyle w:val="legds2"/>
          <w:specVanish w:val="0"/>
        </w:rPr>
        <w:t>CFA is independent from other NHS bodies and directly accountable to the Department of Health and Social Care.</w:t>
      </w:r>
      <w:r w:rsidR="009A0643">
        <w:rPr>
          <w:rStyle w:val="legds2"/>
          <w:specVanish w:val="0"/>
        </w:rPr>
        <w:t xml:space="preserve"> The NHS CFA has responsibility for all policy and operational matters relating to the prevention, detection, and investigation of fraud, bribery, and corruption</w:t>
      </w:r>
      <w:r w:rsidR="00D063DB">
        <w:rPr>
          <w:rStyle w:val="legds2"/>
          <w:specVanish w:val="0"/>
        </w:rPr>
        <w:t xml:space="preserve"> in accordance with the NHS CFA guidance </w:t>
      </w:r>
      <w:r w:rsidR="00D063DB">
        <w:rPr>
          <w:rStyle w:val="legds2"/>
          <w:i/>
          <w:iCs/>
          <w:specVanish w:val="0"/>
        </w:rPr>
        <w:t xml:space="preserve">‘tackling crime against the NHS: a strategic approach.’ </w:t>
      </w:r>
      <w:r w:rsidR="00D063DB">
        <w:rPr>
          <w:rStyle w:val="legds2"/>
          <w:specVanish w:val="0"/>
        </w:rPr>
        <w:t>The NHS CFA’s 2023-2026 Strategy sets out their key priorities for the coming years to protect from fraud, bribery, corruption and details how they will deliver them to reduce fraud affecting the NHS.</w:t>
      </w:r>
    </w:p>
    <w:p w14:paraId="30E058AD" w14:textId="291A3427" w:rsidR="00D21132" w:rsidRPr="00BC5FD0" w:rsidRDefault="00BC5FD0" w:rsidP="00BC5FD0">
      <w:pPr>
        <w:pStyle w:val="CommentText"/>
        <w:ind w:left="720" w:hanging="720"/>
        <w:jc w:val="both"/>
        <w:rPr>
          <w:sz w:val="24"/>
          <w:szCs w:val="24"/>
        </w:rPr>
      </w:pPr>
      <w:r w:rsidRPr="00BC5FD0">
        <w:rPr>
          <w:sz w:val="24"/>
          <w:szCs w:val="24"/>
        </w:rPr>
        <w:t>4.7</w:t>
      </w:r>
      <w:r w:rsidRPr="00BC5FD0">
        <w:rPr>
          <w:sz w:val="24"/>
          <w:szCs w:val="24"/>
        </w:rPr>
        <w:tab/>
      </w:r>
      <w:r w:rsidR="0097313A" w:rsidRPr="00BC5FD0">
        <w:rPr>
          <w:b/>
          <w:bCs/>
          <w:sz w:val="24"/>
          <w:szCs w:val="24"/>
        </w:rPr>
        <w:t>Government Functional Standard</w:t>
      </w:r>
      <w:r>
        <w:rPr>
          <w:sz w:val="24"/>
          <w:szCs w:val="24"/>
        </w:rPr>
        <w:t xml:space="preserve"> </w:t>
      </w:r>
      <w:r w:rsidR="002B2984" w:rsidRPr="00BC5FD0">
        <w:rPr>
          <w:sz w:val="24"/>
          <w:szCs w:val="24"/>
        </w:rPr>
        <w:t xml:space="preserve">- </w:t>
      </w:r>
      <w:r w:rsidR="00D21132" w:rsidRPr="00BC5FD0">
        <w:rPr>
          <w:sz w:val="24"/>
          <w:szCs w:val="24"/>
        </w:rPr>
        <w:t xml:space="preserve">A requirement in the NHS Standard Contract is that relevant providers of NHS services must take the necessary action to comply with the Government Functional Standard 013: Counter Fraud (Functional Standard), including having policies, procedures, and processes in place to combat fraud, bribery, and corruption to ensure compliance with the Standards.  </w:t>
      </w:r>
    </w:p>
    <w:p w14:paraId="02A77F6A" w14:textId="034374AE" w:rsidR="0097313A" w:rsidRPr="00063E5F" w:rsidRDefault="00D21132" w:rsidP="00D21132">
      <w:pPr>
        <w:pStyle w:val="CommentText"/>
        <w:jc w:val="both"/>
        <w:rPr>
          <w:sz w:val="24"/>
          <w:szCs w:val="24"/>
        </w:rPr>
      </w:pPr>
      <w:r w:rsidRPr="00063E5F">
        <w:rPr>
          <w:sz w:val="24"/>
          <w:szCs w:val="24"/>
        </w:rPr>
        <w:t>NHS funded services are required to provide the NHS CFA with details of their performance against the Functional Standard annually. To this end, the NHS CFA have a suite of requirements tailored to enable NHS organisations to meet the Functional Standard. This includes the requirement that the organisation has a counter fraud, bribery and corruption policy and response plan that follows NHS CFA’s strategic guidance and has been approved by the executive body or senior management team.</w:t>
      </w:r>
    </w:p>
    <w:p w14:paraId="5A2F12D3" w14:textId="08E81042" w:rsidR="00A04FF0" w:rsidRPr="00063E5F" w:rsidRDefault="00A04FF0" w:rsidP="003065E8">
      <w:pPr>
        <w:pStyle w:val="CommentText"/>
        <w:jc w:val="both"/>
        <w:rPr>
          <w:sz w:val="24"/>
          <w:szCs w:val="24"/>
        </w:rPr>
      </w:pPr>
      <w:r w:rsidRPr="00063E5F">
        <w:rPr>
          <w:sz w:val="24"/>
          <w:szCs w:val="24"/>
        </w:rPr>
        <w:t>Additionally, Service Condition 24 of the NHS Standard Contract enables the commissioner’s nominated LCFS, a person nominated on their behalf, or a person nominated to act on the NHS</w:t>
      </w:r>
      <w:r w:rsidR="00763518">
        <w:rPr>
          <w:sz w:val="24"/>
          <w:szCs w:val="24"/>
        </w:rPr>
        <w:t xml:space="preserve"> </w:t>
      </w:r>
      <w:r w:rsidRPr="00063E5F">
        <w:rPr>
          <w:sz w:val="24"/>
          <w:szCs w:val="24"/>
        </w:rPr>
        <w:t>CFA’s behalf, to review the counter fraud provisions put in place by the provider</w:t>
      </w:r>
      <w:r w:rsidR="00D352B5" w:rsidRPr="00063E5F">
        <w:rPr>
          <w:sz w:val="24"/>
          <w:szCs w:val="24"/>
        </w:rPr>
        <w:t>.</w:t>
      </w:r>
    </w:p>
    <w:p w14:paraId="2D9AB239" w14:textId="2E47F019" w:rsidR="00737011" w:rsidRDefault="00CA5BFF" w:rsidP="00CA5BFF">
      <w:pPr>
        <w:pStyle w:val="Heading2"/>
        <w:numPr>
          <w:ilvl w:val="0"/>
          <w:numId w:val="0"/>
        </w:numPr>
        <w:ind w:left="737" w:hanging="737"/>
      </w:pPr>
      <w:r>
        <w:rPr>
          <w:b/>
        </w:rPr>
        <w:t>4.8</w:t>
      </w:r>
      <w:r>
        <w:rPr>
          <w:b/>
        </w:rPr>
        <w:tab/>
      </w:r>
      <w:r w:rsidR="00100E16" w:rsidRPr="00CD17D2">
        <w:rPr>
          <w:b/>
        </w:rPr>
        <w:t>Bribery and Corruption</w:t>
      </w:r>
      <w:r w:rsidR="00100E16">
        <w:t xml:space="preserve"> </w:t>
      </w:r>
      <w:r w:rsidR="00CD17D2">
        <w:t xml:space="preserve">- </w:t>
      </w:r>
      <w:r>
        <w:t>t</w:t>
      </w:r>
      <w:r w:rsidR="00D61975" w:rsidRPr="00744660">
        <w:rPr>
          <w:bCs w:val="0"/>
        </w:rPr>
        <w:t>he Bribery Act 2010</w:t>
      </w:r>
      <w:r w:rsidR="00916F00" w:rsidRPr="00744660">
        <w:rPr>
          <w:bCs w:val="0"/>
        </w:rPr>
        <w:t xml:space="preserve"> came </w:t>
      </w:r>
      <w:r w:rsidR="00B91124" w:rsidRPr="00744660">
        <w:rPr>
          <w:bCs w:val="0"/>
        </w:rPr>
        <w:t>into force on 1</w:t>
      </w:r>
      <w:r w:rsidR="00B91124" w:rsidRPr="005B1350">
        <w:rPr>
          <w:bCs w:val="0"/>
          <w:vertAlign w:val="superscript"/>
        </w:rPr>
        <w:t>st</w:t>
      </w:r>
      <w:r w:rsidR="00B91124" w:rsidRPr="00744660">
        <w:rPr>
          <w:bCs w:val="0"/>
        </w:rPr>
        <w:t xml:space="preserve"> July 2011. </w:t>
      </w:r>
      <w:r w:rsidR="00176288" w:rsidRPr="00744660">
        <w:rPr>
          <w:bCs w:val="0"/>
        </w:rPr>
        <w:t>Generally,</w:t>
      </w:r>
      <w:r w:rsidR="00B91124" w:rsidRPr="00744660">
        <w:rPr>
          <w:bCs w:val="0"/>
        </w:rPr>
        <w:t xml:space="preserve"> bribery is defined as </w:t>
      </w:r>
      <w:r w:rsidR="002A2033" w:rsidRPr="00744660">
        <w:rPr>
          <w:bCs w:val="0"/>
        </w:rPr>
        <w:t xml:space="preserve">giving </w:t>
      </w:r>
      <w:r w:rsidR="00737011">
        <w:t>someone a financial or other advantage to encourage that person to perform their functions or activities improperly or to reward that person for having already done so; or requesting, agreeing to receive</w:t>
      </w:r>
      <w:r w:rsidR="00E606B6">
        <w:t>,</w:t>
      </w:r>
      <w:r w:rsidR="00737011">
        <w:t xml:space="preserve"> or accepting the advantage offered. </w:t>
      </w:r>
    </w:p>
    <w:p w14:paraId="1E5325C7" w14:textId="1141C3CA" w:rsidR="00816D6D" w:rsidRDefault="00816D6D" w:rsidP="002C6EB9">
      <w:r>
        <w:t>The general offences under t</w:t>
      </w:r>
      <w:r w:rsidR="00737011">
        <w:t xml:space="preserve">he Act </w:t>
      </w:r>
      <w:r>
        <w:t>are:</w:t>
      </w:r>
    </w:p>
    <w:p w14:paraId="5A54CB9B" w14:textId="109B3C76" w:rsidR="00816D6D" w:rsidRDefault="00176288">
      <w:pPr>
        <w:pStyle w:val="ListParagraph"/>
        <w:numPr>
          <w:ilvl w:val="0"/>
          <w:numId w:val="45"/>
        </w:numPr>
        <w:ind w:left="993" w:hanging="284"/>
      </w:pPr>
      <w:r>
        <w:lastRenderedPageBreak/>
        <w:t>To offer, promise, or give a financial or other advantage</w:t>
      </w:r>
      <w:r w:rsidR="00E606B6">
        <w:t xml:space="preserve"> to another individual to bring</w:t>
      </w:r>
      <w:r w:rsidR="00AC33A2">
        <w:t xml:space="preserve"> about the improper performance by another person of a relevant function or activity and to reward that improper performance.</w:t>
      </w:r>
    </w:p>
    <w:p w14:paraId="3297AC29" w14:textId="77777777" w:rsidR="005B1350" w:rsidRDefault="005B1350" w:rsidP="005B1350">
      <w:pPr>
        <w:pStyle w:val="ListParagraph"/>
        <w:ind w:left="993"/>
      </w:pPr>
    </w:p>
    <w:p w14:paraId="75746542" w14:textId="347E4F8E" w:rsidR="00B91255" w:rsidRDefault="00AC33A2" w:rsidP="00B91255">
      <w:pPr>
        <w:pStyle w:val="ListParagraph"/>
        <w:numPr>
          <w:ilvl w:val="0"/>
          <w:numId w:val="45"/>
        </w:numPr>
        <w:ind w:left="993" w:hanging="284"/>
      </w:pPr>
      <w:r>
        <w:t xml:space="preserve">To request, </w:t>
      </w:r>
      <w:r w:rsidR="008864AF">
        <w:t xml:space="preserve">agree to receive or accept a bribe </w:t>
      </w:r>
      <w:r w:rsidR="007163AF">
        <w:t>where</w:t>
      </w:r>
      <w:r w:rsidR="008864AF">
        <w:t xml:space="preserve"> the individual knows or believes that the acceptance of the advantage offered</w:t>
      </w:r>
      <w:r w:rsidR="007163AF">
        <w:t xml:space="preserve">, </w:t>
      </w:r>
      <w:r w:rsidR="00C75A1C">
        <w:t>promised,</w:t>
      </w:r>
      <w:r w:rsidR="007163AF">
        <w:t xml:space="preserve"> or given constitutes the improper performance of a relevant function</w:t>
      </w:r>
      <w:r w:rsidR="00B91255">
        <w:t xml:space="preserve"> or activity. This is referred to as passive bribery.</w:t>
      </w:r>
    </w:p>
    <w:p w14:paraId="50C58484" w14:textId="77777777" w:rsidR="005B1350" w:rsidRDefault="005B1350" w:rsidP="005B1350">
      <w:pPr>
        <w:pStyle w:val="ListParagraph"/>
        <w:ind w:left="993"/>
      </w:pPr>
    </w:p>
    <w:p w14:paraId="0D44D939" w14:textId="78DE7459" w:rsidR="00C75A1C" w:rsidRDefault="00C75A1C" w:rsidP="00B91255">
      <w:pPr>
        <w:pStyle w:val="ListParagraph"/>
        <w:numPr>
          <w:ilvl w:val="0"/>
          <w:numId w:val="45"/>
        </w:numPr>
        <w:ind w:left="993" w:hanging="284"/>
      </w:pPr>
      <w:r>
        <w:t xml:space="preserve">Promise, offer, or give a </w:t>
      </w:r>
      <w:r w:rsidR="005B1350">
        <w:t>financial advantage to a foreign public official or through a third party, where such an advantage is not legitimately due.</w:t>
      </w:r>
    </w:p>
    <w:p w14:paraId="30993602" w14:textId="77777777" w:rsidR="005B1350" w:rsidRDefault="005B1350" w:rsidP="005B1350">
      <w:pPr>
        <w:pStyle w:val="ListParagraph"/>
        <w:ind w:left="993"/>
      </w:pPr>
    </w:p>
    <w:p w14:paraId="798EBE1B" w14:textId="28B92F77" w:rsidR="005B1350" w:rsidRDefault="005B1350" w:rsidP="005B1350">
      <w:pPr>
        <w:pStyle w:val="ListParagraph"/>
        <w:numPr>
          <w:ilvl w:val="0"/>
          <w:numId w:val="45"/>
        </w:numPr>
        <w:ind w:left="993" w:hanging="284"/>
      </w:pPr>
      <w:r>
        <w:t>Failure of commercial organisations to prevent bribery on their behalf. Applies to all commercial organisations to prevent bribery on their behalf. Applies to all commercial organisations which have business in the UK. Applies to the commercial organisation itself, as well as to individuals and employees acting on their behalf.</w:t>
      </w:r>
    </w:p>
    <w:p w14:paraId="6039BB93" w14:textId="775D32E1" w:rsidR="005B1350" w:rsidRDefault="005B1350" w:rsidP="002C6EB9">
      <w:r>
        <w:t>The maximum penalty for bribery is 10-years imprisonment, with an unlimited fine. In addition, the Act introduces a corporate</w:t>
      </w:r>
      <w:r w:rsidR="00626AF9">
        <w:t xml:space="preserve"> offence of failing to prevent bribery by an organisation not having adequate preventative procedures in place. The ICB may avoid conviction if i</w:t>
      </w:r>
      <w:r w:rsidR="00BE634D">
        <w:t xml:space="preserve">t can show that it had procedures and protocols in place to prevent bribery. The corporate offences is not a standalone offence, but </w:t>
      </w:r>
      <w:r w:rsidR="00CD7309">
        <w:t>always follows from a bribery and / or corruption offence committed by an individual associated with the company or organisation in question.</w:t>
      </w:r>
    </w:p>
    <w:p w14:paraId="766C2174" w14:textId="5C86F8B3" w:rsidR="00FB4B8B" w:rsidRPr="00706485" w:rsidRDefault="00FB4B8B" w:rsidP="00706485">
      <w:pPr>
        <w:pStyle w:val="Heading2"/>
        <w:rPr>
          <w:bCs w:val="0"/>
        </w:rPr>
      </w:pPr>
      <w:r w:rsidRPr="00706485">
        <w:rPr>
          <w:b/>
        </w:rPr>
        <w:t>Economic Crime and Corporate Transparency Act 2023 (ECCTA)</w:t>
      </w:r>
      <w:r w:rsidRPr="00FB4B8B">
        <w:t xml:space="preserve"> </w:t>
      </w:r>
      <w:r w:rsidRPr="00706485">
        <w:rPr>
          <w:b/>
        </w:rPr>
        <w:t xml:space="preserve">and the Failure to Prevent Fraud Offence </w:t>
      </w:r>
    </w:p>
    <w:p w14:paraId="2D4C439F" w14:textId="77777777" w:rsidR="00FB4B8B" w:rsidRPr="00706485" w:rsidRDefault="00FB4B8B" w:rsidP="00FB4B8B">
      <w:r w:rsidRPr="00706485">
        <w:t>The ECCTA is a UK law designed to tackle economic crime and enhance corporate transparency. The ECCTA aims to increase transparency of corporate entities and introduces legislative changes to facilitate the prosecution of corporations for fraud and economic crime failings.</w:t>
      </w:r>
    </w:p>
    <w:p w14:paraId="4215354B" w14:textId="77777777" w:rsidR="00FB4B8B" w:rsidRPr="00706485" w:rsidRDefault="00FB4B8B" w:rsidP="00FB4B8B">
      <w:r w:rsidRPr="00706485">
        <w:t>The ECCTA contains, amongst other things, a new corporate offence of Failure to Prevent Fraud, which comes into effect on 1</w:t>
      </w:r>
      <w:r w:rsidRPr="00706485">
        <w:rPr>
          <w:vertAlign w:val="superscript"/>
        </w:rPr>
        <w:t>st</w:t>
      </w:r>
      <w:r w:rsidRPr="00706485">
        <w:t xml:space="preserve"> September 2025, and the transformation of Companies House from a largely passive recipient of information to a much more active gatekeeper. </w:t>
      </w:r>
    </w:p>
    <w:p w14:paraId="1BDF9738" w14:textId="77777777" w:rsidR="00FB4B8B" w:rsidRPr="00706485" w:rsidRDefault="00FB4B8B" w:rsidP="00FB4B8B">
      <w:r w:rsidRPr="00706485">
        <w:t xml:space="preserve">Under the Failure to Prevent Fraud offence, an organisation may be criminally liable where an employee, agent, subsidiary, or other ‘associated person’, commits a fraud intending to benefit the organisation and the organisation did not have reasonable fraud prevention procedures in place. In certain circumstances, the offence will also apply where the fraud offence is committed with the intention of benefitting a client of the organisation. It does not need to be demonstrated that directors or senior managers ordered or knew about the fraud. </w:t>
      </w:r>
    </w:p>
    <w:p w14:paraId="32E06199" w14:textId="77777777" w:rsidR="00FB4B8B" w:rsidRPr="00706485" w:rsidRDefault="00FB4B8B" w:rsidP="00FB4B8B">
      <w:r w:rsidRPr="00706485">
        <w:t xml:space="preserve">The offence sits alongside existing law; for example, the person who committed the fraud may be prosecuted individually for that fraud, while the organisation may be prosecuted for failing to prevent it. </w:t>
      </w:r>
    </w:p>
    <w:p w14:paraId="650CFA3B" w14:textId="77777777" w:rsidR="00FB4B8B" w:rsidRPr="00706485" w:rsidRDefault="00FB4B8B" w:rsidP="00FB4B8B"/>
    <w:p w14:paraId="3DE8867F" w14:textId="77777777" w:rsidR="00FB4B8B" w:rsidRPr="00706485" w:rsidRDefault="00FB4B8B" w:rsidP="00FB4B8B">
      <w:r w:rsidRPr="00706485">
        <w:lastRenderedPageBreak/>
        <w:t>The offence will make it easier to hold organisations to account for fraud committed by employees, or other associated persons, which may benefit the organisation, or, in certain circumstances, their clients. The offence will also encourage more organisations to implement or improve prevention procedures, driving a major shift in corporate culture to help prevent fraud.</w:t>
      </w:r>
    </w:p>
    <w:p w14:paraId="4A43E470" w14:textId="5600709D" w:rsidR="00FB4B8B" w:rsidRPr="00B70448" w:rsidRDefault="00FB4B8B" w:rsidP="00B70448">
      <w:r w:rsidRPr="00706485">
        <w:t xml:space="preserve">The offence applies to large organisations only and applies across the UK.  More information, including what is meant by ‘large organisations’ and the impact on NHS organisations, can be found on the </w:t>
      </w:r>
      <w:hyperlink r:id="rId21" w:history="1">
        <w:r w:rsidRPr="00B70448">
          <w:rPr>
            <w:rStyle w:val="Hyperlink"/>
          </w:rPr>
          <w:t>NHS Counter Fraud Authority website</w:t>
        </w:r>
      </w:hyperlink>
      <w:r w:rsidRPr="00B70448">
        <w:t>.</w:t>
      </w:r>
    </w:p>
    <w:p w14:paraId="753347BF" w14:textId="77777777" w:rsidR="00571A05" w:rsidRPr="00571A05" w:rsidRDefault="00571A05" w:rsidP="00571A05">
      <w:pPr>
        <w:pStyle w:val="Heading2"/>
      </w:pPr>
      <w:r w:rsidRPr="00571A05">
        <w:t xml:space="preserve">A </w:t>
      </w:r>
      <w:r w:rsidRPr="00571A05">
        <w:rPr>
          <w:b/>
          <w:bCs w:val="0"/>
        </w:rPr>
        <w:t>senior manager</w:t>
      </w:r>
      <w:r w:rsidRPr="00571A05">
        <w:t xml:space="preserve"> is someone who plays a significant role in either:</w:t>
      </w:r>
    </w:p>
    <w:p w14:paraId="4B545203" w14:textId="77777777" w:rsidR="00571A05" w:rsidRPr="00571A05" w:rsidRDefault="00571A05" w:rsidP="00571A05">
      <w:pPr>
        <w:pStyle w:val="Heading2"/>
        <w:numPr>
          <w:ilvl w:val="0"/>
          <w:numId w:val="53"/>
        </w:numPr>
        <w:ind w:left="993" w:hanging="284"/>
      </w:pPr>
      <w:r w:rsidRPr="00571A05">
        <w:t>the decision making about how the whole or a substantial part of the organisation’s activities are managed or organised; or</w:t>
      </w:r>
    </w:p>
    <w:p w14:paraId="7CDB1F05" w14:textId="77777777" w:rsidR="00571A05" w:rsidRPr="00571A05" w:rsidRDefault="00571A05" w:rsidP="00571A05">
      <w:pPr>
        <w:pStyle w:val="Heading2"/>
        <w:numPr>
          <w:ilvl w:val="0"/>
          <w:numId w:val="53"/>
        </w:numPr>
        <w:ind w:left="993" w:hanging="284"/>
      </w:pPr>
      <w:r w:rsidRPr="00571A05">
        <w:t>the actual managing or organising of the whole or substantial part of those activities.</w:t>
      </w:r>
    </w:p>
    <w:p w14:paraId="7D41EC2A" w14:textId="77777777" w:rsidR="00571A05" w:rsidRPr="00571A05" w:rsidRDefault="00571A05" w:rsidP="00571A05">
      <w:pPr>
        <w:pStyle w:val="Heading2"/>
        <w:numPr>
          <w:ilvl w:val="0"/>
          <w:numId w:val="0"/>
        </w:numPr>
        <w:ind w:left="737"/>
      </w:pPr>
      <w:r w:rsidRPr="00571A05">
        <w:t>This covers both those in the direct chain of management as well as those in strategic or regulatory compliance roles.</w:t>
      </w:r>
    </w:p>
    <w:p w14:paraId="7207D234" w14:textId="5F38D998" w:rsidR="003121B5" w:rsidRDefault="003121B5" w:rsidP="00F86C52">
      <w:pPr>
        <w:pStyle w:val="Heading2"/>
      </w:pPr>
      <w:r>
        <w:rPr>
          <w:b/>
          <w:bCs w:val="0"/>
        </w:rPr>
        <w:t>Money Laundering</w:t>
      </w:r>
      <w:r>
        <w:t xml:space="preserve"> – Money laundering is a process by which the proceeds of crime are converted into assets, which appear to have a legitimate origin, so that they can be retained permanently or recycled into further criminal enterprises.</w:t>
      </w:r>
    </w:p>
    <w:p w14:paraId="4C803E8B" w14:textId="7451E6AF" w:rsidR="003121B5" w:rsidRDefault="003121B5" w:rsidP="003121B5">
      <w:pPr>
        <w:rPr>
          <w:rFonts w:eastAsiaTheme="majorEastAsia" w:cstheme="majorBidi"/>
          <w:bCs/>
        </w:rPr>
      </w:pPr>
      <w:r>
        <w:rPr>
          <w:rFonts w:eastAsiaTheme="majorEastAsia" w:cstheme="majorBidi"/>
          <w:bCs/>
        </w:rPr>
        <w:t>Legislation defines money laundering as:</w:t>
      </w:r>
    </w:p>
    <w:p w14:paraId="22BF8190" w14:textId="4414F88D" w:rsidR="00083D69" w:rsidRPr="00083D69" w:rsidRDefault="00083D69" w:rsidP="00083D69">
      <w:pPr>
        <w:pStyle w:val="ListParagraph"/>
        <w:numPr>
          <w:ilvl w:val="0"/>
          <w:numId w:val="46"/>
        </w:numPr>
        <w:spacing w:after="0"/>
        <w:ind w:left="993" w:hanging="284"/>
        <w:rPr>
          <w:bCs/>
          <w:i/>
          <w:iCs/>
        </w:rPr>
      </w:pPr>
      <w:r w:rsidRPr="00083D69">
        <w:rPr>
          <w:bCs/>
          <w:i/>
          <w:iCs/>
        </w:rPr>
        <w:t>‘Concealing, converting, transferring criminal property or removing it from the UK; entering into or becoming concerned in an arrangement which you know</w:t>
      </w:r>
      <w:r w:rsidR="004D2D41">
        <w:rPr>
          <w:bCs/>
          <w:i/>
          <w:iCs/>
        </w:rPr>
        <w:t>,</w:t>
      </w:r>
      <w:r w:rsidRPr="00083D69">
        <w:rPr>
          <w:bCs/>
          <w:i/>
          <w:iCs/>
        </w:rPr>
        <w:t xml:space="preserve"> or suspect facilitates the acquisition, retention, use or control of criminal property by or on behalf of another person; and/or acquiring, using or possessing criminal property</w:t>
      </w:r>
      <w:r w:rsidR="004D2D41">
        <w:rPr>
          <w:bCs/>
          <w:i/>
          <w:iCs/>
        </w:rPr>
        <w:t>.</w:t>
      </w:r>
      <w:r w:rsidRPr="00083D69">
        <w:rPr>
          <w:bCs/>
          <w:i/>
          <w:iCs/>
        </w:rPr>
        <w:t xml:space="preserve">’  </w:t>
      </w:r>
    </w:p>
    <w:p w14:paraId="27DA349A" w14:textId="77777777" w:rsidR="00083D69" w:rsidRPr="00083D69" w:rsidRDefault="00083D69" w:rsidP="00083D69">
      <w:pPr>
        <w:spacing w:before="0" w:after="0"/>
        <w:rPr>
          <w:bCs/>
        </w:rPr>
      </w:pPr>
    </w:p>
    <w:p w14:paraId="7920AFC4" w14:textId="31859AC4" w:rsidR="00083D69" w:rsidRPr="00083D69" w:rsidRDefault="00083D69" w:rsidP="003065E8">
      <w:pPr>
        <w:spacing w:before="0"/>
        <w:rPr>
          <w:bCs/>
        </w:rPr>
      </w:pPr>
      <w:r w:rsidRPr="00083D69">
        <w:rPr>
          <w:bCs/>
        </w:rPr>
        <w:t xml:space="preserve">The Proceeds of Crime Act 2002 applies to all transactions and can include dealings with agents, third parties, property or equipment, cheques, cash or bank transfers. Offences covered by the Proceeds of Crime Act 2002 and the Money Laundering Regulations 2007 may be considered and investigated in accordance with this Policy and the Anti-Crime and Corruption Response Plan. </w:t>
      </w:r>
    </w:p>
    <w:p w14:paraId="181106A2" w14:textId="47318337" w:rsidR="003121B5" w:rsidRPr="00B33BD9" w:rsidRDefault="00083D69" w:rsidP="00B33BD9">
      <w:pPr>
        <w:ind w:left="709"/>
      </w:pPr>
      <w:r w:rsidRPr="00083D69">
        <w:rPr>
          <w:bCs/>
        </w:rPr>
        <w:t xml:space="preserve">The </w:t>
      </w:r>
      <w:r w:rsidR="004D2D41">
        <w:rPr>
          <w:bCs/>
        </w:rPr>
        <w:t>ICB</w:t>
      </w:r>
      <w:r w:rsidRPr="00083D69">
        <w:rPr>
          <w:bCs/>
        </w:rPr>
        <w:t xml:space="preserve"> could become indirectly involved in this act where the proceeds of any crime, e.g. fraud, are converted by making a payment to </w:t>
      </w:r>
      <w:r w:rsidR="004D2D41">
        <w:rPr>
          <w:bCs/>
        </w:rPr>
        <w:t>the ICB</w:t>
      </w:r>
      <w:r w:rsidRPr="00083D69">
        <w:rPr>
          <w:bCs/>
        </w:rPr>
        <w:t xml:space="preserve"> and then seeking immediate repayment.</w:t>
      </w:r>
    </w:p>
    <w:p w14:paraId="2EA87B4A" w14:textId="0510D6A9" w:rsidR="003E4112" w:rsidRPr="003E4112" w:rsidRDefault="003E4112" w:rsidP="00F86C52">
      <w:pPr>
        <w:pStyle w:val="Heading2"/>
      </w:pPr>
      <w:r w:rsidRPr="00CD17D2">
        <w:rPr>
          <w:b/>
        </w:rPr>
        <w:t>Theft</w:t>
      </w:r>
      <w:r w:rsidR="00CD17D2" w:rsidRPr="00CD17D2">
        <w:rPr>
          <w:b/>
        </w:rPr>
        <w:t xml:space="preserve"> </w:t>
      </w:r>
      <w:r w:rsidR="00CD17D2">
        <w:t xml:space="preserve">– theft </w:t>
      </w:r>
      <w:r w:rsidRPr="003E4112">
        <w:t>is defined within the Theft Act 1968 as ‘dishonestly appropriating property belonging to another with the intention of permanently depriving the other of it.’</w:t>
      </w:r>
    </w:p>
    <w:p w14:paraId="2EB4A077" w14:textId="4F877E3D" w:rsidR="003E4112" w:rsidRPr="003E4112" w:rsidRDefault="003E4112" w:rsidP="00190D44">
      <w:r w:rsidRPr="003E4112">
        <w:t xml:space="preserve">The Theft Act 1968 also includes robbery, </w:t>
      </w:r>
      <w:r w:rsidR="0034319C" w:rsidRPr="003E4112">
        <w:t>burglary</w:t>
      </w:r>
      <w:r w:rsidR="003121B5">
        <w:t>,</w:t>
      </w:r>
      <w:r w:rsidR="00737011">
        <w:t xml:space="preserve"> </w:t>
      </w:r>
      <w:r w:rsidRPr="003E4112">
        <w:t>and abstracting electricity amongst other offences.</w:t>
      </w:r>
    </w:p>
    <w:p w14:paraId="345CB5E4" w14:textId="77777777" w:rsidR="004D2D41" w:rsidRDefault="003E4112" w:rsidP="002227F4">
      <w:r w:rsidRPr="003E4112">
        <w:lastRenderedPageBreak/>
        <w:t xml:space="preserve">Should theft or similar offences be suspected by any person the </w:t>
      </w:r>
      <w:r w:rsidR="00CD17D2">
        <w:t xml:space="preserve">ICB’s </w:t>
      </w:r>
      <w:r w:rsidRPr="002227F4">
        <w:t>Local</w:t>
      </w:r>
      <w:r w:rsidRPr="003E4112">
        <w:t xml:space="preserve"> Security Management Specialist (LSMS) should be informed to review security measures </w:t>
      </w:r>
      <w:r w:rsidR="00CD17D2">
        <w:t xml:space="preserve">and </w:t>
      </w:r>
      <w:r w:rsidR="00401065">
        <w:t xml:space="preserve">recommend </w:t>
      </w:r>
      <w:r w:rsidR="00624358" w:rsidRPr="003E4112">
        <w:t>refer</w:t>
      </w:r>
      <w:r w:rsidR="00624358">
        <w:t>ral</w:t>
      </w:r>
      <w:r w:rsidRPr="003E4112">
        <w:t xml:space="preserve"> to </w:t>
      </w:r>
      <w:r w:rsidR="00401065">
        <w:t>the</w:t>
      </w:r>
      <w:r w:rsidRPr="003E4112">
        <w:t xml:space="preserve"> Police if appropriate.</w:t>
      </w:r>
    </w:p>
    <w:p w14:paraId="61D5DD87" w14:textId="31A0581A" w:rsidR="004D2D41" w:rsidRDefault="004D2D41" w:rsidP="004D2D41">
      <w:pPr>
        <w:pStyle w:val="Heading2"/>
      </w:pPr>
      <w:r>
        <w:rPr>
          <w:b/>
        </w:rPr>
        <w:t>Computer Misuse Act 1990</w:t>
      </w:r>
      <w:r w:rsidRPr="00CD17D2">
        <w:rPr>
          <w:b/>
        </w:rPr>
        <w:t xml:space="preserve"> </w:t>
      </w:r>
      <w:r>
        <w:t>– The Computer Misuse Act protects personal data held by organisations from unauthorised access and modification.</w:t>
      </w:r>
    </w:p>
    <w:p w14:paraId="1B012D58" w14:textId="3FB2BFC4" w:rsidR="004D2D41" w:rsidRPr="004D2D41" w:rsidRDefault="004D2D41" w:rsidP="0097313A">
      <w:r>
        <w:rPr>
          <w:rFonts w:eastAsiaTheme="majorEastAsia" w:cstheme="majorBidi"/>
        </w:rPr>
        <w:t>The Act makes the following illegal:</w:t>
      </w:r>
    </w:p>
    <w:p w14:paraId="64A05CAE" w14:textId="77777777" w:rsidR="004D2D41" w:rsidRPr="003E4112" w:rsidRDefault="004D2D41" w:rsidP="004D2D41">
      <w:r w:rsidRPr="003E4112">
        <w:t>The Theft Act 1968 also includes robbery, burglary</w:t>
      </w:r>
      <w:r>
        <w:t xml:space="preserve">, </w:t>
      </w:r>
      <w:r w:rsidRPr="003E4112">
        <w:t>and abstracting electricity amongst other offences.</w:t>
      </w:r>
    </w:p>
    <w:p w14:paraId="35BA3002" w14:textId="77777777" w:rsidR="0097313A" w:rsidRPr="00054F24" w:rsidRDefault="0097313A" w:rsidP="0097313A">
      <w:pPr>
        <w:pStyle w:val="ListParagraph"/>
        <w:numPr>
          <w:ilvl w:val="0"/>
          <w:numId w:val="47"/>
        </w:numPr>
        <w:spacing w:before="0" w:after="200" w:line="276" w:lineRule="auto"/>
        <w:ind w:left="993" w:hanging="284"/>
      </w:pPr>
      <w:r w:rsidRPr="00054F24">
        <w:t>Unauthorised access to computer material. This refers to entering a computer system without permission (hacking).</w:t>
      </w:r>
    </w:p>
    <w:p w14:paraId="42D07F0A" w14:textId="77777777" w:rsidR="0097313A" w:rsidRPr="00054F24" w:rsidRDefault="0097313A" w:rsidP="00B33BD9">
      <w:pPr>
        <w:pStyle w:val="ListParagraph"/>
        <w:numPr>
          <w:ilvl w:val="0"/>
          <w:numId w:val="47"/>
        </w:numPr>
        <w:spacing w:before="0" w:after="200" w:line="276" w:lineRule="auto"/>
        <w:ind w:left="993" w:hanging="284"/>
      </w:pPr>
      <w:r w:rsidRPr="00054F24">
        <w:t>Unauthorised access to computer materials with intent to commit a further crime. This refers to entering a computer system to steal data or destroy a device or network (such as planting a virus).</w:t>
      </w:r>
    </w:p>
    <w:p w14:paraId="53A672F4" w14:textId="77777777" w:rsidR="0097313A" w:rsidRPr="00054F24" w:rsidRDefault="0097313A" w:rsidP="00B33BD9">
      <w:pPr>
        <w:pStyle w:val="ListParagraph"/>
        <w:numPr>
          <w:ilvl w:val="0"/>
          <w:numId w:val="47"/>
        </w:numPr>
        <w:spacing w:before="0" w:after="200" w:line="276" w:lineRule="auto"/>
        <w:ind w:left="993" w:hanging="284"/>
      </w:pPr>
      <w:r w:rsidRPr="00054F24">
        <w:t>Unauthorised modification of data. This refers to modifying or deleting data, and also covers the introduction of malware or spyware onto a computer (electronic vandalism and theft of information).</w:t>
      </w:r>
    </w:p>
    <w:p w14:paraId="3394F00E" w14:textId="77777777" w:rsidR="0097313A" w:rsidRPr="00054F24" w:rsidRDefault="0097313A" w:rsidP="00B33BD9">
      <w:pPr>
        <w:pStyle w:val="ListParagraph"/>
        <w:numPr>
          <w:ilvl w:val="0"/>
          <w:numId w:val="47"/>
        </w:numPr>
        <w:spacing w:before="0" w:after="200" w:line="276" w:lineRule="auto"/>
        <w:ind w:left="993" w:hanging="284"/>
      </w:pPr>
      <w:r w:rsidRPr="00054F24">
        <w:t>Making, supplying, or obtaining anything which can be used in computer misuse offences.</w:t>
      </w:r>
    </w:p>
    <w:p w14:paraId="1F3D55C4" w14:textId="1042BA05" w:rsidR="004D2D41" w:rsidRDefault="0097313A" w:rsidP="002227F4">
      <w:r>
        <w:t>These four clauses cover a range of offences including hacking, computer fraud, blackmail, and viruses.</w:t>
      </w:r>
    </w:p>
    <w:p w14:paraId="15D6E8D0" w14:textId="4B77E859" w:rsidR="002B2A29" w:rsidRDefault="0097313A" w:rsidP="002227F4">
      <w:r>
        <w:t>Failure to comply with the Computer Misuse Act can lead to fines and, potentially, imprisonment.</w:t>
      </w:r>
      <w:r w:rsidR="003E4112" w:rsidRPr="003E4112">
        <w:t xml:space="preserve"> </w:t>
      </w:r>
      <w:bookmarkStart w:id="7" w:name="_Toc84611046"/>
    </w:p>
    <w:p w14:paraId="602388CA" w14:textId="5475BEB6" w:rsidR="002B2A29" w:rsidRDefault="00A33756" w:rsidP="00012305">
      <w:pPr>
        <w:pStyle w:val="Heading1"/>
      </w:pPr>
      <w:bookmarkStart w:id="8" w:name="_Toc210650405"/>
      <w:r>
        <w:t>R</w:t>
      </w:r>
      <w:r w:rsidR="00CD17D2">
        <w:t>oles and Responsibilities</w:t>
      </w:r>
      <w:bookmarkEnd w:id="7"/>
      <w:bookmarkEnd w:id="8"/>
    </w:p>
    <w:p w14:paraId="486AF540" w14:textId="77777777" w:rsidR="00CD17D2" w:rsidRPr="00F86C52" w:rsidRDefault="00CD17D2" w:rsidP="00F86C52">
      <w:pPr>
        <w:pStyle w:val="Heading2"/>
        <w:rPr>
          <w:b/>
          <w:bCs w:val="0"/>
        </w:rPr>
      </w:pPr>
      <w:r w:rsidRPr="00F86C52">
        <w:rPr>
          <w:b/>
          <w:bCs w:val="0"/>
        </w:rPr>
        <w:t>Integrated Care Board</w:t>
      </w:r>
    </w:p>
    <w:p w14:paraId="68982EB3" w14:textId="20DF7D6D" w:rsidR="002227F4" w:rsidRPr="009A39A8" w:rsidRDefault="00CD17D2" w:rsidP="00F86C52">
      <w:pPr>
        <w:pStyle w:val="Heading3"/>
      </w:pPr>
      <w:r w:rsidRPr="009A39A8">
        <w:rPr>
          <w:rStyle w:val="Heading3Char"/>
          <w:bCs/>
        </w:rPr>
        <w:t xml:space="preserve">The ICB Board is accountable and responsible for ensuring that </w:t>
      </w:r>
      <w:r w:rsidR="0098161E" w:rsidRPr="009A39A8">
        <w:t>its resources are appropriately protected from fraud, bribery</w:t>
      </w:r>
      <w:r w:rsidR="00A664C4">
        <w:t>,</w:t>
      </w:r>
      <w:r w:rsidR="0098161E" w:rsidRPr="009A39A8">
        <w:t xml:space="preserve"> and corruption. </w:t>
      </w:r>
      <w:r w:rsidRPr="009A39A8">
        <w:rPr>
          <w:rStyle w:val="Heading3Char"/>
          <w:bCs/>
        </w:rPr>
        <w:t>The ICB Board is assured through the work of the Audit Committee</w:t>
      </w:r>
      <w:r w:rsidR="002227F4" w:rsidRPr="009A39A8">
        <w:t>.</w:t>
      </w:r>
    </w:p>
    <w:p w14:paraId="66D85701" w14:textId="77777777" w:rsidR="00CD17D2" w:rsidRPr="00F86C52" w:rsidRDefault="00CD17D2" w:rsidP="00F86C52">
      <w:pPr>
        <w:pStyle w:val="Heading2"/>
        <w:rPr>
          <w:b/>
          <w:bCs w:val="0"/>
        </w:rPr>
      </w:pPr>
      <w:r w:rsidRPr="00F86C52">
        <w:rPr>
          <w:b/>
          <w:bCs w:val="0"/>
        </w:rPr>
        <w:t>Audit Committee</w:t>
      </w:r>
    </w:p>
    <w:p w14:paraId="271E9079" w14:textId="1416DCB5" w:rsidR="002227F4" w:rsidRPr="002227F4" w:rsidRDefault="00CD17D2" w:rsidP="00F86C52">
      <w:pPr>
        <w:pStyle w:val="Heading3"/>
      </w:pPr>
      <w:r>
        <w:t xml:space="preserve">This committee is responsible for the detailed oversight and scrutiny of the systems and processes for </w:t>
      </w:r>
      <w:r w:rsidR="0098161E">
        <w:t>protecting the ICB from fraud, bribery</w:t>
      </w:r>
      <w:r w:rsidR="00C02836">
        <w:t>,</w:t>
      </w:r>
      <w:r w:rsidR="0098161E">
        <w:t xml:space="preserve"> and corruption</w:t>
      </w:r>
      <w:r>
        <w:t>.</w:t>
      </w:r>
      <w:bookmarkStart w:id="9" w:name="_Hlk92959874"/>
      <w:bookmarkStart w:id="10" w:name="_Hlk92959798"/>
      <w:r w:rsidR="002227F4" w:rsidRPr="002227F4">
        <w:rPr>
          <w:lang w:val="en-US"/>
        </w:rPr>
        <w:t xml:space="preserve"> </w:t>
      </w:r>
    </w:p>
    <w:p w14:paraId="5D5C25D3" w14:textId="1DA5262D" w:rsidR="002227F4" w:rsidRPr="004909FB" w:rsidRDefault="002227F4" w:rsidP="00F86C52">
      <w:pPr>
        <w:pStyle w:val="Heading3"/>
      </w:pPr>
      <w:r w:rsidRPr="004909FB">
        <w:rPr>
          <w:lang w:val="en-US"/>
        </w:rPr>
        <w:t xml:space="preserve">The </w:t>
      </w:r>
      <w:bookmarkEnd w:id="9"/>
      <w:bookmarkEnd w:id="10"/>
      <w:r w:rsidRPr="004909FB">
        <w:t xml:space="preserve">Audit Committee will: </w:t>
      </w:r>
    </w:p>
    <w:p w14:paraId="3323E4C3" w14:textId="4C05CFE4" w:rsidR="002227F4" w:rsidRPr="004909FB" w:rsidRDefault="002227F4" w:rsidP="00C02836">
      <w:pPr>
        <w:pStyle w:val="ListParagraph"/>
        <w:numPr>
          <w:ilvl w:val="0"/>
          <w:numId w:val="35"/>
        </w:numPr>
        <w:ind w:left="993" w:hanging="284"/>
      </w:pPr>
      <w:r w:rsidRPr="004909FB">
        <w:t>Require assurance that there are adequate arrangements in place for tackling economic crime</w:t>
      </w:r>
      <w:r>
        <w:t>.</w:t>
      </w:r>
    </w:p>
    <w:p w14:paraId="030BE496" w14:textId="3F57AD47" w:rsidR="002227F4" w:rsidRPr="004909FB" w:rsidRDefault="002227F4" w:rsidP="00C02836">
      <w:pPr>
        <w:pStyle w:val="ListParagraph"/>
        <w:numPr>
          <w:ilvl w:val="0"/>
          <w:numId w:val="35"/>
        </w:numPr>
        <w:ind w:left="993" w:hanging="284"/>
      </w:pPr>
      <w:r w:rsidRPr="004909FB">
        <w:t>Approve the counter fraud, bribery</w:t>
      </w:r>
      <w:r w:rsidR="00C02836">
        <w:t>,</w:t>
      </w:r>
      <w:r w:rsidRPr="004909FB">
        <w:t xml:space="preserve"> and corruption work plan</w:t>
      </w:r>
      <w:r>
        <w:t>.</w:t>
      </w:r>
    </w:p>
    <w:p w14:paraId="7A4CF680" w14:textId="28689F01" w:rsidR="002227F4" w:rsidRPr="004909FB" w:rsidRDefault="002227F4" w:rsidP="00C02836">
      <w:pPr>
        <w:pStyle w:val="ListParagraph"/>
        <w:numPr>
          <w:ilvl w:val="0"/>
          <w:numId w:val="35"/>
        </w:numPr>
        <w:ind w:left="993" w:hanging="284"/>
      </w:pPr>
      <w:r w:rsidRPr="004909FB">
        <w:t>Review the outcomes of counter fraud, bribery</w:t>
      </w:r>
      <w:r w:rsidR="00C02836">
        <w:t>,</w:t>
      </w:r>
      <w:r w:rsidRPr="004909FB">
        <w:t xml:space="preserve"> and corruption work</w:t>
      </w:r>
      <w:r>
        <w:t>.</w:t>
      </w:r>
    </w:p>
    <w:p w14:paraId="148EBC79" w14:textId="0178597B" w:rsidR="00CD17D2" w:rsidRDefault="002227F4" w:rsidP="00C02836">
      <w:pPr>
        <w:pStyle w:val="ListParagraph"/>
        <w:numPr>
          <w:ilvl w:val="0"/>
          <w:numId w:val="35"/>
        </w:numPr>
        <w:ind w:left="993" w:hanging="284"/>
      </w:pPr>
      <w:r w:rsidRPr="004909FB">
        <w:t>Review the adequacy and effectiveness of policies and procedures, seeking reports and assurances from Officers as appropriate.</w:t>
      </w:r>
    </w:p>
    <w:p w14:paraId="42E13224" w14:textId="77777777" w:rsidR="00CD17D2" w:rsidRPr="00F86C52" w:rsidRDefault="00CD17D2" w:rsidP="00F86C52">
      <w:pPr>
        <w:pStyle w:val="Heading2"/>
        <w:rPr>
          <w:b/>
          <w:bCs w:val="0"/>
        </w:rPr>
      </w:pPr>
      <w:r w:rsidRPr="00F86C52">
        <w:rPr>
          <w:b/>
          <w:bCs w:val="0"/>
        </w:rPr>
        <w:lastRenderedPageBreak/>
        <w:t>Chief Executive</w:t>
      </w:r>
    </w:p>
    <w:p w14:paraId="608300A3" w14:textId="77777777" w:rsidR="002227F4" w:rsidRDefault="00CD17D2" w:rsidP="00F86C52">
      <w:pPr>
        <w:pStyle w:val="Heading3"/>
      </w:pPr>
      <w:r>
        <w:t>The Chief Executive is responsible for implementation of and compliance with this Policy</w:t>
      </w:r>
      <w:r w:rsidR="0098161E">
        <w:t>.</w:t>
      </w:r>
      <w:r w:rsidR="002227F4">
        <w:t xml:space="preserve">  The Chief Executive has overall responsibility for the funds entrusted to the ICB and, as the Accounting Officer, will ensure adequate policies and procedures are in place to protect the ICB from economic crime.</w:t>
      </w:r>
      <w:r w:rsidR="002227F4" w:rsidRPr="002227F4">
        <w:t xml:space="preserve"> </w:t>
      </w:r>
    </w:p>
    <w:p w14:paraId="2E762476" w14:textId="2C345081" w:rsidR="002227F4" w:rsidRPr="00AC0648" w:rsidRDefault="00D142B2" w:rsidP="00F86C52">
      <w:pPr>
        <w:pStyle w:val="Heading2"/>
        <w:rPr>
          <w:b/>
          <w:bCs w:val="0"/>
        </w:rPr>
      </w:pPr>
      <w:r>
        <w:rPr>
          <w:b/>
          <w:bCs w:val="0"/>
        </w:rPr>
        <w:t>Executive Chief Finance Officer (CFO)</w:t>
      </w:r>
    </w:p>
    <w:p w14:paraId="05619657" w14:textId="588234B7" w:rsidR="002227F4" w:rsidRPr="00C26DC1" w:rsidRDefault="002227F4" w:rsidP="00F86C52">
      <w:pPr>
        <w:pStyle w:val="Heading3"/>
      </w:pPr>
      <w:r w:rsidRPr="00AC0648">
        <w:t xml:space="preserve">The </w:t>
      </w:r>
      <w:r w:rsidR="00FC618D">
        <w:t>CFO</w:t>
      </w:r>
      <w:r w:rsidRPr="00AC0648">
        <w:t>,</w:t>
      </w:r>
      <w:r w:rsidRPr="00C26DC1">
        <w:t xml:space="preserve"> as a member of the Board, is responsible for overseeing and providing strategic management and support for all work to tackle economic crime within </w:t>
      </w:r>
      <w:r w:rsidR="008A67B4">
        <w:rPr>
          <w:lang w:val="en-US"/>
        </w:rPr>
        <w:t>the</w:t>
      </w:r>
      <w:r>
        <w:rPr>
          <w:lang w:val="en-US"/>
        </w:rPr>
        <w:t xml:space="preserve"> ICB.</w:t>
      </w:r>
      <w:r w:rsidRPr="00C26DC1">
        <w:t xml:space="preserve"> </w:t>
      </w:r>
    </w:p>
    <w:p w14:paraId="0BD1486C" w14:textId="05391F7E" w:rsidR="002227F4" w:rsidRPr="00C26DC1" w:rsidRDefault="002227F4" w:rsidP="00F86C52">
      <w:pPr>
        <w:pStyle w:val="Heading3"/>
      </w:pPr>
      <w:r w:rsidRPr="00C26DC1">
        <w:t xml:space="preserve">This ensures there is effective leadership and a high level of commitment to the tackling of economic crime within </w:t>
      </w:r>
      <w:r w:rsidR="00012305">
        <w:t xml:space="preserve">the </w:t>
      </w:r>
      <w:r>
        <w:t>ICB</w:t>
      </w:r>
      <w:r w:rsidRPr="00C26DC1">
        <w:t xml:space="preserve">. Identifying a member of the </w:t>
      </w:r>
      <w:r>
        <w:t>B</w:t>
      </w:r>
      <w:r w:rsidRPr="00C26DC1">
        <w:t>oard to oversee this work also helps</w:t>
      </w:r>
      <w:r w:rsidR="00012305">
        <w:t xml:space="preserve"> the</w:t>
      </w:r>
      <w:r>
        <w:t xml:space="preserve"> ICB </w:t>
      </w:r>
      <w:r w:rsidRPr="00C26DC1">
        <w:t xml:space="preserve">to focus on its key strategic priorities in the area of economic crime. </w:t>
      </w:r>
    </w:p>
    <w:p w14:paraId="1A18941C" w14:textId="21EA4C59" w:rsidR="00A10E74" w:rsidRDefault="002227F4" w:rsidP="00F86C52">
      <w:pPr>
        <w:pStyle w:val="Heading3"/>
      </w:pPr>
      <w:r w:rsidRPr="00C26DC1">
        <w:t>All counter fraud, bribery</w:t>
      </w:r>
      <w:r w:rsidR="00C02836">
        <w:t>,</w:t>
      </w:r>
      <w:r w:rsidRPr="00C26DC1">
        <w:t xml:space="preserve"> and corruption services (including for hosted bodies) are provided under arrangements proposed by the </w:t>
      </w:r>
      <w:r w:rsidR="00A10E74">
        <w:t>CFO</w:t>
      </w:r>
      <w:r w:rsidR="0021670E" w:rsidRPr="00AC0648">
        <w:t xml:space="preserve"> </w:t>
      </w:r>
      <w:r w:rsidRPr="00AC0648">
        <w:t>an</w:t>
      </w:r>
      <w:r w:rsidRPr="00C26DC1">
        <w:t xml:space="preserve">d approved by the Audit </w:t>
      </w:r>
      <w:r>
        <w:t xml:space="preserve">and </w:t>
      </w:r>
      <w:r w:rsidRPr="00C26DC1">
        <w:t>Assurance Committees, on behalf of the Boards</w:t>
      </w:r>
      <w:r w:rsidR="00A10E74">
        <w:t>.</w:t>
      </w:r>
    </w:p>
    <w:p w14:paraId="477A5B45" w14:textId="77777777" w:rsidR="0011052C" w:rsidRDefault="00A10E74" w:rsidP="00F86C52">
      <w:pPr>
        <w:pStyle w:val="Heading3"/>
      </w:pPr>
      <w:r>
        <w:t xml:space="preserve">The CFO, in consultation with the LCFS, will decide whether there is </w:t>
      </w:r>
      <w:r w:rsidR="0011052C">
        <w:t>sufficient cause to investigate, and whether the Police and External Audit need to be informed.</w:t>
      </w:r>
    </w:p>
    <w:p w14:paraId="0F76BAB9" w14:textId="1C996527" w:rsidR="000358E3" w:rsidRDefault="0011052C" w:rsidP="00F86C52">
      <w:pPr>
        <w:pStyle w:val="Heading3"/>
      </w:pPr>
      <w:r>
        <w:t xml:space="preserve">The CFO or the LCFS will consult and take advice from the </w:t>
      </w:r>
      <w:r w:rsidR="008129AC">
        <w:t xml:space="preserve">Executive </w:t>
      </w:r>
      <w:r w:rsidR="00092C96">
        <w:t xml:space="preserve">Chief People Officer </w:t>
      </w:r>
      <w:r w:rsidR="0055524F">
        <w:t>if a member of staff is to be interviewed or disciplined</w:t>
      </w:r>
      <w:r w:rsidR="00956595">
        <w:t xml:space="preserve"> in accordance with the ICB’s D</w:t>
      </w:r>
      <w:r w:rsidR="00C83436">
        <w:t>isciplinary Policy. The CFO or LCFS will not conduct a separate investigation, but the employee may be subject</w:t>
      </w:r>
      <w:r w:rsidR="000358E3">
        <w:t xml:space="preserve"> of a separate investigation by the </w:t>
      </w:r>
      <w:r w:rsidR="004F758A">
        <w:t>People Directorate</w:t>
      </w:r>
      <w:r w:rsidR="000358E3">
        <w:t>.</w:t>
      </w:r>
    </w:p>
    <w:p w14:paraId="76D40F47" w14:textId="0318D631" w:rsidR="002227F4" w:rsidRPr="002B02C9" w:rsidRDefault="000358E3" w:rsidP="00CF3A08">
      <w:pPr>
        <w:pStyle w:val="Heading3"/>
      </w:pPr>
      <w:r>
        <w:t xml:space="preserve">The CFO will, depending on the outcome of investigations (whether on an interim / on-going or a concluding basis) and </w:t>
      </w:r>
      <w:r w:rsidR="00320516">
        <w:t>/ or the potential significance of suspicions that have been raised, inform the Audit Committee Chair of cases, as deemed appropriate and necessary</w:t>
      </w:r>
      <w:r w:rsidR="002227F4" w:rsidRPr="00C26DC1">
        <w:t>.</w:t>
      </w:r>
    </w:p>
    <w:p w14:paraId="405B11E7" w14:textId="77777777" w:rsidR="002227F4" w:rsidRPr="00F86C52" w:rsidRDefault="002227F4" w:rsidP="00F86C52">
      <w:pPr>
        <w:pStyle w:val="Heading2"/>
        <w:rPr>
          <w:b/>
          <w:bCs w:val="0"/>
        </w:rPr>
      </w:pPr>
      <w:r w:rsidRPr="00F86C52">
        <w:rPr>
          <w:b/>
          <w:bCs w:val="0"/>
        </w:rPr>
        <w:t xml:space="preserve">NHS Counter Fraud Authority </w:t>
      </w:r>
    </w:p>
    <w:p w14:paraId="00CA8F2F" w14:textId="40D992E3" w:rsidR="002227F4" w:rsidRPr="002B02C9" w:rsidRDefault="002227F4" w:rsidP="00F86C52">
      <w:pPr>
        <w:pStyle w:val="Heading3"/>
      </w:pPr>
      <w:r w:rsidRPr="002B02C9">
        <w:t>In accordance with its case acceptance criteria</w:t>
      </w:r>
      <w:r>
        <w:t>,</w:t>
      </w:r>
      <w:r w:rsidRPr="002B02C9">
        <w:t xml:space="preserve"> </w:t>
      </w:r>
      <w:r w:rsidR="008A67B4">
        <w:t>the NHS Counter Fraud Authority (</w:t>
      </w:r>
      <w:r w:rsidRPr="002B02C9">
        <w:t>NHS</w:t>
      </w:r>
      <w:r w:rsidR="000C445F">
        <w:t xml:space="preserve"> </w:t>
      </w:r>
      <w:r w:rsidRPr="002B02C9">
        <w:t>CFA</w:t>
      </w:r>
      <w:r w:rsidR="008A67B4">
        <w:t>)</w:t>
      </w:r>
      <w:r w:rsidRPr="002B02C9">
        <w:t xml:space="preserve"> will investigate cases of fraud that are not investigated by the </w:t>
      </w:r>
      <w:r>
        <w:t>ICB</w:t>
      </w:r>
      <w:r w:rsidRPr="002B02C9">
        <w:t xml:space="preserve"> Counter Fraud Team. </w:t>
      </w:r>
    </w:p>
    <w:p w14:paraId="75E39D64" w14:textId="1F019514" w:rsidR="002227F4" w:rsidRPr="00DD3ED5" w:rsidRDefault="008A67B4" w:rsidP="00F86C52">
      <w:pPr>
        <w:pStyle w:val="Heading3"/>
      </w:pPr>
      <w:r>
        <w:t>The</w:t>
      </w:r>
      <w:r w:rsidR="002227F4">
        <w:t xml:space="preserve"> ICB</w:t>
      </w:r>
      <w:r w:rsidR="002227F4" w:rsidRPr="002B02C9">
        <w:t xml:space="preserve"> will provide access to and support for NHS</w:t>
      </w:r>
      <w:r w:rsidR="008F4C04">
        <w:t xml:space="preserve"> </w:t>
      </w:r>
      <w:r w:rsidR="002227F4" w:rsidRPr="002B02C9">
        <w:t xml:space="preserve">CFA improvement activity and will fully engage with </w:t>
      </w:r>
      <w:r w:rsidR="002227F4">
        <w:t xml:space="preserve">associated </w:t>
      </w:r>
      <w:r w:rsidR="002227F4" w:rsidRPr="002B02C9">
        <w:t>planning action.</w:t>
      </w:r>
    </w:p>
    <w:p w14:paraId="381A02AF" w14:textId="77777777" w:rsidR="002227F4" w:rsidRPr="00F86C52" w:rsidRDefault="002227F4" w:rsidP="00F86C52">
      <w:pPr>
        <w:pStyle w:val="Heading2"/>
        <w:rPr>
          <w:b/>
          <w:bCs w:val="0"/>
        </w:rPr>
      </w:pPr>
      <w:r w:rsidRPr="00F86C52">
        <w:rPr>
          <w:b/>
          <w:bCs w:val="0"/>
        </w:rPr>
        <w:t xml:space="preserve">Internal and External Audit </w:t>
      </w:r>
    </w:p>
    <w:p w14:paraId="58E5D49B" w14:textId="08CA04BF" w:rsidR="002227F4" w:rsidRPr="00DD3ED5" w:rsidRDefault="002227F4" w:rsidP="00F86C52">
      <w:pPr>
        <w:pStyle w:val="Heading3"/>
      </w:pPr>
      <w:r w:rsidRPr="00DD3ED5">
        <w:t>Internal audit play</w:t>
      </w:r>
      <w:r w:rsidR="006671BB">
        <w:t>s</w:t>
      </w:r>
      <w:r w:rsidRPr="00DD3ED5">
        <w:t xml:space="preserve"> a key role in reviewing controls, identifying system weaknesses and test</w:t>
      </w:r>
      <w:r>
        <w:t>ing</w:t>
      </w:r>
      <w:r w:rsidRPr="00DD3ED5">
        <w:t xml:space="preserve"> compliance </w:t>
      </w:r>
      <w:r>
        <w:t>with</w:t>
      </w:r>
      <w:r w:rsidRPr="00DD3ED5">
        <w:t xml:space="preserve"> </w:t>
      </w:r>
      <w:r w:rsidR="008A67B4">
        <w:t xml:space="preserve">the </w:t>
      </w:r>
      <w:r>
        <w:t>ICB</w:t>
      </w:r>
      <w:r w:rsidR="008A67B4">
        <w:t>’s</w:t>
      </w:r>
      <w:r w:rsidRPr="00DD3ED5">
        <w:t xml:space="preserve"> </w:t>
      </w:r>
      <w:r>
        <w:t xml:space="preserve">standing </w:t>
      </w:r>
      <w:r w:rsidRPr="00DD3ED5">
        <w:t xml:space="preserve">financial instructions. </w:t>
      </w:r>
    </w:p>
    <w:p w14:paraId="041A20C5" w14:textId="5D3D1E4C" w:rsidR="002227F4" w:rsidRPr="00DD3ED5" w:rsidRDefault="002227F4" w:rsidP="00F86C52">
      <w:pPr>
        <w:pStyle w:val="Heading3"/>
      </w:pPr>
      <w:r w:rsidRPr="00DD3ED5">
        <w:t>External audit ha</w:t>
      </w:r>
      <w:r w:rsidR="006671BB">
        <w:t>s</w:t>
      </w:r>
      <w:r w:rsidRPr="00DD3ED5">
        <w:t xml:space="preserve"> a specific role to conduct an independent examination and express an opinion on the</w:t>
      </w:r>
      <w:r>
        <w:t xml:space="preserve"> ICB</w:t>
      </w:r>
      <w:r w:rsidR="008A67B4">
        <w:t>’s</w:t>
      </w:r>
      <w:r w:rsidRPr="00DD3ED5">
        <w:t xml:space="preserve"> financial statements. </w:t>
      </w:r>
    </w:p>
    <w:p w14:paraId="7967CC9A" w14:textId="77777777" w:rsidR="002227F4" w:rsidRPr="00DD3ED5" w:rsidRDefault="002227F4" w:rsidP="00F86C52">
      <w:pPr>
        <w:pStyle w:val="Heading3"/>
      </w:pPr>
      <w:r w:rsidRPr="00DD3ED5">
        <w:lastRenderedPageBreak/>
        <w:t xml:space="preserve">The audit functions are separate and distinct from work to tackle crime, but it is important that there are effective links between those responsible for the audit function and those responsible for tackling economic crime. </w:t>
      </w:r>
    </w:p>
    <w:p w14:paraId="32806348" w14:textId="77777777" w:rsidR="00497D3C" w:rsidRDefault="002227F4" w:rsidP="00F86C52">
      <w:pPr>
        <w:pStyle w:val="Heading3"/>
      </w:pPr>
      <w:r w:rsidRPr="00DD3ED5">
        <w:t>Internal and external audit should meet regularly with those responsible for work to tackle economic crime, to discuss and monitor liaison requirements with reference to the purpose of each function, ensuring they remain effective and fit for purpose</w:t>
      </w:r>
      <w:r w:rsidR="00497D3C">
        <w:t>.</w:t>
      </w:r>
    </w:p>
    <w:p w14:paraId="1E212223" w14:textId="0BB39F52" w:rsidR="002227F4" w:rsidRPr="0054689B" w:rsidRDefault="00497D3C" w:rsidP="00F86C52">
      <w:pPr>
        <w:pStyle w:val="Heading3"/>
      </w:pPr>
      <w:r>
        <w:t xml:space="preserve">Any incident </w:t>
      </w:r>
      <w:r w:rsidR="00154A06">
        <w:t xml:space="preserve">or suspicion of fraud, bribery, or corruption that comes to the attention of internal audit or external audit is to be passed immediately to the </w:t>
      </w:r>
      <w:r w:rsidR="00154A06" w:rsidRPr="00876D4D">
        <w:t>Counter Fraud Team</w:t>
      </w:r>
      <w:r w:rsidR="002227F4" w:rsidRPr="00DD3ED5">
        <w:t>.</w:t>
      </w:r>
    </w:p>
    <w:p w14:paraId="78276BA8" w14:textId="647A3F96" w:rsidR="002227F4" w:rsidRPr="00F86C52" w:rsidRDefault="00BC3A8E" w:rsidP="00F86C52">
      <w:pPr>
        <w:pStyle w:val="Heading2"/>
        <w:rPr>
          <w:b/>
          <w:bCs w:val="0"/>
        </w:rPr>
      </w:pPr>
      <w:r>
        <w:rPr>
          <w:b/>
          <w:bCs w:val="0"/>
        </w:rPr>
        <w:t>People Directorate</w:t>
      </w:r>
    </w:p>
    <w:p w14:paraId="1B5A0F29" w14:textId="6442880F" w:rsidR="002227F4" w:rsidRPr="0054689B" w:rsidRDefault="002227F4" w:rsidP="00F86C52">
      <w:pPr>
        <w:pStyle w:val="Heading3"/>
      </w:pPr>
      <w:r>
        <w:t>M</w:t>
      </w:r>
      <w:r w:rsidRPr="0054689B">
        <w:t>anagers are responsible for taking forward disciplinary proceedings against employees who have committed an offence</w:t>
      </w:r>
      <w:r>
        <w:t xml:space="preserve">. </w:t>
      </w:r>
      <w:r w:rsidRPr="0054689B">
        <w:t xml:space="preserve"> </w:t>
      </w:r>
      <w:r w:rsidR="00260608">
        <w:t xml:space="preserve"> People Directorate</w:t>
      </w:r>
      <w:r>
        <w:t xml:space="preserve"> </w:t>
      </w:r>
      <w:r w:rsidR="00260608">
        <w:t xml:space="preserve">staff </w:t>
      </w:r>
      <w:r w:rsidRPr="0054689B">
        <w:t>provide advice regarding this process</w:t>
      </w:r>
      <w:r>
        <w:t xml:space="preserve"> in line with the </w:t>
      </w:r>
      <w:bookmarkStart w:id="11" w:name="_Hlk173829796"/>
      <w:r w:rsidR="005316FD">
        <w:fldChar w:fldCharType="begin"/>
      </w:r>
      <w:r w:rsidR="005316FD">
        <w:instrText>HYPERLINK "https://www.midandsouthessex.ics.nhs.uk/publications/?publications_category=icb-policies&amp;page_no=6"</w:instrText>
      </w:r>
      <w:r w:rsidR="005316FD">
        <w:fldChar w:fldCharType="separate"/>
      </w:r>
      <w:r w:rsidRPr="005316FD">
        <w:rPr>
          <w:rStyle w:val="Hyperlink"/>
        </w:rPr>
        <w:t>ICB Disciplinary Policy</w:t>
      </w:r>
      <w:r w:rsidR="005316FD">
        <w:fldChar w:fldCharType="end"/>
      </w:r>
      <w:bookmarkEnd w:id="11"/>
      <w:r w:rsidRPr="00AC0648">
        <w:t>. It is not unusual for criminal and disciplinary processes to overlap. In the c</w:t>
      </w:r>
      <w:r w:rsidRPr="0054689B">
        <w:t xml:space="preserve">ase of parallel criminal and disciplinary processes, these should be conducted separately and by different officers, but there needs to be close liaison between those investigating economic crime and those progressing disciplinary proceedings since one process may impact on the other. This may include the sharing of information where lawful and at the appropriate time. </w:t>
      </w:r>
    </w:p>
    <w:p w14:paraId="69044693" w14:textId="18F0AC3C" w:rsidR="002227F4" w:rsidRPr="0054689B" w:rsidRDefault="00FB25C4" w:rsidP="00F86C52">
      <w:pPr>
        <w:pStyle w:val="Heading3"/>
      </w:pPr>
      <w:r>
        <w:t>People Directorate</w:t>
      </w:r>
      <w:r w:rsidRPr="0054689B">
        <w:t xml:space="preserve"> </w:t>
      </w:r>
      <w:r w:rsidR="002227F4" w:rsidRPr="0054689B">
        <w:t xml:space="preserve">will, where appropriate, provide information to assist those responsible for dealing with economic crime with any proactive reviews undertaken in relation to detection or prevention activities. In addition, </w:t>
      </w:r>
      <w:r>
        <w:t>People Directorate</w:t>
      </w:r>
      <w:r w:rsidRPr="0054689B">
        <w:t xml:space="preserve"> </w:t>
      </w:r>
      <w:r w:rsidR="002227F4" w:rsidRPr="0054689B">
        <w:t>will inform those responsible for investigating economic crime of any possible system weaknesses that could allow fraud, bribery</w:t>
      </w:r>
      <w:r w:rsidR="00264F9C">
        <w:t>,</w:t>
      </w:r>
      <w:r w:rsidR="002227F4" w:rsidRPr="0054689B">
        <w:t xml:space="preserve"> or corruption to occur. This includes weaknesses discovered as any part of a </w:t>
      </w:r>
      <w:r>
        <w:t>People Directorate</w:t>
      </w:r>
      <w:r w:rsidRPr="0054689B">
        <w:t xml:space="preserve"> </w:t>
      </w:r>
      <w:r w:rsidR="002227F4" w:rsidRPr="0054689B">
        <w:t xml:space="preserve">investigation that did not warrant the commencement of a criminal investigation. </w:t>
      </w:r>
    </w:p>
    <w:p w14:paraId="64145575" w14:textId="7FC81CA0" w:rsidR="002227F4" w:rsidRPr="002D3CB5" w:rsidRDefault="002227F4" w:rsidP="00F86C52">
      <w:pPr>
        <w:pStyle w:val="Heading3"/>
      </w:pPr>
      <w:r w:rsidRPr="00F86C52">
        <w:t xml:space="preserve">Those responsible </w:t>
      </w:r>
      <w:r w:rsidR="002C6EB9">
        <w:t xml:space="preserve">for </w:t>
      </w:r>
      <w:r w:rsidRPr="00F86C52">
        <w:t>dealing with economic crim</w:t>
      </w:r>
      <w:r w:rsidR="002C6EB9">
        <w:t xml:space="preserve">e may need to </w:t>
      </w:r>
      <w:r w:rsidRPr="0054689B">
        <w:t xml:space="preserve">meet regularly with </w:t>
      </w:r>
      <w:r w:rsidR="006507D3">
        <w:t>members of staff from the People Directorate</w:t>
      </w:r>
      <w:r w:rsidR="006507D3" w:rsidRPr="0054689B">
        <w:t xml:space="preserve"> </w:t>
      </w:r>
      <w:r w:rsidRPr="0054689B">
        <w:t xml:space="preserve">to discuss requirements </w:t>
      </w:r>
      <w:r w:rsidR="00FF19A3">
        <w:t xml:space="preserve">to liaise and to </w:t>
      </w:r>
      <w:r w:rsidRPr="0054689B">
        <w:t>monitor joint working arrangements</w:t>
      </w:r>
      <w:r w:rsidR="002C6EB9">
        <w:t>.</w:t>
      </w:r>
    </w:p>
    <w:p w14:paraId="7B1F6475" w14:textId="18535D03" w:rsidR="002227F4" w:rsidRPr="00F86C52" w:rsidRDefault="002227F4" w:rsidP="00F86C52">
      <w:pPr>
        <w:pStyle w:val="Heading2"/>
        <w:rPr>
          <w:b/>
          <w:bCs w:val="0"/>
        </w:rPr>
      </w:pPr>
      <w:r w:rsidRPr="00F86C52">
        <w:rPr>
          <w:b/>
          <w:bCs w:val="0"/>
        </w:rPr>
        <w:t>Nominated and Accredited L</w:t>
      </w:r>
      <w:r w:rsidR="008A67B4" w:rsidRPr="00F86C52">
        <w:rPr>
          <w:b/>
          <w:bCs w:val="0"/>
        </w:rPr>
        <w:t>ocal</w:t>
      </w:r>
      <w:r w:rsidRPr="00F86C52">
        <w:rPr>
          <w:b/>
          <w:bCs w:val="0"/>
        </w:rPr>
        <w:t xml:space="preserve"> Counter Fraud Specialists </w:t>
      </w:r>
      <w:r w:rsidR="00154A06">
        <w:rPr>
          <w:b/>
          <w:bCs w:val="0"/>
        </w:rPr>
        <w:t>(LCFS)</w:t>
      </w:r>
    </w:p>
    <w:p w14:paraId="13F1DCD0" w14:textId="74382CFB" w:rsidR="00B276A8" w:rsidRDefault="002227F4" w:rsidP="00F86C52">
      <w:pPr>
        <w:pStyle w:val="Heading3"/>
      </w:pPr>
      <w:r w:rsidRPr="002D3CB5">
        <w:t xml:space="preserve">Nominated and accredited LCFSs work within NHS commissioning and provider organisations to tackle economic crime in line with the </w:t>
      </w:r>
      <w:r>
        <w:t>NHS</w:t>
      </w:r>
      <w:r w:rsidR="00166E70">
        <w:t xml:space="preserve"> </w:t>
      </w:r>
      <w:r>
        <w:t>CFA Counter Fraud Strategy</w:t>
      </w:r>
      <w:r w:rsidR="00B276A8">
        <w:t>.</w:t>
      </w:r>
    </w:p>
    <w:p w14:paraId="2AAE7E00" w14:textId="77777777" w:rsidR="00735D3F" w:rsidRDefault="00B276A8" w:rsidP="00F86C52">
      <w:pPr>
        <w:pStyle w:val="Heading3"/>
      </w:pPr>
      <w:r>
        <w:t>The LCFS is responsible for anti-fraud work within the ICB</w:t>
      </w:r>
      <w:r w:rsidR="00EC2E1F">
        <w:t xml:space="preserve"> </w:t>
      </w:r>
      <w:r w:rsidR="00735D3F">
        <w:t>and reports directly to the CFO.</w:t>
      </w:r>
    </w:p>
    <w:p w14:paraId="3AC91816" w14:textId="1E03DF1C" w:rsidR="005D4BB3" w:rsidRDefault="00735D3F" w:rsidP="005D4BB3">
      <w:pPr>
        <w:pStyle w:val="Heading3"/>
      </w:pPr>
      <w:r>
        <w:t>The LCFS reports to the CFO, but any staff at the ICB can sp</w:t>
      </w:r>
      <w:r w:rsidR="00DF47E5">
        <w:t>e</w:t>
      </w:r>
      <w:r>
        <w:t xml:space="preserve">ak to and ask for advice from the LCFS. They are authorised to receive reports of suspected fraud from anyone, whether an employee of the ICB, independent contractor or other third party. All staff have a responsibility </w:t>
      </w:r>
      <w:r w:rsidR="00C24AE5">
        <w:t>to the ICB to raise their genuine concerns</w:t>
      </w:r>
      <w:r w:rsidR="005D4BB3">
        <w:t xml:space="preserve">. </w:t>
      </w:r>
    </w:p>
    <w:p w14:paraId="4FBD8541" w14:textId="77777777" w:rsidR="005D4BB3" w:rsidRDefault="005D4BB3" w:rsidP="005D4BB3">
      <w:pPr>
        <w:pStyle w:val="Heading3"/>
      </w:pPr>
      <w:r>
        <w:lastRenderedPageBreak/>
        <w:t>The role of the LCFS is to ensure that all cases of actual fraud, bribery, and corruption are notified to the CFO and reported accordingly. The LCFS will report to the CFO on the progress of the investigation and if a referral to the police is required.</w:t>
      </w:r>
    </w:p>
    <w:p w14:paraId="42B5B236" w14:textId="36EA8E67" w:rsidR="005D4BB3" w:rsidRPr="005D4BB3" w:rsidRDefault="005D4BB3" w:rsidP="005D4BB3">
      <w:pPr>
        <w:pStyle w:val="Heading3"/>
      </w:pPr>
      <w:r>
        <w:t>The investigation of most</w:t>
      </w:r>
      <w:r w:rsidR="005C4F0E">
        <w:t xml:space="preserve"> cases of alleged fraud within the ICB will be the responsibility of the LCFS. The NHS CFA will only investigate cases which should not be dealt with </w:t>
      </w:r>
      <w:r w:rsidR="003A00A1">
        <w:t>by the ICB, for example cross-boundary or national issues. Following receipt of all referrals, the NHS CFA will add any known information or intelligence</w:t>
      </w:r>
      <w:r w:rsidR="001D051B">
        <w:t xml:space="preserve"> and, based on their case acceptance criteria, will determine whether a case should be investigated by the NHS CFA</w:t>
      </w:r>
      <w:r w:rsidR="00C24AE5">
        <w:t>.</w:t>
      </w:r>
    </w:p>
    <w:p w14:paraId="174EB492" w14:textId="77777777" w:rsidR="00A7294D" w:rsidRDefault="00C24AE5" w:rsidP="00F86C52">
      <w:pPr>
        <w:pStyle w:val="Heading3"/>
      </w:pPr>
      <w:r>
        <w:t>The LCFS works with colleagues and stakeholders to promote anti-fraud work a</w:t>
      </w:r>
      <w:r w:rsidR="00EC18E0">
        <w:t>n</w:t>
      </w:r>
      <w:r>
        <w:t xml:space="preserve">d effectively </w:t>
      </w:r>
      <w:r w:rsidR="00291AB9">
        <w:t>respond to system weaknesses</w:t>
      </w:r>
      <w:r w:rsidR="00EC18E0">
        <w:t xml:space="preserve"> and investigate allegations </w:t>
      </w:r>
      <w:r w:rsidR="00A7294D">
        <w:t>of fraud, bribery, and corruption. This will include the undertaking of risk assessments to identify fraud, bribery, and corruption risks at the ICB.</w:t>
      </w:r>
    </w:p>
    <w:p w14:paraId="7E5DDF7A" w14:textId="2C504BDC" w:rsidR="002227F4" w:rsidRPr="002D3CB5" w:rsidRDefault="00A7294D" w:rsidP="005D4BB3">
      <w:pPr>
        <w:pStyle w:val="Heading3"/>
      </w:pPr>
      <w:r>
        <w:t xml:space="preserve">The LCFS employs a risk-based methodology to enable the ICB to </w:t>
      </w:r>
      <w:r w:rsidR="00540FDB">
        <w:t>target resources at high-risk areas and throughout the year undertakes proactive reviews in these areas that can detect fraud. Such reviews together with investigations</w:t>
      </w:r>
      <w:r w:rsidR="005D4BB3">
        <w:t xml:space="preserve"> enables the LCFS to identify and counter vulnerabilities within ICB systems by implementing effective prevention, detection, and corrective controls to reduce the likelihood of </w:t>
      </w:r>
      <w:r w:rsidR="0093020D">
        <w:t>fraud.</w:t>
      </w:r>
      <w:r w:rsidR="002227F4" w:rsidRPr="002D3CB5">
        <w:t xml:space="preserve"> </w:t>
      </w:r>
    </w:p>
    <w:p w14:paraId="256EF187" w14:textId="77777777" w:rsidR="002227F4" w:rsidRPr="00F86C52" w:rsidRDefault="002227F4" w:rsidP="00F86C52">
      <w:pPr>
        <w:pStyle w:val="Heading2"/>
        <w:rPr>
          <w:b/>
          <w:bCs w:val="0"/>
          <w:lang w:val="en-US"/>
        </w:rPr>
      </w:pPr>
      <w:r w:rsidRPr="00F86C52">
        <w:rPr>
          <w:b/>
          <w:bCs w:val="0"/>
          <w:lang w:val="en-US"/>
        </w:rPr>
        <w:t xml:space="preserve">Commissioning Support Unit </w:t>
      </w:r>
    </w:p>
    <w:p w14:paraId="2C348556" w14:textId="3D0B1F70" w:rsidR="002227F4" w:rsidRPr="009A39A8" w:rsidRDefault="002227F4" w:rsidP="00F86C52">
      <w:pPr>
        <w:pStyle w:val="Heading3"/>
        <w:rPr>
          <w:lang w:val="en-US"/>
        </w:rPr>
      </w:pPr>
      <w:bookmarkStart w:id="12" w:name="_Hlk96437970"/>
      <w:r w:rsidRPr="009A39A8">
        <w:rPr>
          <w:lang w:val="en-US"/>
        </w:rPr>
        <w:t xml:space="preserve">The Commissioning Support Unit (CSU) will assist the </w:t>
      </w:r>
      <w:r w:rsidR="006507D3">
        <w:rPr>
          <w:lang w:val="en-US"/>
        </w:rPr>
        <w:t>CFO</w:t>
      </w:r>
      <w:r w:rsidRPr="009A39A8">
        <w:rPr>
          <w:lang w:val="en-US"/>
        </w:rPr>
        <w:t xml:space="preserve">, </w:t>
      </w:r>
      <w:r w:rsidR="006507D3">
        <w:rPr>
          <w:lang w:val="en-US"/>
        </w:rPr>
        <w:t>People Directorate</w:t>
      </w:r>
      <w:r w:rsidR="006507D3" w:rsidRPr="009A39A8">
        <w:rPr>
          <w:lang w:val="en-US"/>
        </w:rPr>
        <w:t xml:space="preserve"> </w:t>
      </w:r>
      <w:r w:rsidRPr="009A39A8">
        <w:rPr>
          <w:lang w:val="en-US"/>
        </w:rPr>
        <w:t xml:space="preserve">and the LCFS, </w:t>
      </w:r>
      <w:r w:rsidR="00340F11">
        <w:rPr>
          <w:lang w:val="en-US"/>
        </w:rPr>
        <w:t xml:space="preserve">in supporting access to employee IT records for the purpose of investigating incidents of fraud. </w:t>
      </w:r>
    </w:p>
    <w:bookmarkEnd w:id="12"/>
    <w:p w14:paraId="75EBFE0B" w14:textId="77777777" w:rsidR="002227F4" w:rsidRPr="00BB6E17" w:rsidRDefault="002227F4" w:rsidP="00BB6E17">
      <w:pPr>
        <w:pStyle w:val="Heading2"/>
        <w:rPr>
          <w:b/>
          <w:bCs w:val="0"/>
          <w:lang w:val="en-US"/>
        </w:rPr>
      </w:pPr>
      <w:r w:rsidRPr="00BB6E17">
        <w:rPr>
          <w:b/>
          <w:bCs w:val="0"/>
          <w:lang w:val="en-US"/>
        </w:rPr>
        <w:t>Information Management and Technology</w:t>
      </w:r>
    </w:p>
    <w:p w14:paraId="544D7428" w14:textId="4EDC7FCC" w:rsidR="00CD17D2" w:rsidRPr="009A39A8" w:rsidRDefault="009A39A8" w:rsidP="00F86C52">
      <w:pPr>
        <w:pStyle w:val="Heading3"/>
        <w:rPr>
          <w:lang w:val="en-US"/>
        </w:rPr>
      </w:pPr>
      <w:r>
        <w:rPr>
          <w:lang w:val="en-US"/>
        </w:rPr>
        <w:t>I</w:t>
      </w:r>
      <w:r w:rsidRPr="00321D0B">
        <w:rPr>
          <w:lang w:val="en-US"/>
        </w:rPr>
        <w:t>n line with the Computer Misuse Act 1990,</w:t>
      </w:r>
      <w:r w:rsidR="002C6EB9">
        <w:rPr>
          <w:lang w:val="en-US"/>
        </w:rPr>
        <w:t xml:space="preserve"> </w:t>
      </w:r>
      <w:r>
        <w:rPr>
          <w:lang w:val="en-US"/>
        </w:rPr>
        <w:t xml:space="preserve">the </w:t>
      </w:r>
      <w:r w:rsidR="00886BA3">
        <w:rPr>
          <w:lang w:val="en-US"/>
        </w:rPr>
        <w:t xml:space="preserve">Digital and </w:t>
      </w:r>
      <w:r w:rsidR="002076DB">
        <w:rPr>
          <w:lang w:val="en-US"/>
        </w:rPr>
        <w:t xml:space="preserve">Business Intelligence </w:t>
      </w:r>
      <w:r w:rsidR="00886BA3">
        <w:rPr>
          <w:lang w:val="en-US"/>
        </w:rPr>
        <w:t xml:space="preserve">Directorate </w:t>
      </w:r>
      <w:r w:rsidR="002227F4" w:rsidRPr="00321D0B">
        <w:rPr>
          <w:lang w:val="en-US"/>
        </w:rPr>
        <w:t xml:space="preserve">will report all cases to the LCFS where there is suspicion that IT is being used for fraudulent purposes.  This includes inappropriate Internet or E-mail use.  </w:t>
      </w:r>
    </w:p>
    <w:p w14:paraId="2715369C" w14:textId="77777777" w:rsidR="009A39A8" w:rsidRPr="00BB6E17" w:rsidRDefault="009A39A8" w:rsidP="00BB6E17">
      <w:pPr>
        <w:pStyle w:val="Heading2"/>
        <w:rPr>
          <w:b/>
          <w:bCs w:val="0"/>
        </w:rPr>
      </w:pPr>
      <w:r w:rsidRPr="00BB6E17">
        <w:rPr>
          <w:b/>
          <w:bCs w:val="0"/>
        </w:rPr>
        <w:t xml:space="preserve">Managers </w:t>
      </w:r>
    </w:p>
    <w:p w14:paraId="73DCD80F" w14:textId="76222930" w:rsidR="009A39A8" w:rsidRDefault="009A39A8" w:rsidP="00F86C52">
      <w:pPr>
        <w:pStyle w:val="Heading3"/>
      </w:pPr>
      <w:r>
        <w:t>All managers are responsible for ensuring that policies, procedures</w:t>
      </w:r>
      <w:r w:rsidR="00264F9C">
        <w:t>,</w:t>
      </w:r>
      <w:r>
        <w:t xml:space="preserve"> and processes within their work areas are adhered to and kept under review. This includes but not limited to authorising annual leave, staff expenses and staff leave as appropriate following guidelines. </w:t>
      </w:r>
      <w:r w:rsidR="006336F1">
        <w:t>Managers should ensure that an adequate level of internal control exists within their area</w:t>
      </w:r>
      <w:r w:rsidR="00E72F31">
        <w:t>s of responsibility and that controls operate effectively.</w:t>
      </w:r>
    </w:p>
    <w:p w14:paraId="7A59AC09" w14:textId="771253DE" w:rsidR="009A39A8" w:rsidRDefault="009A39A8" w:rsidP="00F86C52">
      <w:pPr>
        <w:pStyle w:val="Heading3"/>
      </w:pPr>
      <w:r>
        <w:t>Managers should ensure that all employees in their teams are aware of fraud, bribery</w:t>
      </w:r>
      <w:r w:rsidR="00E72F31">
        <w:t>,</w:t>
      </w:r>
      <w:r>
        <w:t xml:space="preserve"> and corruption (economic crime) risks and understand the importance of protecting the ICB against them. Managers may also be responsible for the enforcement of disciplinary action for employees who do not comply with policies and procedures and commit economic crime. </w:t>
      </w:r>
    </w:p>
    <w:p w14:paraId="5D29C762" w14:textId="5834982A" w:rsidR="009A39A8" w:rsidRDefault="009A39A8" w:rsidP="00F86C52">
      <w:pPr>
        <w:pStyle w:val="Heading3"/>
      </w:pPr>
      <w:r>
        <w:t xml:space="preserve">If a manager suspects, or is made aware, that someone in their team or a </w:t>
      </w:r>
      <w:r>
        <w:lastRenderedPageBreak/>
        <w:t>third party may be committing economic crime, they must immediately report their suspicions to the ICB LCFS</w:t>
      </w:r>
      <w:r w:rsidR="00566214">
        <w:t xml:space="preserve"> and / or to the ICB’s CFO or to the NHS CFA</w:t>
      </w:r>
      <w:r>
        <w:t xml:space="preserve">. </w:t>
      </w:r>
    </w:p>
    <w:p w14:paraId="26D2ED05" w14:textId="50A318C8" w:rsidR="009A39A8" w:rsidRDefault="00DF65BD" w:rsidP="00F86C52">
      <w:pPr>
        <w:pStyle w:val="Heading3"/>
      </w:pPr>
      <w:r>
        <w:t>It is appreciated that some employees will initially ra</w:t>
      </w:r>
      <w:r w:rsidR="0090725E">
        <w:t>i</w:t>
      </w:r>
      <w:r>
        <w:t xml:space="preserve">se concerns with their manager; however, </w:t>
      </w:r>
      <w:r w:rsidR="0090725E">
        <w:t>m</w:t>
      </w:r>
      <w:r w:rsidR="009A39A8">
        <w:t xml:space="preserve">anagers should in no circumstances investigate suspicions or an allegation themselves. A summary of what employees (including managers) should do with any concerns is included in Appendices A and B. Routine verification of information or outliers according to normal processes is reasonable. However, where there is a concern that deliberate wrongdoing or potential fraud may have taken place, or they are unsure, employees (including managers) are encouraged to seek the advice of the relevant ICB LCFS at the earliest possible stage. </w:t>
      </w:r>
    </w:p>
    <w:p w14:paraId="24EA81EC" w14:textId="72512222" w:rsidR="009A39A8" w:rsidRDefault="009A39A8" w:rsidP="00F86C52">
      <w:pPr>
        <w:pStyle w:val="Heading3"/>
      </w:pPr>
      <w:r>
        <w:t>Managers must ensure all staff complete counter fraud training available on the Electronic Staff Record (ESR) as part of MSE ICB mandatory training requirements</w:t>
      </w:r>
      <w:r w:rsidR="00C158EE">
        <w:t>.</w:t>
      </w:r>
    </w:p>
    <w:p w14:paraId="3769846A" w14:textId="577E575D" w:rsidR="002B2A29" w:rsidRPr="00BB6E17" w:rsidRDefault="002B2A29" w:rsidP="00BB6E17">
      <w:pPr>
        <w:pStyle w:val="Heading2"/>
        <w:rPr>
          <w:b/>
          <w:bCs w:val="0"/>
        </w:rPr>
      </w:pPr>
      <w:r w:rsidRPr="00BB6E17">
        <w:rPr>
          <w:b/>
          <w:bCs w:val="0"/>
        </w:rPr>
        <w:t>All ICB Employees</w:t>
      </w:r>
    </w:p>
    <w:p w14:paraId="45F21278" w14:textId="31D7D8ED" w:rsidR="00F86C52" w:rsidRDefault="00F86C52" w:rsidP="00012305">
      <w:pPr>
        <w:pStyle w:val="Heading3"/>
      </w:pPr>
      <w:r w:rsidRPr="002B2A29">
        <w:t>All employees should carry out their duties with due regard for</w:t>
      </w:r>
      <w:r>
        <w:t xml:space="preserve"> ICB </w:t>
      </w:r>
      <w:r w:rsidRPr="002B2A29">
        <w:t>policies and procedures, be aware of fraud, bribery</w:t>
      </w:r>
      <w:r w:rsidR="00C158EE">
        <w:t>,</w:t>
      </w:r>
      <w:r w:rsidRPr="002B2A29">
        <w:t xml:space="preserve"> and corruption (</w:t>
      </w:r>
      <w:r>
        <w:t>e</w:t>
      </w:r>
      <w:r w:rsidRPr="002B2A29">
        <w:t xml:space="preserve">conomic </w:t>
      </w:r>
      <w:r>
        <w:t>c</w:t>
      </w:r>
      <w:r w:rsidRPr="002B2A29">
        <w:t xml:space="preserve">rime) risks and understand the importance of protecting the organisation against them. </w:t>
      </w:r>
    </w:p>
    <w:p w14:paraId="37F28819" w14:textId="0EA37A59" w:rsidR="00C46A50" w:rsidRDefault="00C46A50" w:rsidP="00D848F8">
      <w:pPr>
        <w:pStyle w:val="Heading3"/>
      </w:pPr>
      <w:r w:rsidRPr="00F86C52">
        <w:t>Employees must report any suspicions of economic crime as soon as they become aware of them</w:t>
      </w:r>
      <w:r w:rsidR="00D848F8">
        <w:t>, using the contact details listed in Appendix B,</w:t>
      </w:r>
      <w:r w:rsidRPr="00F86C52">
        <w:t xml:space="preserve"> to ensure they are investigated appropriately and to maximise the chances of financial recovery</w:t>
      </w:r>
      <w:r w:rsidR="00D848F8">
        <w:t xml:space="preserve">.  </w:t>
      </w:r>
    </w:p>
    <w:p w14:paraId="0A36DB1C" w14:textId="7376C641" w:rsidR="00C46A50" w:rsidRDefault="00C46A50" w:rsidP="00F86C52">
      <w:pPr>
        <w:pStyle w:val="Heading3"/>
      </w:pPr>
      <w:r>
        <w:t xml:space="preserve">Under no circumstances should any staff member commence an investigation into suspected or alleged economic crime. A summary of what staff should do with any concerns is included </w:t>
      </w:r>
      <w:r w:rsidR="00F86C52">
        <w:t>in</w:t>
      </w:r>
      <w:r>
        <w:t xml:space="preserve"> </w:t>
      </w:r>
      <w:r w:rsidRPr="00AD36A4">
        <w:rPr>
          <w:b/>
          <w:bCs w:val="0"/>
        </w:rPr>
        <w:t>Appendi</w:t>
      </w:r>
      <w:r w:rsidR="00012305" w:rsidRPr="00AD36A4">
        <w:rPr>
          <w:b/>
          <w:bCs w:val="0"/>
        </w:rPr>
        <w:t>x</w:t>
      </w:r>
      <w:r w:rsidRPr="00AD36A4">
        <w:rPr>
          <w:b/>
          <w:bCs w:val="0"/>
        </w:rPr>
        <w:t xml:space="preserve"> A</w:t>
      </w:r>
      <w:r w:rsidRPr="00F86C52">
        <w:t xml:space="preserve"> and </w:t>
      </w:r>
      <w:r w:rsidRPr="00AD36A4">
        <w:rPr>
          <w:b/>
          <w:bCs w:val="0"/>
        </w:rPr>
        <w:t>Appendix B</w:t>
      </w:r>
      <w:r>
        <w:t xml:space="preserve">. Where there is a concern of deliberate wrongdoing or potential fraud, or they are unsure, staff are encouraged to seek the advice of the </w:t>
      </w:r>
      <w:r w:rsidR="00F86C52">
        <w:t>Local</w:t>
      </w:r>
      <w:r>
        <w:t xml:space="preserve"> Counter Fraud Specialist at the earliest possible stage. </w:t>
      </w:r>
    </w:p>
    <w:p w14:paraId="758068F5" w14:textId="5E1E246E" w:rsidR="00C46A50" w:rsidRDefault="00C46A50" w:rsidP="00F86C52">
      <w:pPr>
        <w:pStyle w:val="Heading3"/>
      </w:pPr>
      <w:r>
        <w:t xml:space="preserve">All staff should cooperate with the </w:t>
      </w:r>
      <w:r w:rsidR="00CE67CE">
        <w:t xml:space="preserve">Local </w:t>
      </w:r>
      <w:r>
        <w:t>Counter Fraud Specialists, as well as NHS</w:t>
      </w:r>
      <w:r w:rsidR="00AD36A4">
        <w:t xml:space="preserve"> </w:t>
      </w:r>
      <w:r>
        <w:t>CFA and other bodies, to facilitate work to tackle economic</w:t>
      </w:r>
      <w:r w:rsidR="00F86C52">
        <w:t xml:space="preserve"> </w:t>
      </w:r>
      <w:r>
        <w:t xml:space="preserve">crime involving the NHS by: </w:t>
      </w:r>
    </w:p>
    <w:p w14:paraId="5A476A26" w14:textId="77777777" w:rsidR="00C46A50" w:rsidRDefault="00C46A50" w:rsidP="00F86C52">
      <w:pPr>
        <w:pStyle w:val="ListParagraph"/>
        <w:numPr>
          <w:ilvl w:val="0"/>
          <w:numId w:val="37"/>
        </w:numPr>
      </w:pPr>
      <w:r>
        <w:t xml:space="preserve">Providing information and intelligence </w:t>
      </w:r>
    </w:p>
    <w:p w14:paraId="00C02A6C" w14:textId="77777777" w:rsidR="00C46A50" w:rsidRDefault="00C46A50" w:rsidP="00F86C52">
      <w:pPr>
        <w:pStyle w:val="ListParagraph"/>
        <w:numPr>
          <w:ilvl w:val="0"/>
          <w:numId w:val="37"/>
        </w:numPr>
      </w:pPr>
      <w:r>
        <w:t xml:space="preserve">Facilitating investigations; complying with NHSCFA strategy and guidance </w:t>
      </w:r>
    </w:p>
    <w:p w14:paraId="672812F3" w14:textId="77777777" w:rsidR="00C46A50" w:rsidRDefault="00C46A50" w:rsidP="00F86C52">
      <w:pPr>
        <w:pStyle w:val="ListParagraph"/>
        <w:numPr>
          <w:ilvl w:val="0"/>
          <w:numId w:val="37"/>
        </w:numPr>
      </w:pPr>
      <w:r>
        <w:t xml:space="preserve">Not revealing information about open investigations to unauthorised persons (including journalists) </w:t>
      </w:r>
    </w:p>
    <w:p w14:paraId="076BEA72" w14:textId="77777777" w:rsidR="00C46A50" w:rsidRDefault="00C46A50" w:rsidP="00F86C52">
      <w:pPr>
        <w:pStyle w:val="ListParagraph"/>
        <w:numPr>
          <w:ilvl w:val="0"/>
          <w:numId w:val="37"/>
        </w:numPr>
      </w:pPr>
      <w:r>
        <w:t xml:space="preserve">Taking all appropriate steps to prevent, detect and investigate economic crime including: </w:t>
      </w:r>
    </w:p>
    <w:p w14:paraId="520DC126" w14:textId="77777777" w:rsidR="00C46A50" w:rsidRDefault="00C46A50" w:rsidP="00C46A50">
      <w:pPr>
        <w:pStyle w:val="ListParagraph"/>
        <w:numPr>
          <w:ilvl w:val="1"/>
          <w:numId w:val="22"/>
        </w:numPr>
      </w:pPr>
      <w:r>
        <w:t xml:space="preserve">Appointing qualified/professional personnel to operate in accordance with relevant legislation and relevant standards and </w:t>
      </w:r>
    </w:p>
    <w:p w14:paraId="7874AF41" w14:textId="4D6842BF" w:rsidR="00C46A50" w:rsidRDefault="00C46A50" w:rsidP="00F86C52">
      <w:pPr>
        <w:pStyle w:val="ListParagraph"/>
        <w:numPr>
          <w:ilvl w:val="1"/>
          <w:numId w:val="22"/>
        </w:numPr>
      </w:pPr>
      <w:r>
        <w:t xml:space="preserve">Ensuring that appropriate measures are included in all financial governance and system controls to tackle economic crime. </w:t>
      </w:r>
    </w:p>
    <w:p w14:paraId="4D15D0D1" w14:textId="08051ABC" w:rsidR="002B2A29" w:rsidRDefault="002B2A29" w:rsidP="00F86C52">
      <w:pPr>
        <w:pStyle w:val="Heading3"/>
      </w:pPr>
      <w:r w:rsidRPr="002B2A29">
        <w:lastRenderedPageBreak/>
        <w:t>All employees should not be afraid to report genuine suspicions of fraud, bribery</w:t>
      </w:r>
      <w:r w:rsidR="000322DF">
        <w:t>,</w:t>
      </w:r>
      <w:r w:rsidRPr="002B2A29">
        <w:t xml:space="preserve"> or corruption. The Public Interest Disclosure Act 1998 protects those who have reasonable concerns and will not suffer discrimination or victimisation for following the correct procedures.</w:t>
      </w:r>
    </w:p>
    <w:p w14:paraId="055CA7D8" w14:textId="5A669302" w:rsidR="002B2A29" w:rsidRDefault="002B2A29" w:rsidP="00F86C52">
      <w:pPr>
        <w:pStyle w:val="Heading3"/>
      </w:pPr>
      <w:r w:rsidRPr="002B2A29">
        <w:t>Any fraud, bribery</w:t>
      </w:r>
      <w:r w:rsidR="000322DF">
        <w:t>,</w:t>
      </w:r>
      <w:r w:rsidRPr="002B2A29">
        <w:t xml:space="preserve"> or corruption concerns received through the </w:t>
      </w:r>
      <w:r w:rsidR="008705F9" w:rsidRPr="00AC0648">
        <w:t>Raising Concerns P</w:t>
      </w:r>
      <w:r w:rsidRPr="00AC0648">
        <w:t>olic</w:t>
      </w:r>
      <w:r w:rsidR="008705F9" w:rsidRPr="00AC0648">
        <w:t>y</w:t>
      </w:r>
      <w:r w:rsidRPr="00AC0648">
        <w:t xml:space="preserve"> should be referred to the Counter Fraud Team as soon</w:t>
      </w:r>
      <w:r w:rsidRPr="002B2A29">
        <w:t xml:space="preserve"> as possible</w:t>
      </w:r>
      <w:r w:rsidR="00412022">
        <w:t xml:space="preserve"> and whistleblowers encouraged to report any future fraudulent concerns directly to the Local Counter Fraud Specialist in the first instance.</w:t>
      </w:r>
    </w:p>
    <w:p w14:paraId="5834168D" w14:textId="732F1384" w:rsidR="002B2A29" w:rsidRDefault="002B2A29" w:rsidP="00F86C52">
      <w:pPr>
        <w:pStyle w:val="Heading3"/>
      </w:pPr>
      <w:r w:rsidRPr="002B2A29">
        <w:t xml:space="preserve">Employees should not confirm or deny the existence of an ongoing fraud investigation to any unauthorised individual (including journalists) without seeking prior approval from the </w:t>
      </w:r>
      <w:r w:rsidR="005231C6">
        <w:t>LCFS</w:t>
      </w:r>
      <w:r w:rsidRPr="002B2A29">
        <w:t xml:space="preserve"> or relevant NHS</w:t>
      </w:r>
      <w:r w:rsidR="009D565A">
        <w:t xml:space="preserve"> </w:t>
      </w:r>
      <w:r w:rsidRPr="002B2A29">
        <w:t xml:space="preserve">CFA investigator, as appropriate. </w:t>
      </w:r>
      <w:r>
        <w:tab/>
      </w:r>
    </w:p>
    <w:p w14:paraId="00F69646" w14:textId="21A3030D" w:rsidR="00584E53" w:rsidRDefault="00E93DFB" w:rsidP="00584E53">
      <w:pPr>
        <w:pStyle w:val="Heading3"/>
      </w:pPr>
      <w:r w:rsidRPr="00E93DFB">
        <w:t xml:space="preserve">For details regarding responsibilities regarding the declaration of gifts and hospitality, refer to the </w:t>
      </w:r>
      <w:r w:rsidR="008705F9" w:rsidRPr="00AC0648">
        <w:t>Conflicts of Interest, Gifts and Hospitality</w:t>
      </w:r>
      <w:r w:rsidR="008705F9">
        <w:t xml:space="preserve"> and Commercial Sponsorship P</w:t>
      </w:r>
      <w:r w:rsidRPr="00E93DFB">
        <w:t>olic</w:t>
      </w:r>
      <w:r w:rsidR="00C742CD">
        <w:t>y</w:t>
      </w:r>
      <w:r w:rsidRPr="00E93DFB">
        <w:t xml:space="preserve"> for the organisation. For expectations regarding the Values, Aims, Principles, Behaviours and Accountability, refer to the Corporate Governance</w:t>
      </w:r>
      <w:r w:rsidR="00FF19A3" w:rsidRPr="007F2CB0">
        <w:t xml:space="preserve"> Handbook.</w:t>
      </w:r>
    </w:p>
    <w:p w14:paraId="0E7555C5" w14:textId="635F9770" w:rsidR="00584E53" w:rsidRDefault="00584E53" w:rsidP="00584E53">
      <w:pPr>
        <w:pStyle w:val="Heading1"/>
      </w:pPr>
      <w:bookmarkStart w:id="13" w:name="_Toc210650406"/>
      <w:r>
        <w:t>The Response Plan</w:t>
      </w:r>
      <w:bookmarkEnd w:id="13"/>
    </w:p>
    <w:p w14:paraId="2EDB8954" w14:textId="79C9166D" w:rsidR="00584E53" w:rsidRDefault="00584E53" w:rsidP="00584E53">
      <w:pPr>
        <w:ind w:left="0"/>
      </w:pPr>
      <w:r w:rsidRPr="000F6080">
        <w:rPr>
          <w:bCs/>
        </w:rPr>
        <w:t>6.1</w:t>
      </w:r>
      <w:r>
        <w:rPr>
          <w:b/>
        </w:rPr>
        <w:tab/>
      </w:r>
      <w:r w:rsidR="00526ED8">
        <w:rPr>
          <w:b/>
        </w:rPr>
        <w:t xml:space="preserve">Fraud, </w:t>
      </w:r>
      <w:r>
        <w:rPr>
          <w:b/>
        </w:rPr>
        <w:t>Bribery and Corruption</w:t>
      </w:r>
      <w:r>
        <w:t xml:space="preserve"> </w:t>
      </w:r>
    </w:p>
    <w:p w14:paraId="30165BFB" w14:textId="2715578B" w:rsidR="00584E53" w:rsidRDefault="006601F0" w:rsidP="006601F0">
      <w:pPr>
        <w:ind w:left="720" w:hanging="720"/>
      </w:pPr>
      <w:r>
        <w:t>6.1.1</w:t>
      </w:r>
      <w:r>
        <w:tab/>
      </w:r>
      <w:r w:rsidR="00584E53">
        <w:t xml:space="preserve">The ICB </w:t>
      </w:r>
      <w:r w:rsidR="00042ADE">
        <w:t>has conducted risk assessments in line with Ministry of Justice guidance to assess how bribery and corruption may affect the ICB</w:t>
      </w:r>
      <w:r w:rsidR="00CA598A">
        <w:t xml:space="preserve">, as well as </w:t>
      </w:r>
      <w:r w:rsidR="00442597">
        <w:t xml:space="preserve">Home Office and </w:t>
      </w:r>
      <w:r w:rsidR="00CA598A">
        <w:t xml:space="preserve">NHS CFA guidance </w:t>
      </w:r>
      <w:r w:rsidR="00A91C7A">
        <w:t xml:space="preserve">on how to ensure fraud </w:t>
      </w:r>
      <w:r w:rsidR="00DC68B9">
        <w:t>prevention procedures are robust</w:t>
      </w:r>
      <w:r w:rsidR="00042ADE">
        <w:t>. As a result, proportionate procedures have been put in place to mitigate identified risks.</w:t>
      </w:r>
    </w:p>
    <w:p w14:paraId="1E99444C" w14:textId="38C21788" w:rsidR="00042ADE" w:rsidRDefault="006601F0" w:rsidP="006601F0">
      <w:pPr>
        <w:ind w:left="720" w:hanging="720"/>
      </w:pPr>
      <w:r>
        <w:t>6.1.2</w:t>
      </w:r>
      <w:r>
        <w:tab/>
      </w:r>
      <w:r w:rsidR="000F6080">
        <w:t>The ICB has implemented key policies, which all staff are required to adhere to and should be read in conjunction with this section:</w:t>
      </w:r>
    </w:p>
    <w:p w14:paraId="4A21B04C" w14:textId="7DDC5AD3" w:rsidR="000F6080" w:rsidRDefault="000F6080" w:rsidP="000F6080">
      <w:pPr>
        <w:pStyle w:val="ListParagraph"/>
        <w:numPr>
          <w:ilvl w:val="0"/>
          <w:numId w:val="46"/>
        </w:numPr>
      </w:pPr>
      <w:hyperlink r:id="rId22" w:history="1">
        <w:r w:rsidRPr="00CE67CE">
          <w:rPr>
            <w:rStyle w:val="Hyperlink"/>
          </w:rPr>
          <w:t>Conflicts of Interest Policy</w:t>
        </w:r>
        <w:r w:rsidR="00CE67CE" w:rsidRPr="00CE67CE">
          <w:rPr>
            <w:rStyle w:val="Hyperlink"/>
          </w:rPr>
          <w:t xml:space="preserve"> (Ref 018)</w:t>
        </w:r>
      </w:hyperlink>
    </w:p>
    <w:p w14:paraId="6906EEB5" w14:textId="5E58C2F0" w:rsidR="000F6080" w:rsidRDefault="000F6080" w:rsidP="000F6080">
      <w:pPr>
        <w:pStyle w:val="ListParagraph"/>
        <w:numPr>
          <w:ilvl w:val="0"/>
          <w:numId w:val="46"/>
        </w:numPr>
      </w:pPr>
      <w:hyperlink r:id="rId23" w:history="1">
        <w:r w:rsidRPr="00CE67CE">
          <w:rPr>
            <w:rStyle w:val="Hyperlink"/>
          </w:rPr>
          <w:t>Standards of Business Conduct Policy</w:t>
        </w:r>
        <w:r w:rsidR="00CE67CE" w:rsidRPr="00CE67CE">
          <w:rPr>
            <w:rStyle w:val="Hyperlink"/>
          </w:rPr>
          <w:t xml:space="preserve"> (Ref 019)</w:t>
        </w:r>
      </w:hyperlink>
    </w:p>
    <w:p w14:paraId="6B87BDCA" w14:textId="5A34F4EC" w:rsidR="000F6080" w:rsidRDefault="000F6080" w:rsidP="00DA3E99">
      <w:pPr>
        <w:pStyle w:val="ListParagraph"/>
        <w:numPr>
          <w:ilvl w:val="0"/>
          <w:numId w:val="46"/>
        </w:numPr>
      </w:pPr>
      <w:hyperlink r:id="rId24" w:history="1">
        <w:r w:rsidRPr="00CE67CE">
          <w:rPr>
            <w:rStyle w:val="Hyperlink"/>
          </w:rPr>
          <w:t>Freedom to Speak Up</w:t>
        </w:r>
        <w:r w:rsidR="00B21E54" w:rsidRPr="00CE67CE">
          <w:rPr>
            <w:rStyle w:val="Hyperlink"/>
          </w:rPr>
          <w:t xml:space="preserve"> (Whistleblowing)</w:t>
        </w:r>
        <w:r w:rsidRPr="00CE67CE">
          <w:rPr>
            <w:rStyle w:val="Hyperlink"/>
          </w:rPr>
          <w:t xml:space="preserve"> Policy</w:t>
        </w:r>
        <w:r w:rsidR="00CE67CE" w:rsidRPr="00CE67CE">
          <w:rPr>
            <w:rStyle w:val="Hyperlink"/>
          </w:rPr>
          <w:t xml:space="preserve"> (Ref 023)</w:t>
        </w:r>
      </w:hyperlink>
    </w:p>
    <w:p w14:paraId="28916837" w14:textId="77777777" w:rsidR="000F6080" w:rsidRPr="00DA3E99" w:rsidRDefault="000F6080" w:rsidP="00DA3E99">
      <w:pPr>
        <w:pStyle w:val="ListParagraph"/>
        <w:ind w:left="1457"/>
        <w:rPr>
          <w:b/>
        </w:rPr>
      </w:pPr>
    </w:p>
    <w:p w14:paraId="6D57D3D4" w14:textId="1AE406F6" w:rsidR="000F6080" w:rsidRDefault="000F6080" w:rsidP="00600931">
      <w:pPr>
        <w:ind w:left="0"/>
      </w:pPr>
      <w:r w:rsidRPr="00600931">
        <w:rPr>
          <w:bCs/>
        </w:rPr>
        <w:t>6.2</w:t>
      </w:r>
      <w:r>
        <w:rPr>
          <w:b/>
        </w:rPr>
        <w:t xml:space="preserve"> </w:t>
      </w:r>
      <w:r w:rsidR="00600931">
        <w:rPr>
          <w:b/>
        </w:rPr>
        <w:tab/>
      </w:r>
      <w:r>
        <w:rPr>
          <w:b/>
        </w:rPr>
        <w:t>Reporting Fraud, Bribery, or Corruption</w:t>
      </w:r>
      <w:r>
        <w:t xml:space="preserve"> </w:t>
      </w:r>
    </w:p>
    <w:p w14:paraId="4CEC561D" w14:textId="189C8138" w:rsidR="000F6080" w:rsidRDefault="006601F0" w:rsidP="006601F0">
      <w:pPr>
        <w:ind w:left="720" w:hanging="720"/>
      </w:pPr>
      <w:r>
        <w:t>6.2.1</w:t>
      </w:r>
      <w:r>
        <w:tab/>
      </w:r>
      <w:r w:rsidR="000F6080">
        <w:t xml:space="preserve">The ICB </w:t>
      </w:r>
      <w:r w:rsidR="00496A40">
        <w:t xml:space="preserve">will be robust in dealing with any fraud, bribery, or corruption issues, and can be expected to deal with any person who attempts to </w:t>
      </w:r>
      <w:r w:rsidR="007A16C0">
        <w:t>defraud the ICB, or engages in corrupt practices, in a timely manner.</w:t>
      </w:r>
    </w:p>
    <w:p w14:paraId="071604F3" w14:textId="4A170F48" w:rsidR="007A16C0" w:rsidRDefault="006601F0" w:rsidP="006601F0">
      <w:pPr>
        <w:ind w:left="720" w:hanging="720"/>
      </w:pPr>
      <w:r>
        <w:t>6.2.2</w:t>
      </w:r>
      <w:r>
        <w:tab/>
      </w:r>
      <w:r w:rsidR="007A16C0">
        <w:t>The LCFS will conduct all investigations in accordance with all relevant guidance and legislation. In particular, in full compliance with the NHS Counter Fraud and Corruption Manual issued by the NHS CFA.</w:t>
      </w:r>
    </w:p>
    <w:p w14:paraId="72945575" w14:textId="28ED2A03" w:rsidR="007A16C0" w:rsidRDefault="006601F0" w:rsidP="006601F0">
      <w:pPr>
        <w:ind w:left="720" w:hanging="720"/>
      </w:pPr>
      <w:r>
        <w:t>6.2.3</w:t>
      </w:r>
      <w:r>
        <w:tab/>
      </w:r>
      <w:r w:rsidR="007A16C0">
        <w:t xml:space="preserve">Upon receipt of a referral, the LCFS must comply with </w:t>
      </w:r>
      <w:r w:rsidR="00BA1166">
        <w:t>national regulations including the Government Functional Standard 013: Counter Fraud (Functional Standard).</w:t>
      </w:r>
    </w:p>
    <w:p w14:paraId="1C749757" w14:textId="2EBFD920" w:rsidR="00BA1166" w:rsidRDefault="006601F0" w:rsidP="006601F0">
      <w:pPr>
        <w:ind w:left="720" w:hanging="720"/>
      </w:pPr>
      <w:r>
        <w:lastRenderedPageBreak/>
        <w:t>6.2.4</w:t>
      </w:r>
      <w:r>
        <w:tab/>
      </w:r>
      <w:r w:rsidR="00E8367A">
        <w:t>If there is good reason to suspect a colleague or other individual(s) of fraud, bribery, or corruption, the concerns should be reported to the LCFS or CFO immediately.</w:t>
      </w:r>
    </w:p>
    <w:p w14:paraId="4CE32E6E" w14:textId="62CAEE72" w:rsidR="00E8367A" w:rsidRDefault="006601F0" w:rsidP="006601F0">
      <w:pPr>
        <w:ind w:left="720" w:hanging="720"/>
      </w:pPr>
      <w:r>
        <w:t>6.2.5</w:t>
      </w:r>
      <w:r>
        <w:tab/>
      </w:r>
      <w:r w:rsidR="00E8367A">
        <w:t xml:space="preserve">If there is a concern that the LCFS or CFO themselves may be involved in suspected fraud, bribery, or corruption, the concerns can be reported to the ICB’s </w:t>
      </w:r>
      <w:r w:rsidR="00446379">
        <w:t>Chief Executive, Audit Committee Chair, or Chair of the Board.</w:t>
      </w:r>
    </w:p>
    <w:p w14:paraId="1A55F419" w14:textId="3A6AAB58" w:rsidR="005E69D4" w:rsidRDefault="006601F0" w:rsidP="006601F0">
      <w:pPr>
        <w:ind w:left="720" w:hanging="720"/>
      </w:pPr>
      <w:r>
        <w:t>6.2.6</w:t>
      </w:r>
      <w:r>
        <w:tab/>
      </w:r>
      <w:r w:rsidR="005E69D4">
        <w:t>Sufficient enquiries will be made by the LCFS to establish whether there is any foundation to the allegations. If the allegations are found to be malicious, they will also be considered for further investigation as to their source.</w:t>
      </w:r>
    </w:p>
    <w:p w14:paraId="126D013A" w14:textId="49A6F436" w:rsidR="00FA4B82" w:rsidRDefault="006601F0" w:rsidP="00DA3E99">
      <w:pPr>
        <w:spacing w:before="0"/>
        <w:ind w:left="720" w:hanging="720"/>
      </w:pPr>
      <w:r>
        <w:t>6.2.7</w:t>
      </w:r>
      <w:r>
        <w:tab/>
      </w:r>
      <w:r w:rsidR="00811E44">
        <w:t xml:space="preserve">Suspicions of fraud, bribery, or corruption should be reported using the reporting lines detailed within </w:t>
      </w:r>
      <w:r w:rsidR="009D4654">
        <w:rPr>
          <w:b/>
          <w:bCs/>
        </w:rPr>
        <w:t>A</w:t>
      </w:r>
      <w:r w:rsidR="00811E44">
        <w:rPr>
          <w:b/>
          <w:bCs/>
        </w:rPr>
        <w:t xml:space="preserve">ppendix B </w:t>
      </w:r>
      <w:r w:rsidR="00811E44">
        <w:t>of this policy.</w:t>
      </w:r>
    </w:p>
    <w:p w14:paraId="029A6BF3" w14:textId="144FECC9" w:rsidR="00FA4B82" w:rsidRDefault="00FA4B82" w:rsidP="00DA3E99">
      <w:pPr>
        <w:spacing w:before="0"/>
        <w:ind w:left="0"/>
        <w:rPr>
          <w:b/>
        </w:rPr>
      </w:pPr>
      <w:r w:rsidRPr="009D4654">
        <w:rPr>
          <w:bCs/>
        </w:rPr>
        <w:t xml:space="preserve">6.3 </w:t>
      </w:r>
      <w:r w:rsidR="009D4654">
        <w:rPr>
          <w:b/>
        </w:rPr>
        <w:tab/>
      </w:r>
      <w:r>
        <w:rPr>
          <w:b/>
        </w:rPr>
        <w:t>Re</w:t>
      </w:r>
      <w:r w:rsidR="00FE4843">
        <w:rPr>
          <w:b/>
        </w:rPr>
        <w:t>sponding to an Allegation</w:t>
      </w:r>
    </w:p>
    <w:p w14:paraId="3559B328" w14:textId="4E103DEA" w:rsidR="00FE4843" w:rsidRDefault="00A06A94" w:rsidP="00DA3E99">
      <w:pPr>
        <w:spacing w:before="0"/>
        <w:ind w:left="709" w:hanging="709"/>
        <w:rPr>
          <w:bCs/>
        </w:rPr>
      </w:pPr>
      <w:r>
        <w:rPr>
          <w:bCs/>
        </w:rPr>
        <w:t>6.3.1</w:t>
      </w:r>
      <w:r>
        <w:rPr>
          <w:bCs/>
        </w:rPr>
        <w:tab/>
      </w:r>
      <w:r w:rsidR="00FE4843">
        <w:rPr>
          <w:bCs/>
        </w:rPr>
        <w:t>The LCFS is responsible for investigating all instances of fraud, bribery, or corruption at the ICB.</w:t>
      </w:r>
    </w:p>
    <w:p w14:paraId="6D3F8998" w14:textId="292BDB6C" w:rsidR="00FE4843" w:rsidRDefault="00A06A94" w:rsidP="00DA3E99">
      <w:pPr>
        <w:spacing w:before="0"/>
        <w:ind w:left="709" w:hanging="709"/>
        <w:rPr>
          <w:bCs/>
        </w:rPr>
      </w:pPr>
      <w:r>
        <w:rPr>
          <w:bCs/>
        </w:rPr>
        <w:t>6.3.2</w:t>
      </w:r>
      <w:r>
        <w:rPr>
          <w:bCs/>
        </w:rPr>
        <w:tab/>
      </w:r>
      <w:r w:rsidR="00FE4843">
        <w:rPr>
          <w:bCs/>
        </w:rPr>
        <w:t xml:space="preserve">Upon receipt of a referral / </w:t>
      </w:r>
      <w:r w:rsidR="00C8194F">
        <w:rPr>
          <w:bCs/>
        </w:rPr>
        <w:t>allegation of fraud, the LCFS will assess the allegation to determine a course of action. This may involve making preliminary enquiries</w:t>
      </w:r>
      <w:r w:rsidR="003D5E1F">
        <w:rPr>
          <w:bCs/>
        </w:rPr>
        <w:t>, such as obtaining information from ICB systems. A</w:t>
      </w:r>
      <w:r w:rsidR="00122C0D">
        <w:rPr>
          <w:bCs/>
        </w:rPr>
        <w:t xml:space="preserve">fter such preliminary enquiries, where appropriate, the LCFS will seek agreement from the CFO to undertake </w:t>
      </w:r>
      <w:r w:rsidR="003C3198">
        <w:rPr>
          <w:bCs/>
        </w:rPr>
        <w:t>an investigation.</w:t>
      </w:r>
    </w:p>
    <w:p w14:paraId="180CEAF3" w14:textId="229D758F" w:rsidR="003C3198" w:rsidRDefault="00A06A94" w:rsidP="00DA3E99">
      <w:pPr>
        <w:spacing w:before="0"/>
        <w:ind w:left="709" w:hanging="709"/>
        <w:rPr>
          <w:bCs/>
        </w:rPr>
      </w:pPr>
      <w:r>
        <w:rPr>
          <w:bCs/>
        </w:rPr>
        <w:t>6.3.3.</w:t>
      </w:r>
      <w:r>
        <w:rPr>
          <w:bCs/>
        </w:rPr>
        <w:tab/>
      </w:r>
      <w:r w:rsidR="003C3198">
        <w:rPr>
          <w:bCs/>
        </w:rPr>
        <w:t>If a criminal event is believed to have occurred but fraud, bribery, or corruption is not suspected, the polic</w:t>
      </w:r>
      <w:r w:rsidR="00BB4938">
        <w:rPr>
          <w:bCs/>
        </w:rPr>
        <w:t xml:space="preserve">e must be informed and the Local Security Management Specialist (LSMS) contacted if theft or arson is involved and, where appropriate, the Board and </w:t>
      </w:r>
      <w:r w:rsidR="004F6CB3">
        <w:rPr>
          <w:bCs/>
        </w:rPr>
        <w:t>external auditors, in accordance with the ICB’s Standing Financial Instructions.</w:t>
      </w:r>
    </w:p>
    <w:p w14:paraId="7C29DC51" w14:textId="3BC1ED30" w:rsidR="004F6CB3" w:rsidRDefault="00A06A94" w:rsidP="00DA3E99">
      <w:pPr>
        <w:spacing w:before="0"/>
        <w:ind w:left="709" w:hanging="709"/>
        <w:rPr>
          <w:bCs/>
        </w:rPr>
      </w:pPr>
      <w:r>
        <w:rPr>
          <w:bCs/>
        </w:rPr>
        <w:t xml:space="preserve">6.3.4. </w:t>
      </w:r>
      <w:r w:rsidR="004F6CB3">
        <w:rPr>
          <w:bCs/>
        </w:rPr>
        <w:t>The LCFS will report regularly to the CFO on all fraud, bribery, and corrupt</w:t>
      </w:r>
      <w:r w:rsidR="00E94DA1">
        <w:rPr>
          <w:bCs/>
        </w:rPr>
        <w:t>i</w:t>
      </w:r>
      <w:r w:rsidR="004F6CB3">
        <w:rPr>
          <w:bCs/>
        </w:rPr>
        <w:t xml:space="preserve">on </w:t>
      </w:r>
      <w:r w:rsidR="001267D5">
        <w:rPr>
          <w:bCs/>
        </w:rPr>
        <w:t>cases they investigate, as particular stages, of individual investigations. In addition, the LCFS will provide updates to the Audit Committee w</w:t>
      </w:r>
      <w:r w:rsidR="00E94DA1">
        <w:rPr>
          <w:bCs/>
        </w:rPr>
        <w:t>ith updates at meetings as to the progress of investigations.</w:t>
      </w:r>
    </w:p>
    <w:p w14:paraId="4B458F32" w14:textId="77777777" w:rsidR="0022425D" w:rsidRDefault="00A06A94" w:rsidP="00A06A94">
      <w:pPr>
        <w:ind w:left="709" w:hanging="709"/>
        <w:rPr>
          <w:bCs/>
        </w:rPr>
      </w:pPr>
      <w:r>
        <w:rPr>
          <w:bCs/>
        </w:rPr>
        <w:t>6.3.5.</w:t>
      </w:r>
      <w:r>
        <w:rPr>
          <w:bCs/>
        </w:rPr>
        <w:tab/>
      </w:r>
      <w:r w:rsidR="00E94DA1">
        <w:rPr>
          <w:bCs/>
        </w:rPr>
        <w:t>De</w:t>
      </w:r>
      <w:r>
        <w:rPr>
          <w:bCs/>
        </w:rPr>
        <w:t xml:space="preserve">tailed arrangements for the investigation </w:t>
      </w:r>
      <w:r w:rsidR="00DE7650">
        <w:rPr>
          <w:bCs/>
        </w:rPr>
        <w:t>of any suspected fraud, bribery, or corruption are contained within the NHS Counter Fraud and Corruption Manual and within relevant ICB policies. The LCFS will record the progress of each investigation</w:t>
      </w:r>
      <w:r w:rsidR="00FD462F">
        <w:rPr>
          <w:bCs/>
        </w:rPr>
        <w:t xml:space="preserve"> in accordance with the legal codes of practice (Police and Criminal Evidence Act 1984</w:t>
      </w:r>
      <w:r w:rsidR="004D7EF6">
        <w:rPr>
          <w:bCs/>
        </w:rPr>
        <w:t>, Regulation of Investigatory Powers Act 2000, Criminal Procedures and Investigation Act</w:t>
      </w:r>
      <w:r w:rsidR="0022425D">
        <w:rPr>
          <w:bCs/>
        </w:rPr>
        <w:t xml:space="preserve"> 1996, and other legislative requirements e.g., Data Protection Act 2018.</w:t>
      </w:r>
    </w:p>
    <w:p w14:paraId="2D41AA21" w14:textId="70522728" w:rsidR="007368AE" w:rsidRDefault="0022425D" w:rsidP="00A06A94">
      <w:pPr>
        <w:ind w:left="709" w:hanging="709"/>
        <w:rPr>
          <w:bCs/>
        </w:rPr>
      </w:pPr>
      <w:r>
        <w:rPr>
          <w:bCs/>
        </w:rPr>
        <w:t>6.3.6.</w:t>
      </w:r>
      <w:r>
        <w:rPr>
          <w:bCs/>
        </w:rPr>
        <w:tab/>
      </w:r>
      <w:r w:rsidR="001158B7">
        <w:rPr>
          <w:bCs/>
        </w:rPr>
        <w:t xml:space="preserve">Upon conclusion of an investigation, the LCFS will report their findings and any recommendations to the CFO. The CFO is the sole person who can determine </w:t>
      </w:r>
      <w:r w:rsidR="007368AE">
        <w:rPr>
          <w:bCs/>
        </w:rPr>
        <w:t>whether formal action is justified and what form such action takes; however, guidance can be sought, where required.</w:t>
      </w:r>
    </w:p>
    <w:p w14:paraId="4C7A847C" w14:textId="77777777" w:rsidR="00D5411F" w:rsidRDefault="007368AE" w:rsidP="00A06A94">
      <w:pPr>
        <w:ind w:left="709" w:hanging="709"/>
        <w:rPr>
          <w:bCs/>
        </w:rPr>
      </w:pPr>
      <w:r>
        <w:rPr>
          <w:bCs/>
        </w:rPr>
        <w:t>6.3.7.</w:t>
      </w:r>
      <w:r>
        <w:rPr>
          <w:bCs/>
        </w:rPr>
        <w:tab/>
        <w:t>If the CFO decides that formal action is to be taken against the subject(s) of an investigation, the LCFS will compl</w:t>
      </w:r>
      <w:r w:rsidR="00D717D4">
        <w:rPr>
          <w:bCs/>
        </w:rPr>
        <w:t>y with the NHS CFA’s ‘Applying Appropriate Sanctions Consistently’ policy. T</w:t>
      </w:r>
      <w:r w:rsidR="00D5411F">
        <w:rPr>
          <w:bCs/>
        </w:rPr>
        <w:t>his will involve using a sanction, or combination of sanctions, as follows:</w:t>
      </w:r>
    </w:p>
    <w:p w14:paraId="68BA8FEA" w14:textId="3D061B9E" w:rsidR="00E94DA1" w:rsidRDefault="006B138B" w:rsidP="006B138B">
      <w:pPr>
        <w:pStyle w:val="ListParagraph"/>
        <w:numPr>
          <w:ilvl w:val="0"/>
          <w:numId w:val="49"/>
        </w:numPr>
        <w:ind w:left="993" w:hanging="284"/>
        <w:rPr>
          <w:bCs/>
        </w:rPr>
      </w:pPr>
      <w:r>
        <w:rPr>
          <w:bCs/>
        </w:rPr>
        <w:t>Disciplinary action: internal and / or professional regulatory body (warning, dismissal).</w:t>
      </w:r>
    </w:p>
    <w:p w14:paraId="1DF6631C" w14:textId="21AC8C82" w:rsidR="006B138B" w:rsidRDefault="006B138B" w:rsidP="006B138B">
      <w:pPr>
        <w:pStyle w:val="ListParagraph"/>
        <w:numPr>
          <w:ilvl w:val="0"/>
          <w:numId w:val="49"/>
        </w:numPr>
        <w:ind w:left="993" w:hanging="284"/>
        <w:rPr>
          <w:bCs/>
        </w:rPr>
      </w:pPr>
      <w:r>
        <w:rPr>
          <w:bCs/>
        </w:rPr>
        <w:lastRenderedPageBreak/>
        <w:t>Civil action: recovery of money, interest, and costs.</w:t>
      </w:r>
    </w:p>
    <w:p w14:paraId="70571F64" w14:textId="76C292BA" w:rsidR="006B138B" w:rsidRDefault="00ED016E" w:rsidP="006B138B">
      <w:pPr>
        <w:pStyle w:val="ListParagraph"/>
        <w:numPr>
          <w:ilvl w:val="0"/>
          <w:numId w:val="49"/>
        </w:numPr>
        <w:ind w:left="993" w:hanging="284"/>
        <w:rPr>
          <w:bCs/>
        </w:rPr>
      </w:pPr>
      <w:r>
        <w:rPr>
          <w:bCs/>
        </w:rPr>
        <w:t>Criminal prosecution: may result in imprisonment, community penalty, fine, confiscation, or compensation.</w:t>
      </w:r>
    </w:p>
    <w:p w14:paraId="149BF9EE" w14:textId="058B2AD5" w:rsidR="00ED016E" w:rsidRDefault="00ED016E" w:rsidP="00ED016E">
      <w:pPr>
        <w:ind w:left="709"/>
      </w:pPr>
      <w:r>
        <w:rPr>
          <w:bCs/>
        </w:rPr>
        <w:t>The use of parallel sanctions</w:t>
      </w:r>
      <w:r w:rsidR="009E47E9">
        <w:rPr>
          <w:bCs/>
        </w:rPr>
        <w:t xml:space="preserve"> or the </w:t>
      </w:r>
      <w:r w:rsidR="009E47E9">
        <w:rPr>
          <w:bCs/>
          <w:i/>
          <w:iCs/>
        </w:rPr>
        <w:t>‘triple track’</w:t>
      </w:r>
      <w:r w:rsidR="009E47E9">
        <w:t xml:space="preserve"> approach helps to maximise the recovery of NHS funds and assets whilst minimising duplication of work.</w:t>
      </w:r>
    </w:p>
    <w:p w14:paraId="467445EC" w14:textId="0D1BB1E7" w:rsidR="00120D06" w:rsidRDefault="00120D06" w:rsidP="00A820F2">
      <w:pPr>
        <w:ind w:left="709" w:hanging="709"/>
      </w:pPr>
      <w:r>
        <w:t>6.3.8</w:t>
      </w:r>
      <w:r>
        <w:tab/>
        <w:t>The ICB’s Disciplinary Policy</w:t>
      </w:r>
      <w:r w:rsidR="00D46533">
        <w:t xml:space="preserve"> will be used where the outcome of the investigation indicates improper behaviour on the part of staff. The LCFS s</w:t>
      </w:r>
      <w:r w:rsidR="00F7384A">
        <w:t xml:space="preserve">hall liaise with the </w:t>
      </w:r>
      <w:r w:rsidR="006155F4">
        <w:t>People Directorate</w:t>
      </w:r>
      <w:r w:rsidR="002415D8">
        <w:t xml:space="preserve"> regarding the provision of evidence for disciplinary hearings. Where the ICB has suffered a financial loss from a fraud, the ICB will pursue </w:t>
      </w:r>
      <w:r w:rsidR="00B95773">
        <w:t xml:space="preserve">recovery in all applicable </w:t>
      </w:r>
      <w:r w:rsidR="00A412D7">
        <w:t>cases, subject to authorisation from the CFO.</w:t>
      </w:r>
    </w:p>
    <w:p w14:paraId="218E01C0" w14:textId="0B23BC23" w:rsidR="00B1202D" w:rsidRDefault="008C4499" w:rsidP="00A820F2">
      <w:pPr>
        <w:ind w:left="709" w:hanging="709"/>
        <w:rPr>
          <w:b/>
          <w:bCs/>
        </w:rPr>
      </w:pPr>
      <w:r>
        <w:rPr>
          <w:b/>
          <w:bCs/>
        </w:rPr>
        <w:t xml:space="preserve">6.4 </w:t>
      </w:r>
      <w:r>
        <w:rPr>
          <w:b/>
          <w:bCs/>
        </w:rPr>
        <w:tab/>
        <w:t>Sanctions and Redress</w:t>
      </w:r>
    </w:p>
    <w:p w14:paraId="161B8B98" w14:textId="4EE3CE3F" w:rsidR="008C4499" w:rsidRDefault="008C4499" w:rsidP="00A820F2">
      <w:pPr>
        <w:ind w:left="709" w:hanging="709"/>
      </w:pPr>
      <w:r>
        <w:t>6.4.1.</w:t>
      </w:r>
      <w:r>
        <w:tab/>
        <w:t>Th</w:t>
      </w:r>
      <w:r w:rsidR="0012088C">
        <w:t>e types of sanction which the ICB may apply when a fraud, bribery, or corruption offence has occurred are as follows:</w:t>
      </w:r>
    </w:p>
    <w:p w14:paraId="5BC3327C" w14:textId="10BE671D" w:rsidR="0012088C" w:rsidRDefault="0012088C" w:rsidP="00FE1D48">
      <w:pPr>
        <w:pStyle w:val="ListParagraph"/>
        <w:numPr>
          <w:ilvl w:val="0"/>
          <w:numId w:val="50"/>
        </w:numPr>
        <w:ind w:left="993" w:hanging="284"/>
      </w:pPr>
      <w:r>
        <w:rPr>
          <w:b/>
          <w:bCs/>
        </w:rPr>
        <w:t>Civil</w:t>
      </w:r>
      <w:r w:rsidR="00FE1D48">
        <w:rPr>
          <w:b/>
          <w:bCs/>
        </w:rPr>
        <w:t xml:space="preserve"> -</w:t>
      </w:r>
      <w:r>
        <w:t xml:space="preserve"> </w:t>
      </w:r>
      <w:r w:rsidR="00FE1D48">
        <w:t xml:space="preserve">Civil sanctions can be taken against those who commit fraud, bribery, and corruption to recover </w:t>
      </w:r>
      <w:r w:rsidR="00F44809">
        <w:t>money and / or assets which have been fraudulently obtained, including interests and costs.</w:t>
      </w:r>
    </w:p>
    <w:p w14:paraId="29E4E959" w14:textId="55410EE2" w:rsidR="00F44809" w:rsidRDefault="00F44809" w:rsidP="00FE1D48">
      <w:pPr>
        <w:pStyle w:val="ListParagraph"/>
        <w:numPr>
          <w:ilvl w:val="0"/>
          <w:numId w:val="50"/>
        </w:numPr>
        <w:ind w:left="993" w:hanging="284"/>
      </w:pPr>
      <w:r>
        <w:rPr>
          <w:b/>
          <w:bCs/>
        </w:rPr>
        <w:t>Criminal</w:t>
      </w:r>
      <w:r>
        <w:t xml:space="preserve"> – The LCFS will work in partnership with the NHS CFA, the police</w:t>
      </w:r>
      <w:r w:rsidR="00436CB7">
        <w:t xml:space="preserve">, and / or </w:t>
      </w:r>
      <w:r>
        <w:t xml:space="preserve">the Crown Prosecution Service </w:t>
      </w:r>
      <w:r w:rsidR="00436CB7">
        <w:t>(CPS) to bring a case to court a</w:t>
      </w:r>
      <w:r w:rsidR="00964C50">
        <w:t>gainst the offender. Criminal prosecution</w:t>
      </w:r>
      <w:r w:rsidR="0099490B">
        <w:t xml:space="preserve"> can potentially result in fines, imprisonment, community penalties, confiscations, and / or compensations, as well as a criminal record.</w:t>
      </w:r>
    </w:p>
    <w:p w14:paraId="37CF325D" w14:textId="1DF34F41" w:rsidR="0099490B" w:rsidRDefault="0099490B" w:rsidP="00FE1D48">
      <w:pPr>
        <w:pStyle w:val="ListParagraph"/>
        <w:numPr>
          <w:ilvl w:val="0"/>
          <w:numId w:val="50"/>
        </w:numPr>
        <w:ind w:left="993" w:hanging="284"/>
      </w:pPr>
      <w:r>
        <w:rPr>
          <w:b/>
          <w:bCs/>
        </w:rPr>
        <w:t>Disciplinary Action by the Employing Body</w:t>
      </w:r>
      <w:r>
        <w:t xml:space="preserve"> – Disciplinary procedures will be pursued by the ICB where an employee is suspected of being involved in a fraudulent </w:t>
      </w:r>
      <w:r w:rsidR="008E63EA">
        <w:t>or illegal act or when their negligent action has led to a fraud being perpetrated. Further information can be found in the</w:t>
      </w:r>
      <w:r w:rsidR="00BF458D">
        <w:t xml:space="preserve"> </w:t>
      </w:r>
      <w:hyperlink r:id="rId25" w:history="1">
        <w:r w:rsidR="00BF458D" w:rsidRPr="005316FD">
          <w:rPr>
            <w:rStyle w:val="Hyperlink"/>
          </w:rPr>
          <w:t>ICB Disciplinary Policy</w:t>
        </w:r>
      </w:hyperlink>
      <w:r w:rsidR="00E42F08">
        <w:t xml:space="preserve">. It should be noted, however, </w:t>
      </w:r>
      <w:r w:rsidR="00E07F8A">
        <w:t>that the duty to follow</w:t>
      </w:r>
      <w:r w:rsidR="003E276B">
        <w:t xml:space="preserve"> disciplinary procedures will not override the need for legal action e.g., consideration of criminal action. In the event of doubt, legal statute will prevail.</w:t>
      </w:r>
    </w:p>
    <w:p w14:paraId="15D0090A" w14:textId="1D94C21B" w:rsidR="00737B6D" w:rsidRDefault="00737B6D" w:rsidP="00FE1D48">
      <w:pPr>
        <w:pStyle w:val="ListParagraph"/>
        <w:numPr>
          <w:ilvl w:val="0"/>
          <w:numId w:val="50"/>
        </w:numPr>
        <w:ind w:left="993" w:hanging="284"/>
      </w:pPr>
      <w:r>
        <w:rPr>
          <w:b/>
          <w:bCs/>
        </w:rPr>
        <w:t>Disciplinary Action by a Regulatory Body</w:t>
      </w:r>
      <w:r>
        <w:t xml:space="preserve"> – If warranted, an employee may be reported to their professional body as a result of an investigation and / or prosecution.</w:t>
      </w:r>
    </w:p>
    <w:p w14:paraId="7B75F2D5" w14:textId="70776F71" w:rsidR="00737B6D" w:rsidRPr="008C4499" w:rsidRDefault="00737B6D" w:rsidP="00FE1D48">
      <w:pPr>
        <w:pStyle w:val="ListParagraph"/>
        <w:numPr>
          <w:ilvl w:val="0"/>
          <w:numId w:val="50"/>
        </w:numPr>
        <w:ind w:left="993" w:hanging="284"/>
      </w:pPr>
      <w:r>
        <w:rPr>
          <w:b/>
          <w:bCs/>
        </w:rPr>
        <w:t xml:space="preserve">Financial Recovery </w:t>
      </w:r>
      <w:r>
        <w:t>– The ICB will seek financial redress whenever possible to recover losses to fraud, bribery, or corruption. Redress can take the form of confiscation under the Proceeds of Crime Act 2002</w:t>
      </w:r>
      <w:r w:rsidR="00627C7A">
        <w:t xml:space="preserve">, compensation orders, a civil order for repayment, or a local agreement between the ICB and the offender to repay </w:t>
      </w:r>
      <w:r w:rsidR="008E2389">
        <w:t>monies lost. Financial redress resources that are lost to fraud, bribery, or corruption to be returned to the NHS for use as intended.</w:t>
      </w:r>
    </w:p>
    <w:p w14:paraId="27AC5894" w14:textId="77777777" w:rsidR="00F86C52" w:rsidRDefault="00F86C52" w:rsidP="00012305">
      <w:pPr>
        <w:pStyle w:val="Heading1"/>
      </w:pPr>
      <w:bookmarkStart w:id="14" w:name="_Toc210650407"/>
      <w:bookmarkStart w:id="15" w:name="_Toc84611056"/>
      <w:r>
        <w:t>Approach to Tackling Economic Crime</w:t>
      </w:r>
      <w:bookmarkEnd w:id="14"/>
    </w:p>
    <w:bookmarkEnd w:id="15"/>
    <w:p w14:paraId="2C750198" w14:textId="22AC9E89" w:rsidR="002E049E" w:rsidRPr="00F86C52" w:rsidRDefault="002E049E" w:rsidP="00F86C52">
      <w:pPr>
        <w:pStyle w:val="Heading2"/>
        <w:rPr>
          <w:b/>
          <w:bCs w:val="0"/>
        </w:rPr>
      </w:pPr>
      <w:r w:rsidRPr="00F86C52">
        <w:rPr>
          <w:b/>
          <w:bCs w:val="0"/>
        </w:rPr>
        <w:t xml:space="preserve">Strategic Governance </w:t>
      </w:r>
    </w:p>
    <w:p w14:paraId="387E8089" w14:textId="7833EAC0" w:rsidR="002E049E" w:rsidRDefault="00F3042B" w:rsidP="00DA3E99">
      <w:pPr>
        <w:pStyle w:val="Heading3"/>
      </w:pPr>
      <w:r>
        <w:t>The</w:t>
      </w:r>
      <w:r w:rsidR="00442A2F" w:rsidRPr="00F86C52">
        <w:t xml:space="preserve"> ICB</w:t>
      </w:r>
      <w:r w:rsidR="002E049E" w:rsidRPr="00F86C52">
        <w:t xml:space="preserve"> will ensure there is support for work to tackle Economic Crime at all levels </w:t>
      </w:r>
      <w:r w:rsidR="00C835FB" w:rsidRPr="00F86C52">
        <w:tab/>
      </w:r>
      <w:r w:rsidR="002E049E" w:rsidRPr="00F86C52">
        <w:t xml:space="preserve">with the organisation. The </w:t>
      </w:r>
      <w:r w:rsidR="000A3FFF">
        <w:t>Executive Chief Finance Officer</w:t>
      </w:r>
      <w:r w:rsidR="00526F4F" w:rsidRPr="00F86C52">
        <w:t xml:space="preserve"> </w:t>
      </w:r>
      <w:r w:rsidR="002E049E" w:rsidRPr="00F86C52">
        <w:t xml:space="preserve">will have </w:t>
      </w:r>
      <w:r w:rsidR="002E049E" w:rsidRPr="00F86C52">
        <w:lastRenderedPageBreak/>
        <w:t>overall responsibility for</w:t>
      </w:r>
      <w:r w:rsidR="00367BF6" w:rsidRPr="00F86C52">
        <w:t xml:space="preserve"> </w:t>
      </w:r>
      <w:r w:rsidR="002E049E" w:rsidRPr="00F86C52">
        <w:t xml:space="preserve">overseeing and providing strategic management and support for the work, ensuring it is embedded across </w:t>
      </w:r>
      <w:r w:rsidR="00F86C52" w:rsidRPr="00F86C52">
        <w:t xml:space="preserve">the </w:t>
      </w:r>
      <w:r w:rsidR="00C835FB" w:rsidRPr="00F86C52">
        <w:t>ICB</w:t>
      </w:r>
      <w:r w:rsidR="00256131" w:rsidRPr="00F86C52">
        <w:t>. All counter fraud work will be aligned to the NHS</w:t>
      </w:r>
      <w:r w:rsidR="00DA3E99">
        <w:t xml:space="preserve"> </w:t>
      </w:r>
      <w:r w:rsidR="00256131" w:rsidRPr="00F86C52">
        <w:t>CFA strategy.</w:t>
      </w:r>
    </w:p>
    <w:p w14:paraId="0E30AB5E" w14:textId="20D7DAC3" w:rsidR="002E049E" w:rsidRDefault="002E049E" w:rsidP="00DA3E99">
      <w:pPr>
        <w:pStyle w:val="Heading3"/>
      </w:pPr>
      <w:r>
        <w:t xml:space="preserve">Furthermore, </w:t>
      </w:r>
      <w:r w:rsidR="00F3042B">
        <w:t>the</w:t>
      </w:r>
      <w:r w:rsidR="00C835FB">
        <w:t xml:space="preserve"> ICB</w:t>
      </w:r>
      <w:r w:rsidRPr="002D3CB5">
        <w:rPr>
          <w:b/>
        </w:rPr>
        <w:t xml:space="preserve"> </w:t>
      </w:r>
      <w:r>
        <w:t xml:space="preserve">will undertake the full range of work against economic crime. </w:t>
      </w:r>
    </w:p>
    <w:p w14:paraId="22916473" w14:textId="136579EF" w:rsidR="00F86C52" w:rsidRPr="00F86C52" w:rsidRDefault="00F86C52" w:rsidP="00DA3E99">
      <w:pPr>
        <w:pStyle w:val="Heading3"/>
      </w:pPr>
      <w:r w:rsidRPr="00F86C52">
        <w:rPr>
          <w:rStyle w:val="Heading3Char"/>
        </w:rPr>
        <w:t>A local risk assessment based on the NHS</w:t>
      </w:r>
      <w:r w:rsidR="00AD79DB">
        <w:rPr>
          <w:rStyle w:val="Heading3Char"/>
        </w:rPr>
        <w:t xml:space="preserve"> </w:t>
      </w:r>
      <w:r w:rsidRPr="00F86C52">
        <w:rPr>
          <w:rStyle w:val="Heading3Char"/>
        </w:rPr>
        <w:t>CFA Risk Descriptors and other influencing factors will form the basis of an annual Counter Fraud Plan setting out the work scheduled for the year and authorised by the Audit Committee</w:t>
      </w:r>
      <w:r>
        <w:t>.</w:t>
      </w:r>
    </w:p>
    <w:p w14:paraId="4123C4BA" w14:textId="46B689A9" w:rsidR="002E049E" w:rsidRPr="00F86C52" w:rsidRDefault="002E049E" w:rsidP="00DA3E99">
      <w:pPr>
        <w:pStyle w:val="Heading2"/>
        <w:rPr>
          <w:b/>
          <w:bCs w:val="0"/>
        </w:rPr>
      </w:pPr>
      <w:r w:rsidRPr="00F86C52">
        <w:rPr>
          <w:b/>
          <w:bCs w:val="0"/>
        </w:rPr>
        <w:t>Key Principles for Action</w:t>
      </w:r>
    </w:p>
    <w:p w14:paraId="143EE911" w14:textId="15AC9921" w:rsidR="002E049E" w:rsidRDefault="002E049E" w:rsidP="00DA3E99">
      <w:pPr>
        <w:pStyle w:val="Heading3"/>
      </w:pPr>
      <w:r>
        <w:t>In order to tackle economic crime</w:t>
      </w:r>
      <w:r w:rsidRPr="00E47E6A">
        <w:t>,</w:t>
      </w:r>
      <w:r w:rsidR="00F3042B">
        <w:t xml:space="preserve"> the</w:t>
      </w:r>
      <w:r w:rsidR="00C835FB">
        <w:t xml:space="preserve"> ICB</w:t>
      </w:r>
      <w:r w:rsidRPr="002D3CB5">
        <w:rPr>
          <w:b/>
        </w:rPr>
        <w:t xml:space="preserve"> </w:t>
      </w:r>
      <w:r>
        <w:t>will take a multi-faceted approach that is both proactive and reactive. This approach is set out in the following three key principles for action:</w:t>
      </w:r>
    </w:p>
    <w:p w14:paraId="4C7FEE51" w14:textId="0F3F036E" w:rsidR="002E049E" w:rsidRPr="00F86C52" w:rsidRDefault="002E049E" w:rsidP="00DA3E99">
      <w:pPr>
        <w:rPr>
          <w:i/>
          <w:iCs/>
        </w:rPr>
      </w:pPr>
      <w:r w:rsidRPr="00F86C52">
        <w:rPr>
          <w:i/>
          <w:iCs/>
        </w:rPr>
        <w:t>Inform and Involve</w:t>
      </w:r>
    </w:p>
    <w:p w14:paraId="62E67BA8" w14:textId="32D2D9EB" w:rsidR="002E049E" w:rsidRDefault="00F3042B" w:rsidP="00DA3E99">
      <w:pPr>
        <w:pStyle w:val="Heading3"/>
      </w:pPr>
      <w:r>
        <w:t>The</w:t>
      </w:r>
      <w:r w:rsidR="00C835FB">
        <w:t xml:space="preserve"> ICB</w:t>
      </w:r>
      <w:r w:rsidR="002E049E" w:rsidRPr="002D3CB5">
        <w:rPr>
          <w:b/>
        </w:rPr>
        <w:t xml:space="preserve"> </w:t>
      </w:r>
      <w:r w:rsidR="002E049E">
        <w:t xml:space="preserve">will ensure all its </w:t>
      </w:r>
      <w:r w:rsidR="00F92F0B">
        <w:t>employees</w:t>
      </w:r>
      <w:r w:rsidR="002E049E">
        <w:t xml:space="preserve"> understand what economic crime is, and their role in ensuring they follow the correct reporting procedures. This can take place through communications and promotions, such as awareness campaigns, newsletters and presentations. </w:t>
      </w:r>
    </w:p>
    <w:p w14:paraId="3F22BAE4" w14:textId="3F29EFB7" w:rsidR="002E049E" w:rsidRPr="00F86C52" w:rsidRDefault="002E049E" w:rsidP="00DA3E99">
      <w:pPr>
        <w:rPr>
          <w:i/>
          <w:iCs/>
        </w:rPr>
      </w:pPr>
      <w:r w:rsidRPr="00F86C52">
        <w:rPr>
          <w:i/>
          <w:iCs/>
        </w:rPr>
        <w:t xml:space="preserve">Prevent and Deter </w:t>
      </w:r>
    </w:p>
    <w:p w14:paraId="32689505" w14:textId="0E94E13D" w:rsidR="002E049E" w:rsidRDefault="00F3042B" w:rsidP="00F86C52">
      <w:pPr>
        <w:pStyle w:val="Heading3"/>
      </w:pPr>
      <w:r>
        <w:rPr>
          <w:rStyle w:val="Heading3Char"/>
        </w:rPr>
        <w:t>The</w:t>
      </w:r>
      <w:r w:rsidR="00C835FB" w:rsidRPr="00F86C52">
        <w:rPr>
          <w:rStyle w:val="Heading3Char"/>
        </w:rPr>
        <w:t xml:space="preserve"> ICB</w:t>
      </w:r>
      <w:r w:rsidR="002E049E" w:rsidRPr="00F86C52">
        <w:rPr>
          <w:rStyle w:val="Heading3Char"/>
        </w:rPr>
        <w:t xml:space="preserve"> will remove opportunities for economic crime to occur and discourage those individuals who may be tempted to commit these crimes. Successes will be publicised so that the risk and consequences of detection are clear to potential offenders. Those individuals who are not deterred should be prevented from</w:t>
      </w:r>
      <w:r w:rsidR="00DD0872">
        <w:rPr>
          <w:rStyle w:val="Heading3Char"/>
        </w:rPr>
        <w:t xml:space="preserve"> </w:t>
      </w:r>
      <w:r w:rsidR="002E049E" w:rsidRPr="00F86C52">
        <w:rPr>
          <w:rStyle w:val="Heading3Char"/>
        </w:rPr>
        <w:t>committing crime by ensuring robust systems are in place</w:t>
      </w:r>
      <w:r w:rsidR="002E049E">
        <w:t xml:space="preserve">. </w:t>
      </w:r>
    </w:p>
    <w:p w14:paraId="7129B2A3" w14:textId="210DBB71" w:rsidR="002E049E" w:rsidRPr="00F86C52" w:rsidRDefault="002E049E" w:rsidP="00F86C52">
      <w:pPr>
        <w:rPr>
          <w:i/>
          <w:iCs/>
        </w:rPr>
      </w:pPr>
      <w:r w:rsidRPr="00F86C52">
        <w:rPr>
          <w:i/>
          <w:iCs/>
        </w:rPr>
        <w:t xml:space="preserve">Hold to account </w:t>
      </w:r>
    </w:p>
    <w:p w14:paraId="67B6FE8A" w14:textId="21EE0929" w:rsidR="002E049E" w:rsidRDefault="00F3042B" w:rsidP="00F3042B">
      <w:pPr>
        <w:pStyle w:val="Heading3"/>
      </w:pPr>
      <w:r>
        <w:t>The</w:t>
      </w:r>
      <w:r w:rsidR="00C835FB">
        <w:t xml:space="preserve"> ICB</w:t>
      </w:r>
      <w:r w:rsidR="002E049E" w:rsidRPr="002D3CB5">
        <w:rPr>
          <w:b/>
        </w:rPr>
        <w:t xml:space="preserve"> </w:t>
      </w:r>
      <w:r w:rsidR="002E049E">
        <w:t>will ensure those who have committed economic crime against it are held t</w:t>
      </w:r>
      <w:r w:rsidR="001D5A06">
        <w:t xml:space="preserve">o </w:t>
      </w:r>
      <w:r w:rsidR="002E049E">
        <w:t xml:space="preserve">account for their actions. </w:t>
      </w:r>
      <w:r w:rsidR="00F610F9">
        <w:t>MSE ICB</w:t>
      </w:r>
      <w:r w:rsidR="003F5258" w:rsidRPr="002D3CB5">
        <w:rPr>
          <w:b/>
        </w:rPr>
        <w:t xml:space="preserve"> </w:t>
      </w:r>
      <w:r w:rsidR="002E049E">
        <w:t>will ensure professionally trained</w:t>
      </w:r>
      <w:r w:rsidR="001D73FA">
        <w:t xml:space="preserve"> </w:t>
      </w:r>
      <w:r w:rsidR="002E049E">
        <w:t>specialists are in place to detect and investigate these offences and will seek to apply the full range of sanctions to those found to have committed fraud, bribery or corruption, including criminal, civil and disciplinary sanctions</w:t>
      </w:r>
      <w:r>
        <w:t>.</w:t>
      </w:r>
      <w:r w:rsidR="00F92F0B">
        <w:t xml:space="preserve"> Disciplinary sanctions </w:t>
      </w:r>
      <w:r>
        <w:t xml:space="preserve">will be </w:t>
      </w:r>
      <w:r w:rsidR="00F92F0B">
        <w:t xml:space="preserve">carried out by </w:t>
      </w:r>
      <w:r w:rsidR="006507D3">
        <w:t xml:space="preserve">People Directorate </w:t>
      </w:r>
      <w:r w:rsidR="00F92F0B">
        <w:t>supported by the LCFS as appropriate</w:t>
      </w:r>
      <w:r w:rsidR="002E049E" w:rsidRPr="00E47E6A">
        <w:t xml:space="preserve">. </w:t>
      </w:r>
    </w:p>
    <w:p w14:paraId="50FF9F74" w14:textId="204B3777" w:rsidR="00AC0648" w:rsidRPr="00AC0648" w:rsidRDefault="00F3042B" w:rsidP="00D1147D">
      <w:pPr>
        <w:pStyle w:val="Heading3"/>
      </w:pPr>
      <w:r>
        <w:t>The</w:t>
      </w:r>
      <w:r w:rsidR="00C835FB">
        <w:t xml:space="preserve"> ICB</w:t>
      </w:r>
      <w:r w:rsidR="002E049E" w:rsidRPr="00D1147D">
        <w:rPr>
          <w:b/>
        </w:rPr>
        <w:t xml:space="preserve"> </w:t>
      </w:r>
      <w:r w:rsidR="002E049E">
        <w:t>will also seek to recover all funds lost to economic crime.</w:t>
      </w:r>
    </w:p>
    <w:p w14:paraId="7AB7867B" w14:textId="0AFDF756" w:rsidR="00A33756" w:rsidRDefault="00A33756" w:rsidP="00012305">
      <w:pPr>
        <w:pStyle w:val="Heading1"/>
      </w:pPr>
      <w:bookmarkStart w:id="16" w:name="_Toc84611059"/>
      <w:bookmarkStart w:id="17" w:name="_Toc210650408"/>
      <w:r>
        <w:t>M</w:t>
      </w:r>
      <w:r w:rsidR="00012305">
        <w:t>onitoring Compliance</w:t>
      </w:r>
      <w:bookmarkEnd w:id="16"/>
      <w:bookmarkEnd w:id="17"/>
    </w:p>
    <w:p w14:paraId="3CB0A88B" w14:textId="4796F85D" w:rsidR="00B065F8" w:rsidRDefault="00B45EF0" w:rsidP="00F3042B">
      <w:pPr>
        <w:pStyle w:val="Heading2"/>
      </w:pPr>
      <w:r w:rsidRPr="00F3042B">
        <w:lastRenderedPageBreak/>
        <w:t>Awareness of and compliance with the policies and procedures laid down in this document will be monitored by NHS</w:t>
      </w:r>
      <w:r w:rsidR="00D1147D">
        <w:t xml:space="preserve"> </w:t>
      </w:r>
      <w:r w:rsidRPr="00F3042B">
        <w:t>CFA, as part of their quality assurance programme. Independent reviews may be conducted by both Internal and External Audit on a periodic basis</w:t>
      </w:r>
      <w:r w:rsidR="00B065F8">
        <w:t>.</w:t>
      </w:r>
    </w:p>
    <w:p w14:paraId="1B428EC4" w14:textId="77777777" w:rsidR="00FE6A76" w:rsidRDefault="00B065F8" w:rsidP="00F3042B">
      <w:pPr>
        <w:pStyle w:val="Heading2"/>
      </w:pPr>
      <w:r>
        <w:t xml:space="preserve">Service Conditions Section 24 of the </w:t>
      </w:r>
      <w:r w:rsidR="00601A86">
        <w:t>Standard NHS Contract relates to the expectations surrounding anti-crime arrangements. Under</w:t>
      </w:r>
      <w:r w:rsidR="00FE6A76">
        <w:t xml:space="preserve"> the NHS Standard Contract, all organisations providing NHS services are required to put in place appropriate counter fraud arrangements.</w:t>
      </w:r>
    </w:p>
    <w:p w14:paraId="558F24BC" w14:textId="77777777" w:rsidR="00F46445" w:rsidRDefault="00FE6A76" w:rsidP="00F3042B">
      <w:pPr>
        <w:pStyle w:val="Heading2"/>
      </w:pPr>
      <w:r>
        <w:t>The Government Functional Standard 013: Counter Fraud sets the expectations for the management of fraud, bribery, and corruption risk</w:t>
      </w:r>
      <w:r w:rsidR="00203DFA">
        <w:t xml:space="preserve"> in government organisations and wider public services, whilst reinforcing the government’s commitment to fighting fraud against the public sector</w:t>
      </w:r>
      <w:r w:rsidR="009E1E6B">
        <w:t>. Since April 2021, all NHS organisations have been required to provide assurance</w:t>
      </w:r>
      <w:r w:rsidR="005B2C57">
        <w:t xml:space="preserve"> against the Functional Standard. This should be overseen by the ICB’s CFO, as the accountable officer for fraud, and Audit Committee and in line with the ICB’s existing approach aga</w:t>
      </w:r>
      <w:r w:rsidR="00F46445">
        <w:t>inst counter fraud requirements.</w:t>
      </w:r>
    </w:p>
    <w:p w14:paraId="5B6CB6BE" w14:textId="77777777" w:rsidR="00CD7317" w:rsidRDefault="00F46445" w:rsidP="00CD7317">
      <w:pPr>
        <w:pStyle w:val="Heading2"/>
      </w:pPr>
      <w:r>
        <w:t>On an annual basis, organisations are expected to complete a year-end return against the Functional Standard, and to submit the results to the NHS CFA.</w:t>
      </w:r>
      <w:r w:rsidR="00CD7317">
        <w:t xml:space="preserve"> </w:t>
      </w:r>
      <w:r>
        <w:t xml:space="preserve">The LCFS submits the </w:t>
      </w:r>
      <w:r w:rsidR="00CD7317">
        <w:t>year-end return against the Functional Standard, after signed agreement and approval from the CFO and Audit Committee Chair.</w:t>
      </w:r>
    </w:p>
    <w:p w14:paraId="7E2AC987" w14:textId="1C3DA1AB" w:rsidR="00B45EF0" w:rsidRPr="00F3042B" w:rsidRDefault="00CD7317" w:rsidP="00CD7317">
      <w:pPr>
        <w:pStyle w:val="Heading2"/>
      </w:pPr>
      <w:r>
        <w:t xml:space="preserve">The LCFS will produce an annual report, providing a summary of the work conducted against </w:t>
      </w:r>
      <w:r w:rsidR="009D1EA3">
        <w:t xml:space="preserve">components of the Government Functional Standard. To comply with the Functional Standard, the annual report must also include a copy of the year-end return and a statement signed by the CFO. The </w:t>
      </w:r>
      <w:r w:rsidR="00A94469">
        <w:t>annual</w:t>
      </w:r>
      <w:r w:rsidR="009D1EA3">
        <w:t xml:space="preserve"> report is presented to the Audit Committee for approval</w:t>
      </w:r>
      <w:r w:rsidR="00B45EF0" w:rsidRPr="00F3042B">
        <w:t xml:space="preserve">. </w:t>
      </w:r>
    </w:p>
    <w:p w14:paraId="10866D3F" w14:textId="089E3D4B" w:rsidR="00A33756" w:rsidRPr="00012305" w:rsidRDefault="003727C4" w:rsidP="00012305">
      <w:pPr>
        <w:pStyle w:val="Heading1"/>
      </w:pPr>
      <w:bookmarkStart w:id="18" w:name="_Toc84611060"/>
      <w:bookmarkStart w:id="19" w:name="_Toc210650409"/>
      <w:r w:rsidRPr="00012305">
        <w:t>S</w:t>
      </w:r>
      <w:r w:rsidR="00F3042B" w:rsidRPr="00012305">
        <w:t>taff</w:t>
      </w:r>
      <w:r w:rsidRPr="00012305">
        <w:t xml:space="preserve"> T</w:t>
      </w:r>
      <w:r w:rsidR="00F3042B" w:rsidRPr="00012305">
        <w:t>raining</w:t>
      </w:r>
      <w:bookmarkEnd w:id="18"/>
      <w:bookmarkEnd w:id="19"/>
    </w:p>
    <w:p w14:paraId="238DE755" w14:textId="77777777" w:rsidR="00D1293A" w:rsidRDefault="00B45EF0" w:rsidP="00012305">
      <w:pPr>
        <w:pStyle w:val="Heading2"/>
        <w:numPr>
          <w:ilvl w:val="1"/>
          <w:numId w:val="10"/>
        </w:numPr>
        <w:ind w:left="737" w:hanging="737"/>
      </w:pPr>
      <w:bookmarkStart w:id="20" w:name="_Toc84611061"/>
      <w:r w:rsidRPr="00012305">
        <w:t xml:space="preserve">Managers must ensure all staff complete the counter fraud training as part of </w:t>
      </w:r>
      <w:r w:rsidR="00F3042B" w:rsidRPr="00012305">
        <w:t>the</w:t>
      </w:r>
      <w:r w:rsidR="001D5A06" w:rsidRPr="00012305">
        <w:t xml:space="preserve"> ICB</w:t>
      </w:r>
      <w:r w:rsidR="00F3042B" w:rsidRPr="00012305">
        <w:t>’s</w:t>
      </w:r>
      <w:r w:rsidR="001D5A06" w:rsidRPr="00012305">
        <w:t xml:space="preserve"> </w:t>
      </w:r>
      <w:r w:rsidR="00F3042B" w:rsidRPr="00012305">
        <w:t>t</w:t>
      </w:r>
      <w:r w:rsidRPr="00012305">
        <w:t>raining requirements</w:t>
      </w:r>
      <w:r w:rsidR="00D1293A">
        <w:t>.</w:t>
      </w:r>
    </w:p>
    <w:p w14:paraId="68A2E59A" w14:textId="76DDC45A" w:rsidR="00C23D75" w:rsidRPr="00012305" w:rsidRDefault="002550C2" w:rsidP="00012305">
      <w:pPr>
        <w:pStyle w:val="Heading2"/>
        <w:numPr>
          <w:ilvl w:val="1"/>
          <w:numId w:val="10"/>
        </w:numPr>
        <w:ind w:left="737" w:hanging="737"/>
      </w:pPr>
      <w:r>
        <w:t xml:space="preserve">Raising awareness of fraud, bribery, and corruption amongst staff is a key part of creating a strong anti-fraud, bribery, and corruption culture where fraudulent </w:t>
      </w:r>
      <w:r w:rsidR="00C600E0">
        <w:t xml:space="preserve">and corrupt </w:t>
      </w:r>
      <w:r>
        <w:t>activity</w:t>
      </w:r>
      <w:r w:rsidR="00C600E0">
        <w:t xml:space="preserve"> is not tolerated and all staff and contractors are aware of their responsibility to protect NHS funds, as well as the correct reporting procedures. A strong anti-fraud, bribery, and corruption culture </w:t>
      </w:r>
      <w:r w:rsidR="0074015D">
        <w:t>provides the organisation with assurance the fraud is recognised and reported</w:t>
      </w:r>
      <w:r w:rsidR="00D1293A">
        <w:t>.</w:t>
      </w:r>
    </w:p>
    <w:p w14:paraId="45127B03" w14:textId="3077FEBE" w:rsidR="003C3EBC" w:rsidRDefault="003C3EBC" w:rsidP="00012305">
      <w:pPr>
        <w:pStyle w:val="Heading1"/>
      </w:pPr>
      <w:bookmarkStart w:id="21" w:name="_Toc210650410"/>
      <w:r>
        <w:t>A</w:t>
      </w:r>
      <w:r w:rsidR="00F3042B">
        <w:t>rrangements for Review</w:t>
      </w:r>
      <w:bookmarkEnd w:id="20"/>
      <w:bookmarkEnd w:id="21"/>
    </w:p>
    <w:p w14:paraId="7105F1E3" w14:textId="2415FFCC" w:rsidR="003C3EBC" w:rsidRDefault="003C3EBC" w:rsidP="00F86C52">
      <w:pPr>
        <w:pStyle w:val="Heading2"/>
      </w:pPr>
      <w:r>
        <w:lastRenderedPageBreak/>
        <w:t xml:space="preserve">This policy will be reviewed no less frequently than </w:t>
      </w:r>
      <w:r w:rsidRPr="001D73FA">
        <w:t>every two years</w:t>
      </w:r>
      <w:r>
        <w:t>.  An earlier review will be carried out in the event of any relevant changes in legislation, national or local policy/guidance</w:t>
      </w:r>
      <w:r w:rsidR="006A0DCE">
        <w:t>, organisational change or other circumstances which mean the policy needs to be reviewed</w:t>
      </w:r>
      <w:r>
        <w:t>.</w:t>
      </w:r>
    </w:p>
    <w:p w14:paraId="0C1D7C77" w14:textId="55CB4A2F" w:rsidR="003C3EBC" w:rsidRPr="003C3EBC" w:rsidRDefault="003C3EBC" w:rsidP="00F86C52">
      <w:pPr>
        <w:pStyle w:val="Heading2"/>
      </w:pPr>
      <w:r>
        <w:t xml:space="preserve">If only minor changes are required, the sponsoring Committee has authority to make these changes without referral to the </w:t>
      </w:r>
      <w:r w:rsidR="00F3042B">
        <w:t xml:space="preserve">ICB </w:t>
      </w:r>
      <w:r w:rsidR="001D73FA">
        <w:t>Board</w:t>
      </w:r>
      <w:r>
        <w:t>. If more significant or substantial changes are required, the policy will need to be ratified by the relevant committee before final approval by the Board.</w:t>
      </w:r>
    </w:p>
    <w:bookmarkStart w:id="22" w:name="_Toc84611062"/>
    <w:p w14:paraId="623CA364" w14:textId="1ACF77AF" w:rsidR="00A33756" w:rsidRDefault="00183AA3" w:rsidP="00012305">
      <w:pPr>
        <w:pStyle w:val="Heading1"/>
      </w:pPr>
      <w:r>
        <w:fldChar w:fldCharType="begin"/>
      </w:r>
      <w:r>
        <w:instrText>HYPERLINK "https://www.midandsouthessex.ics.nhs.uk/publications/?publications_category=icb-policies&amp;page_no=6"</w:instrText>
      </w:r>
      <w:r>
        <w:fldChar w:fldCharType="separate"/>
      </w:r>
      <w:bookmarkStart w:id="23" w:name="_Toc210650411"/>
      <w:r w:rsidR="00A33756" w:rsidRPr="00183AA3">
        <w:rPr>
          <w:rStyle w:val="Hyperlink"/>
        </w:rPr>
        <w:t>A</w:t>
      </w:r>
      <w:r w:rsidR="00F3042B" w:rsidRPr="00183AA3">
        <w:rPr>
          <w:rStyle w:val="Hyperlink"/>
        </w:rPr>
        <w:t>ssociated Policies, Guidance and Documents</w:t>
      </w:r>
      <w:bookmarkEnd w:id="22"/>
      <w:bookmarkEnd w:id="23"/>
      <w:r>
        <w:fldChar w:fldCharType="end"/>
      </w:r>
    </w:p>
    <w:p w14:paraId="7A840B4F" w14:textId="551401C2" w:rsidR="008A1BE4" w:rsidRPr="00AC0648" w:rsidRDefault="001D73FA" w:rsidP="00190D44">
      <w:pPr>
        <w:pStyle w:val="ListParagraph"/>
        <w:numPr>
          <w:ilvl w:val="0"/>
          <w:numId w:val="3"/>
        </w:numPr>
      </w:pPr>
      <w:r w:rsidRPr="00AC0648">
        <w:t>Freedom to Speak Up: (</w:t>
      </w:r>
      <w:r w:rsidR="008A1BE4" w:rsidRPr="00AC0648">
        <w:t>Whistleblowing</w:t>
      </w:r>
      <w:r w:rsidRPr="00AC0648">
        <w:t>)</w:t>
      </w:r>
      <w:r w:rsidR="008A1BE4" w:rsidRPr="00AC0648">
        <w:t xml:space="preserve"> Policy</w:t>
      </w:r>
      <w:r w:rsidR="000A4224">
        <w:t xml:space="preserve"> (Ref 023)</w:t>
      </w:r>
    </w:p>
    <w:p w14:paraId="36B2BF93" w14:textId="44E2BED2" w:rsidR="008A1BE4" w:rsidRPr="00AC0648" w:rsidRDefault="008A1BE4" w:rsidP="00190D44">
      <w:pPr>
        <w:pStyle w:val="ListParagraph"/>
        <w:numPr>
          <w:ilvl w:val="0"/>
          <w:numId w:val="3"/>
        </w:numPr>
      </w:pPr>
      <w:r w:rsidRPr="00AC0648">
        <w:t>Standards of Business Conduct</w:t>
      </w:r>
      <w:r w:rsidR="001D73FA" w:rsidRPr="00AC0648">
        <w:t xml:space="preserve"> Policy</w:t>
      </w:r>
      <w:r w:rsidR="000A4224">
        <w:t xml:space="preserve"> (Ref 019)</w:t>
      </w:r>
    </w:p>
    <w:p w14:paraId="026C4E23" w14:textId="5ED52E27" w:rsidR="008A1BE4" w:rsidRPr="00AC0648" w:rsidRDefault="008A1BE4" w:rsidP="00190D44">
      <w:pPr>
        <w:pStyle w:val="ListParagraph"/>
        <w:numPr>
          <w:ilvl w:val="0"/>
          <w:numId w:val="3"/>
        </w:numPr>
      </w:pPr>
      <w:r w:rsidRPr="00AC0648">
        <w:t>Conflicts of Interest</w:t>
      </w:r>
      <w:r w:rsidR="001D73FA" w:rsidRPr="00AC0648">
        <w:t>, Gifts and Hospital and Commercial Sponsorship Policy</w:t>
      </w:r>
      <w:r w:rsidR="000A4224">
        <w:t xml:space="preserve"> (Ref 018)</w:t>
      </w:r>
    </w:p>
    <w:p w14:paraId="1B23028F" w14:textId="7B62F48B" w:rsidR="000978FC" w:rsidRDefault="00132ECB" w:rsidP="00F3042B">
      <w:pPr>
        <w:pStyle w:val="ListParagraph"/>
        <w:numPr>
          <w:ilvl w:val="0"/>
          <w:numId w:val="3"/>
        </w:numPr>
      </w:pPr>
      <w:r w:rsidRPr="00AC0648">
        <w:t>Disciplinary Policy</w:t>
      </w:r>
      <w:r w:rsidR="000A4224">
        <w:t xml:space="preserve"> (Ref 045)</w:t>
      </w:r>
    </w:p>
    <w:p w14:paraId="42F7C63C" w14:textId="68AE826D" w:rsidR="003C3EBC" w:rsidRDefault="003C3EBC" w:rsidP="00012305">
      <w:pPr>
        <w:pStyle w:val="Heading1"/>
      </w:pPr>
      <w:bookmarkStart w:id="24" w:name="_Toc84611063"/>
      <w:bookmarkStart w:id="25" w:name="_Toc210650412"/>
      <w:bookmarkStart w:id="26" w:name="_Toc415210615"/>
      <w:r>
        <w:t>R</w:t>
      </w:r>
      <w:bookmarkEnd w:id="24"/>
      <w:r w:rsidR="00F3042B">
        <w:t>eferences</w:t>
      </w:r>
      <w:bookmarkEnd w:id="25"/>
    </w:p>
    <w:p w14:paraId="36532996" w14:textId="77777777" w:rsidR="00F3042B" w:rsidRDefault="00F3042B" w:rsidP="00F3042B">
      <w:pPr>
        <w:pStyle w:val="ListParagraph"/>
        <w:numPr>
          <w:ilvl w:val="0"/>
          <w:numId w:val="3"/>
        </w:numPr>
      </w:pPr>
      <w:hyperlink r:id="rId26" w:history="1">
        <w:r>
          <w:rPr>
            <w:rStyle w:val="Hyperlink"/>
          </w:rPr>
          <w:t xml:space="preserve">NHS Counter Fraud Strategy </w:t>
        </w:r>
      </w:hyperlink>
    </w:p>
    <w:p w14:paraId="2F6F4013" w14:textId="16DC09C4" w:rsidR="00F3042B" w:rsidRDefault="00F3042B" w:rsidP="00F3042B">
      <w:pPr>
        <w:pStyle w:val="ListParagraph"/>
        <w:numPr>
          <w:ilvl w:val="0"/>
          <w:numId w:val="3"/>
        </w:numPr>
      </w:pPr>
      <w:hyperlink r:id="rId27" w:history="1">
        <w:r>
          <w:rPr>
            <w:rStyle w:val="Hyperlink"/>
          </w:rPr>
          <w:t>Fraud Act</w:t>
        </w:r>
      </w:hyperlink>
      <w:r>
        <w:rPr>
          <w:rStyle w:val="Hyperlink"/>
        </w:rPr>
        <w:t xml:space="preserve"> 2006</w:t>
      </w:r>
    </w:p>
    <w:p w14:paraId="59F9F7E9" w14:textId="16C2C06F" w:rsidR="00F3042B" w:rsidRPr="00DC7409" w:rsidRDefault="00F3042B" w:rsidP="00F3042B">
      <w:pPr>
        <w:pStyle w:val="ListParagraph"/>
        <w:numPr>
          <w:ilvl w:val="0"/>
          <w:numId w:val="3"/>
        </w:numPr>
        <w:rPr>
          <w:rStyle w:val="Hyperlink"/>
          <w:color w:val="auto"/>
          <w:u w:val="none"/>
        </w:rPr>
      </w:pPr>
      <w:hyperlink r:id="rId28" w:history="1">
        <w:r>
          <w:rPr>
            <w:rStyle w:val="Hyperlink"/>
          </w:rPr>
          <w:t>Bribery Act 2010</w:t>
        </w:r>
      </w:hyperlink>
    </w:p>
    <w:p w14:paraId="35AD6952" w14:textId="3829EE3F" w:rsidR="006400BD" w:rsidRPr="00DC7409" w:rsidRDefault="006400BD" w:rsidP="00F3042B">
      <w:pPr>
        <w:pStyle w:val="ListParagraph"/>
        <w:numPr>
          <w:ilvl w:val="0"/>
          <w:numId w:val="3"/>
        </w:numPr>
        <w:rPr>
          <w:rStyle w:val="Hyperlink"/>
          <w:color w:val="auto"/>
          <w:u w:val="none"/>
        </w:rPr>
      </w:pPr>
      <w:r>
        <w:rPr>
          <w:rStyle w:val="Hyperlink"/>
        </w:rPr>
        <w:t>NHS CFA Anti-Fraud Manual</w:t>
      </w:r>
    </w:p>
    <w:p w14:paraId="35B4374B" w14:textId="26D459A6" w:rsidR="006400BD" w:rsidRPr="00DC7409" w:rsidRDefault="006400BD" w:rsidP="00F3042B">
      <w:pPr>
        <w:pStyle w:val="ListParagraph"/>
        <w:numPr>
          <w:ilvl w:val="0"/>
          <w:numId w:val="3"/>
        </w:numPr>
        <w:rPr>
          <w:rStyle w:val="Hyperlink"/>
          <w:color w:val="auto"/>
          <w:u w:val="none"/>
        </w:rPr>
      </w:pPr>
      <w:r>
        <w:rPr>
          <w:rStyle w:val="Hyperlink"/>
        </w:rPr>
        <w:t>NHS CFA Applying Sanctions Consistently</w:t>
      </w:r>
    </w:p>
    <w:p w14:paraId="76B472E3" w14:textId="5D98DA87" w:rsidR="007F778E" w:rsidRPr="00DC7409" w:rsidRDefault="007F778E" w:rsidP="00F3042B">
      <w:pPr>
        <w:pStyle w:val="ListParagraph"/>
        <w:numPr>
          <w:ilvl w:val="0"/>
          <w:numId w:val="3"/>
        </w:numPr>
        <w:rPr>
          <w:rStyle w:val="Hyperlink"/>
          <w:color w:val="auto"/>
          <w:u w:val="none"/>
        </w:rPr>
      </w:pPr>
      <w:r>
        <w:rPr>
          <w:rStyle w:val="Hyperlink"/>
        </w:rPr>
        <w:t>Government Functional Standard 013: Counter Fraud (Functional Standard)</w:t>
      </w:r>
    </w:p>
    <w:p w14:paraId="2BA15DE0" w14:textId="0F906644" w:rsidR="007F778E" w:rsidRPr="00DC7409" w:rsidRDefault="007F778E" w:rsidP="00F3042B">
      <w:pPr>
        <w:pStyle w:val="ListParagraph"/>
        <w:numPr>
          <w:ilvl w:val="0"/>
          <w:numId w:val="3"/>
        </w:numPr>
        <w:rPr>
          <w:rStyle w:val="Hyperlink"/>
          <w:color w:val="auto"/>
          <w:u w:val="none"/>
        </w:rPr>
      </w:pPr>
      <w:r>
        <w:rPr>
          <w:rStyle w:val="Hyperlink"/>
        </w:rPr>
        <w:t>Public Interest Disclosure Act 1998</w:t>
      </w:r>
    </w:p>
    <w:p w14:paraId="044DE407" w14:textId="520CBB0C" w:rsidR="007F778E" w:rsidRPr="00DC7409" w:rsidRDefault="007F778E" w:rsidP="00F3042B">
      <w:pPr>
        <w:pStyle w:val="ListParagraph"/>
        <w:numPr>
          <w:ilvl w:val="0"/>
          <w:numId w:val="3"/>
        </w:numPr>
        <w:rPr>
          <w:rStyle w:val="Hyperlink"/>
          <w:color w:val="auto"/>
          <w:u w:val="none"/>
        </w:rPr>
      </w:pPr>
      <w:r>
        <w:rPr>
          <w:rStyle w:val="Hyperlink"/>
        </w:rPr>
        <w:t xml:space="preserve">Criminal Procedure and Investigations Act 1996 (the CPIA Code) </w:t>
      </w:r>
    </w:p>
    <w:p w14:paraId="48E79772" w14:textId="4B5704E7" w:rsidR="002F0E2F" w:rsidRPr="00DC7409" w:rsidRDefault="002F0E2F" w:rsidP="00F3042B">
      <w:pPr>
        <w:pStyle w:val="ListParagraph"/>
        <w:numPr>
          <w:ilvl w:val="0"/>
          <w:numId w:val="3"/>
        </w:numPr>
        <w:rPr>
          <w:rStyle w:val="Hyperlink"/>
          <w:color w:val="auto"/>
          <w:u w:val="none"/>
        </w:rPr>
      </w:pPr>
      <w:r>
        <w:rPr>
          <w:rStyle w:val="Hyperlink"/>
        </w:rPr>
        <w:t>Computer Misuse Act 1990</w:t>
      </w:r>
    </w:p>
    <w:p w14:paraId="2DD5D37E" w14:textId="187082E3" w:rsidR="002F0E2F" w:rsidRPr="00DC7409" w:rsidRDefault="002F0E2F" w:rsidP="00F3042B">
      <w:pPr>
        <w:pStyle w:val="ListParagraph"/>
        <w:numPr>
          <w:ilvl w:val="0"/>
          <w:numId w:val="3"/>
        </w:numPr>
        <w:rPr>
          <w:rStyle w:val="Hyperlink"/>
          <w:color w:val="auto"/>
          <w:u w:val="none"/>
        </w:rPr>
      </w:pPr>
      <w:r>
        <w:rPr>
          <w:rStyle w:val="Hyperlink"/>
        </w:rPr>
        <w:t>Criminal Justice Act 2003</w:t>
      </w:r>
    </w:p>
    <w:p w14:paraId="016F2C5F" w14:textId="7FD5BF3A" w:rsidR="002F0E2F" w:rsidRPr="00DC7409" w:rsidRDefault="002F0E2F" w:rsidP="00F3042B">
      <w:pPr>
        <w:pStyle w:val="ListParagraph"/>
        <w:numPr>
          <w:ilvl w:val="0"/>
          <w:numId w:val="3"/>
        </w:numPr>
        <w:rPr>
          <w:rStyle w:val="Hyperlink"/>
          <w:color w:val="auto"/>
          <w:u w:val="none"/>
        </w:rPr>
      </w:pPr>
      <w:r>
        <w:rPr>
          <w:rStyle w:val="Hyperlink"/>
        </w:rPr>
        <w:t>Proceeds of Crime Act (POCA) 2002</w:t>
      </w:r>
    </w:p>
    <w:p w14:paraId="4C3F27B8" w14:textId="50A5303D" w:rsidR="002F0E2F" w:rsidRPr="00DC7409" w:rsidRDefault="002F0E2F" w:rsidP="00F3042B">
      <w:pPr>
        <w:pStyle w:val="ListParagraph"/>
        <w:numPr>
          <w:ilvl w:val="0"/>
          <w:numId w:val="3"/>
        </w:numPr>
        <w:rPr>
          <w:rStyle w:val="Hyperlink"/>
          <w:color w:val="auto"/>
          <w:u w:val="none"/>
        </w:rPr>
      </w:pPr>
      <w:r>
        <w:rPr>
          <w:rStyle w:val="Hyperlink"/>
        </w:rPr>
        <w:t xml:space="preserve">Police and Criminal Evidence </w:t>
      </w:r>
      <w:r w:rsidR="002A41E7">
        <w:rPr>
          <w:rStyle w:val="Hyperlink"/>
        </w:rPr>
        <w:t xml:space="preserve">(PACE) </w:t>
      </w:r>
      <w:r>
        <w:rPr>
          <w:rStyle w:val="Hyperlink"/>
        </w:rPr>
        <w:t>Act 1984</w:t>
      </w:r>
    </w:p>
    <w:p w14:paraId="0E2E1E41" w14:textId="27758195" w:rsidR="002F0E2F" w:rsidRPr="00DC7409" w:rsidRDefault="002A41E7" w:rsidP="00F3042B">
      <w:pPr>
        <w:pStyle w:val="ListParagraph"/>
        <w:numPr>
          <w:ilvl w:val="0"/>
          <w:numId w:val="3"/>
        </w:numPr>
        <w:rPr>
          <w:rStyle w:val="Hyperlink"/>
          <w:color w:val="auto"/>
          <w:u w:val="none"/>
        </w:rPr>
      </w:pPr>
      <w:r>
        <w:rPr>
          <w:rStyle w:val="Hyperlink"/>
        </w:rPr>
        <w:t>Data Protection Act (DPA) 2018</w:t>
      </w:r>
    </w:p>
    <w:p w14:paraId="42E1DCC0" w14:textId="3E9EF21B" w:rsidR="002A41E7" w:rsidRPr="00801AD3" w:rsidRDefault="002A41E7" w:rsidP="00F3042B">
      <w:pPr>
        <w:pStyle w:val="ListParagraph"/>
        <w:numPr>
          <w:ilvl w:val="0"/>
          <w:numId w:val="3"/>
        </w:numPr>
        <w:rPr>
          <w:rStyle w:val="Hyperlink"/>
          <w:color w:val="auto"/>
          <w:u w:val="none"/>
        </w:rPr>
      </w:pPr>
      <w:r>
        <w:rPr>
          <w:rStyle w:val="Hyperlink"/>
        </w:rPr>
        <w:t>General Data Protection Regulations (GDPR)</w:t>
      </w:r>
    </w:p>
    <w:p w14:paraId="6FDB9A2B" w14:textId="4957D206" w:rsidR="00DC68B9" w:rsidRDefault="00DC68B9" w:rsidP="00F3042B">
      <w:pPr>
        <w:pStyle w:val="ListParagraph"/>
        <w:numPr>
          <w:ilvl w:val="0"/>
          <w:numId w:val="3"/>
        </w:numPr>
      </w:pPr>
      <w:r>
        <w:rPr>
          <w:rStyle w:val="Hyperlink"/>
        </w:rPr>
        <w:t>Economic Crime and Corporate Transparency Act 2023 (ECCTA)</w:t>
      </w:r>
    </w:p>
    <w:p w14:paraId="69DEFD92" w14:textId="32CBC065" w:rsidR="00724B65" w:rsidRDefault="008B27F6" w:rsidP="00012305">
      <w:pPr>
        <w:pStyle w:val="Heading1"/>
      </w:pPr>
      <w:bookmarkStart w:id="27" w:name="_Toc210650413"/>
      <w:r>
        <w:t>E</w:t>
      </w:r>
      <w:r w:rsidR="00F3042B">
        <w:t>quality Impact Assessment</w:t>
      </w:r>
      <w:r w:rsidR="00BB6E17">
        <w:t xml:space="preserve"> (EIA)</w:t>
      </w:r>
      <w:bookmarkEnd w:id="27"/>
    </w:p>
    <w:p w14:paraId="51D37826" w14:textId="77777777" w:rsidR="00F3042B" w:rsidRDefault="00F3042B" w:rsidP="00F3042B">
      <w:pPr>
        <w:ind w:left="0"/>
      </w:pPr>
      <w:r>
        <w:t>12.1</w:t>
      </w:r>
      <w:r>
        <w:tab/>
        <w:t>The EIA has identified no equality issues with this policy.</w:t>
      </w:r>
    </w:p>
    <w:p w14:paraId="3D3428CD" w14:textId="20781A4B" w:rsidR="000155CB" w:rsidRDefault="00F3042B" w:rsidP="00F3042B">
      <w:pPr>
        <w:ind w:left="0"/>
      </w:pPr>
      <w:r>
        <w:t>12.2</w:t>
      </w:r>
      <w:r>
        <w:tab/>
        <w:t xml:space="preserve">The EIA has been included as </w:t>
      </w:r>
      <w:r w:rsidRPr="002B60EE">
        <w:rPr>
          <w:b/>
          <w:bCs/>
        </w:rPr>
        <w:t xml:space="preserve">Appendix </w:t>
      </w:r>
      <w:r w:rsidR="00B814B9">
        <w:rPr>
          <w:b/>
          <w:bCs/>
        </w:rPr>
        <w:t>D</w:t>
      </w:r>
      <w:r>
        <w:t>.</w:t>
      </w:r>
    </w:p>
    <w:p w14:paraId="78B41805" w14:textId="77777777" w:rsidR="00F3042B" w:rsidRDefault="00F3042B" w:rsidP="00190D44">
      <w:pPr>
        <w:sectPr w:rsidR="00F3042B" w:rsidSect="00906F46">
          <w:pgSz w:w="11906" w:h="16838"/>
          <w:pgMar w:top="1440" w:right="1440" w:bottom="1440" w:left="1440" w:header="708" w:footer="451" w:gutter="0"/>
          <w:cols w:space="708"/>
          <w:docGrid w:linePitch="360"/>
        </w:sectPr>
      </w:pPr>
    </w:p>
    <w:p w14:paraId="1AA16284" w14:textId="258D369E" w:rsidR="00E31B14" w:rsidRPr="00012305" w:rsidRDefault="003C0BAE" w:rsidP="00012305">
      <w:pPr>
        <w:pStyle w:val="Heading1"/>
        <w:numPr>
          <w:ilvl w:val="0"/>
          <w:numId w:val="0"/>
        </w:numPr>
        <w:rPr>
          <w:rFonts w:cs="Arial"/>
        </w:rPr>
      </w:pPr>
      <w:bookmarkStart w:id="28" w:name="_Toc210650414"/>
      <w:r w:rsidRPr="00012305">
        <w:lastRenderedPageBreak/>
        <w:t>APPENDIX A</w:t>
      </w:r>
      <w:r w:rsidR="00012305" w:rsidRPr="00012305">
        <w:t xml:space="preserve"> </w:t>
      </w:r>
      <w:r w:rsidR="007148DC">
        <w:t>–</w:t>
      </w:r>
      <w:r w:rsidR="00012305" w:rsidRPr="00012305">
        <w:t xml:space="preserve"> </w:t>
      </w:r>
      <w:r w:rsidRPr="00012305">
        <w:rPr>
          <w:rFonts w:cs="Arial"/>
        </w:rPr>
        <w:t>W</w:t>
      </w:r>
      <w:r w:rsidR="007148DC">
        <w:rPr>
          <w:rFonts w:cs="Arial"/>
        </w:rPr>
        <w:t>hat to do if you have any suspicions of fraud?</w:t>
      </w:r>
      <w:bookmarkEnd w:id="28"/>
    </w:p>
    <w:p w14:paraId="5912285C" w14:textId="00CDE86D" w:rsidR="00D848F8" w:rsidRDefault="00EB2704" w:rsidP="00190D44">
      <w:pPr>
        <w:sectPr w:rsidR="00D848F8" w:rsidSect="00906F46">
          <w:pgSz w:w="11906" w:h="16838"/>
          <w:pgMar w:top="1440" w:right="1440" w:bottom="1440" w:left="1440" w:header="708" w:footer="451" w:gutter="0"/>
          <w:cols w:space="708"/>
          <w:docGrid w:linePitch="360"/>
        </w:sectPr>
      </w:pPr>
      <w:r>
        <w:rPr>
          <w:noProof/>
        </w:rPr>
        <mc:AlternateContent>
          <mc:Choice Requires="wps">
            <w:drawing>
              <wp:anchor distT="45720" distB="45720" distL="114300" distR="114300" simplePos="0" relativeHeight="251661312" behindDoc="0" locked="0" layoutInCell="1" allowOverlap="1" wp14:anchorId="765A59E9" wp14:editId="628E258D">
                <wp:simplePos x="0" y="0"/>
                <wp:positionH relativeFrom="margin">
                  <wp:posOffset>819150</wp:posOffset>
                </wp:positionH>
                <wp:positionV relativeFrom="paragraph">
                  <wp:posOffset>4631690</wp:posOffset>
                </wp:positionV>
                <wp:extent cx="5276850" cy="819150"/>
                <wp:effectExtent l="0" t="0" r="0" b="0"/>
                <wp:wrapNone/>
                <wp:docPr id="888791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819150"/>
                        </a:xfrm>
                        <a:prstGeom prst="rect">
                          <a:avLst/>
                        </a:prstGeom>
                        <a:solidFill>
                          <a:srgbClr val="FFFFFF"/>
                        </a:solidFill>
                        <a:ln w="9525">
                          <a:noFill/>
                          <a:miter lim="800000"/>
                          <a:headEnd/>
                          <a:tailEnd/>
                        </a:ln>
                      </wps:spPr>
                      <wps:txbx>
                        <w:txbxContent>
                          <w:p w14:paraId="52A33042" w14:textId="69C23C30" w:rsidR="00EB2704" w:rsidRPr="003173BD" w:rsidRDefault="00BA401D" w:rsidP="00BA401D">
                            <w:pPr>
                              <w:pStyle w:val="ListParagraph"/>
                              <w:numPr>
                                <w:ilvl w:val="0"/>
                                <w:numId w:val="55"/>
                              </w:numPr>
                              <w:rPr>
                                <w:sz w:val="14"/>
                                <w:szCs w:val="14"/>
                              </w:rPr>
                            </w:pPr>
                            <w:r w:rsidRPr="003173BD">
                              <w:rPr>
                                <w:sz w:val="14"/>
                                <w:szCs w:val="14"/>
                              </w:rPr>
                              <w:t>Do not confront the ‘subject’</w:t>
                            </w:r>
                          </w:p>
                          <w:p w14:paraId="3F53DE40" w14:textId="3B055E40" w:rsidR="00BA401D" w:rsidRPr="003173BD" w:rsidRDefault="00BA401D" w:rsidP="00BA401D">
                            <w:pPr>
                              <w:pStyle w:val="ListParagraph"/>
                              <w:numPr>
                                <w:ilvl w:val="0"/>
                                <w:numId w:val="55"/>
                              </w:numPr>
                              <w:rPr>
                                <w:sz w:val="14"/>
                                <w:szCs w:val="14"/>
                              </w:rPr>
                            </w:pPr>
                            <w:r w:rsidRPr="003173BD">
                              <w:rPr>
                                <w:sz w:val="14"/>
                                <w:szCs w:val="14"/>
                              </w:rPr>
                              <w:t>Do not assume only one person is involved</w:t>
                            </w:r>
                          </w:p>
                          <w:p w14:paraId="0227E5DE" w14:textId="11708320" w:rsidR="00BA401D" w:rsidRPr="003173BD" w:rsidRDefault="00BA401D" w:rsidP="00BA401D">
                            <w:pPr>
                              <w:pStyle w:val="ListParagraph"/>
                              <w:numPr>
                                <w:ilvl w:val="0"/>
                                <w:numId w:val="55"/>
                              </w:numPr>
                              <w:rPr>
                                <w:sz w:val="14"/>
                                <w:szCs w:val="14"/>
                              </w:rPr>
                            </w:pPr>
                            <w:r w:rsidRPr="003173BD">
                              <w:rPr>
                                <w:sz w:val="14"/>
                                <w:szCs w:val="14"/>
                              </w:rPr>
                              <w:t>Do not talk about your suspicions, concerns or queries</w:t>
                            </w:r>
                          </w:p>
                          <w:p w14:paraId="2472E630" w14:textId="6BFEC1F3" w:rsidR="00BA401D" w:rsidRPr="003173BD" w:rsidRDefault="00BA401D" w:rsidP="00992DBA">
                            <w:pPr>
                              <w:pStyle w:val="ListParagraph"/>
                              <w:numPr>
                                <w:ilvl w:val="0"/>
                                <w:numId w:val="55"/>
                              </w:numPr>
                              <w:rPr>
                                <w:sz w:val="14"/>
                                <w:szCs w:val="14"/>
                              </w:rPr>
                            </w:pPr>
                            <w:r w:rsidRPr="003173BD">
                              <w:rPr>
                                <w:sz w:val="14"/>
                                <w:szCs w:val="14"/>
                              </w:rPr>
                              <w:t xml:space="preserve">Do not contact any external </w:t>
                            </w:r>
                            <w:r w:rsidR="00992DBA" w:rsidRPr="003173BD">
                              <w:rPr>
                                <w:sz w:val="14"/>
                                <w:szCs w:val="14"/>
                              </w:rPr>
                              <w:t>organisation</w:t>
                            </w:r>
                            <w:r w:rsidRPr="003173BD">
                              <w:rPr>
                                <w:sz w:val="14"/>
                                <w:szCs w:val="14"/>
                              </w:rPr>
                              <w:t xml:space="preserve"> other than the organisations listed </w:t>
                            </w:r>
                            <w:r w:rsidR="00992DBA" w:rsidRPr="003173BD">
                              <w:rPr>
                                <w:sz w:val="14"/>
                                <w:szCs w:val="14"/>
                              </w:rPr>
                              <w:t xml:space="preserve">(only the Chief Finance Officer or the LCFS are permitted to make such contact with other </w:t>
                            </w:r>
                            <w:r w:rsidR="00B04DAB" w:rsidRPr="003173BD">
                              <w:rPr>
                                <w:sz w:val="14"/>
                                <w:szCs w:val="14"/>
                              </w:rPr>
                              <w:t>organisations</w:t>
                            </w:r>
                            <w:r w:rsidR="00992DBA" w:rsidRPr="003173BD">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A59E9" id="_x0000_t202" coordsize="21600,21600" o:spt="202" path="m,l,21600r21600,l21600,xe">
                <v:stroke joinstyle="miter"/>
                <v:path gradientshapeok="t" o:connecttype="rect"/>
              </v:shapetype>
              <v:shape id="Text Box 2" o:spid="_x0000_s1026" type="#_x0000_t202" style="position:absolute;left:0;text-align:left;margin-left:64.5pt;margin-top:364.7pt;width:415.5pt;height: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" stroked="f">
                <v:textbox>
                  <w:txbxContent>
                    <w:p w14:paraId="52A33042" w14:textId="69C23C30" w:rsidR="00EB2704" w:rsidRPr="003173BD" w:rsidRDefault="00BA401D" w:rsidP="00BA401D">
                      <w:pPr>
                        <w:pStyle w:val="ListParagraph"/>
                        <w:numPr>
                          <w:ilvl w:val="0"/>
                          <w:numId w:val="55"/>
                        </w:numPr>
                        <w:rPr>
                          <w:sz w:val="14"/>
                          <w:szCs w:val="14"/>
                        </w:rPr>
                      </w:pPr>
                      <w:r w:rsidRPr="003173BD">
                        <w:rPr>
                          <w:sz w:val="14"/>
                          <w:szCs w:val="14"/>
                        </w:rPr>
                        <w:t>Do not confront the ‘subject’</w:t>
                      </w:r>
                    </w:p>
                    <w:p w14:paraId="3F53DE40" w14:textId="3B055E40" w:rsidR="00BA401D" w:rsidRPr="003173BD" w:rsidRDefault="00BA401D" w:rsidP="00BA401D">
                      <w:pPr>
                        <w:pStyle w:val="ListParagraph"/>
                        <w:numPr>
                          <w:ilvl w:val="0"/>
                          <w:numId w:val="55"/>
                        </w:numPr>
                        <w:rPr>
                          <w:sz w:val="14"/>
                          <w:szCs w:val="14"/>
                        </w:rPr>
                      </w:pPr>
                      <w:r w:rsidRPr="003173BD">
                        <w:rPr>
                          <w:sz w:val="14"/>
                          <w:szCs w:val="14"/>
                        </w:rPr>
                        <w:t>Do not assume only one person is involved</w:t>
                      </w:r>
                    </w:p>
                    <w:p w14:paraId="0227E5DE" w14:textId="11708320" w:rsidR="00BA401D" w:rsidRPr="003173BD" w:rsidRDefault="00BA401D" w:rsidP="00BA401D">
                      <w:pPr>
                        <w:pStyle w:val="ListParagraph"/>
                        <w:numPr>
                          <w:ilvl w:val="0"/>
                          <w:numId w:val="55"/>
                        </w:numPr>
                        <w:rPr>
                          <w:sz w:val="14"/>
                          <w:szCs w:val="14"/>
                        </w:rPr>
                      </w:pPr>
                      <w:r w:rsidRPr="003173BD">
                        <w:rPr>
                          <w:sz w:val="14"/>
                          <w:szCs w:val="14"/>
                        </w:rPr>
                        <w:t>Do not talk about your suspicions, concerns or queries</w:t>
                      </w:r>
                    </w:p>
                    <w:p w14:paraId="2472E630" w14:textId="6BFEC1F3" w:rsidR="00BA401D" w:rsidRPr="003173BD" w:rsidRDefault="00BA401D" w:rsidP="00992DBA">
                      <w:pPr>
                        <w:pStyle w:val="ListParagraph"/>
                        <w:numPr>
                          <w:ilvl w:val="0"/>
                          <w:numId w:val="55"/>
                        </w:numPr>
                        <w:rPr>
                          <w:sz w:val="14"/>
                          <w:szCs w:val="14"/>
                        </w:rPr>
                      </w:pPr>
                      <w:r w:rsidRPr="003173BD">
                        <w:rPr>
                          <w:sz w:val="14"/>
                          <w:szCs w:val="14"/>
                        </w:rPr>
                        <w:t xml:space="preserve">Do not contact any external </w:t>
                      </w:r>
                      <w:r w:rsidR="00992DBA" w:rsidRPr="003173BD">
                        <w:rPr>
                          <w:sz w:val="14"/>
                          <w:szCs w:val="14"/>
                        </w:rPr>
                        <w:t>organisation</w:t>
                      </w:r>
                      <w:r w:rsidRPr="003173BD">
                        <w:rPr>
                          <w:sz w:val="14"/>
                          <w:szCs w:val="14"/>
                        </w:rPr>
                        <w:t xml:space="preserve"> other than the organisations listed </w:t>
                      </w:r>
                      <w:r w:rsidR="00992DBA" w:rsidRPr="003173BD">
                        <w:rPr>
                          <w:sz w:val="14"/>
                          <w:szCs w:val="14"/>
                        </w:rPr>
                        <w:t xml:space="preserve">(only the Chief Finance Officer or the LCFS are permitted to make such contact with other </w:t>
                      </w:r>
                      <w:r w:rsidR="00B04DAB" w:rsidRPr="003173BD">
                        <w:rPr>
                          <w:sz w:val="14"/>
                          <w:szCs w:val="14"/>
                        </w:rPr>
                        <w:t>organisations</w:t>
                      </w:r>
                      <w:r w:rsidR="00992DBA" w:rsidRPr="003173BD">
                        <w:rPr>
                          <w:sz w:val="14"/>
                          <w:szCs w:val="14"/>
                        </w:rPr>
                        <w:t>).</w:t>
                      </w:r>
                    </w:p>
                  </w:txbxContent>
                </v:textbox>
                <w10:wrap anchorx="margin"/>
              </v:shape>
            </w:pict>
          </mc:Fallback>
        </mc:AlternateContent>
      </w:r>
      <w:r w:rsidR="001936A3">
        <w:rPr>
          <w:noProof/>
        </w:rPr>
        <mc:AlternateContent>
          <mc:Choice Requires="wps">
            <w:drawing>
              <wp:anchor distT="45720" distB="45720" distL="114300" distR="114300" simplePos="0" relativeHeight="251659264" behindDoc="0" locked="0" layoutInCell="1" allowOverlap="1" wp14:anchorId="6CF4515F" wp14:editId="391A39F4">
                <wp:simplePos x="0" y="0"/>
                <wp:positionH relativeFrom="margin">
                  <wp:posOffset>3416300</wp:posOffset>
                </wp:positionH>
                <wp:positionV relativeFrom="paragraph">
                  <wp:posOffset>1945640</wp:posOffset>
                </wp:positionV>
                <wp:extent cx="2413000" cy="81915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819150"/>
                        </a:xfrm>
                        <a:prstGeom prst="rect">
                          <a:avLst/>
                        </a:prstGeom>
                        <a:solidFill>
                          <a:srgbClr val="FFFFFF"/>
                        </a:solidFill>
                        <a:ln w="9525">
                          <a:solidFill>
                            <a:srgbClr val="000000"/>
                          </a:solidFill>
                          <a:miter lim="800000"/>
                          <a:headEnd/>
                          <a:tailEnd/>
                        </a:ln>
                      </wps:spPr>
                      <wps:txbx>
                        <w:txbxContent>
                          <w:p w14:paraId="01935468" w14:textId="77777777" w:rsidR="001936A3" w:rsidRPr="002B26A4" w:rsidRDefault="001936A3" w:rsidP="002B26A4">
                            <w:pPr>
                              <w:ind w:left="0"/>
                              <w:rPr>
                                <w:rFonts w:asciiTheme="minorHAnsi" w:hAnsiTheme="minorHAnsi" w:cstheme="minorHAnsi"/>
                                <w:sz w:val="16"/>
                                <w:szCs w:val="16"/>
                              </w:rPr>
                            </w:pPr>
                            <w:r w:rsidRPr="00EB2704">
                              <w:rPr>
                                <w:rFonts w:cs="Arial"/>
                                <w:sz w:val="14"/>
                                <w:szCs w:val="14"/>
                              </w:rPr>
                              <w:t>Immediately report your suspicions to the Local Counter Fraud Specialist or Chief Finance Officer. Alternatively, discuss with the Chair of the Audit Committee (unless the Chair of the Audit Committee is the Subject of the allegations) who will liaise with the LCFS on how to proceed</w:t>
                            </w:r>
                            <w:r w:rsidRPr="002B26A4">
                              <w:rPr>
                                <w:rFonts w:asciiTheme="minorHAnsi" w:hAnsiTheme="minorHAnsi" w:cstheme="minorHAnsi"/>
                                <w:sz w:val="16"/>
                                <w:szCs w:val="16"/>
                              </w:rPr>
                              <w:t>.</w:t>
                            </w:r>
                          </w:p>
                          <w:p w14:paraId="0C19B895" w14:textId="77777777" w:rsidR="001936A3" w:rsidRDefault="001936A3" w:rsidP="001936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4515F" id="_x0000_s1027" type="#_x0000_t202" style="position:absolute;left:0;text-align:left;margin-left:269pt;margin-top:153.2pt;width:190pt;height: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">
                <v:textbox>
                  <w:txbxContent>
                    <w:p w14:paraId="01935468" w14:textId="77777777" w:rsidR="001936A3" w:rsidRPr="002B26A4" w:rsidRDefault="001936A3" w:rsidP="002B26A4">
                      <w:pPr>
                        <w:ind w:left="0"/>
                        <w:rPr>
                          <w:rFonts w:asciiTheme="minorHAnsi" w:hAnsiTheme="minorHAnsi" w:cstheme="minorHAnsi"/>
                          <w:sz w:val="16"/>
                          <w:szCs w:val="16"/>
                        </w:rPr>
                      </w:pPr>
                      <w:r w:rsidRPr="00EB2704">
                        <w:rPr>
                          <w:rFonts w:cs="Arial"/>
                          <w:sz w:val="14"/>
                          <w:szCs w:val="14"/>
                        </w:rPr>
                        <w:t>Immediately report your suspicions to the Local Counter Fraud Specialist or Chief Finance Officer. Alternatively, discuss with the Chair of the Audit Committee (unless the Chair of the Audit Committee is the Subject of the allegations) who will liaise with the LCFS on how to proceed</w:t>
                      </w:r>
                      <w:r w:rsidRPr="002B26A4">
                        <w:rPr>
                          <w:rFonts w:asciiTheme="minorHAnsi" w:hAnsiTheme="minorHAnsi" w:cstheme="minorHAnsi"/>
                          <w:sz w:val="16"/>
                          <w:szCs w:val="16"/>
                        </w:rPr>
                        <w:t>.</w:t>
                      </w:r>
                    </w:p>
                    <w:p w14:paraId="0C19B895" w14:textId="77777777" w:rsidR="001936A3" w:rsidRDefault="001936A3" w:rsidP="001936A3"/>
                  </w:txbxContent>
                </v:textbox>
                <w10:wrap anchorx="margin"/>
              </v:shape>
            </w:pict>
          </mc:Fallback>
        </mc:AlternateContent>
      </w:r>
      <w:r w:rsidR="002413B6" w:rsidRPr="0082307E">
        <w:rPr>
          <w:noProof/>
        </w:rPr>
        <w:drawing>
          <wp:inline distT="0" distB="0" distL="0" distR="0" wp14:anchorId="436226E2" wp14:editId="5DE304DB">
            <wp:extent cx="5643960" cy="6402070"/>
            <wp:effectExtent l="0" t="0" r="0" b="0"/>
            <wp:docPr id="8" name="Picture 8" descr="Appendix A - flowchart showing staff what they should do if they have any suspicions that fraud might have been commi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ppendix A - flowchart showing staff what they should do if they have any suspicions that fraud might have been committed. "/>
                    <pic:cNvPicPr/>
                  </pic:nvPicPr>
                  <pic:blipFill>
                    <a:blip r:embed="rId29"/>
                    <a:stretch>
                      <a:fillRect/>
                    </a:stretch>
                  </pic:blipFill>
                  <pic:spPr>
                    <a:xfrm>
                      <a:off x="0" y="0"/>
                      <a:ext cx="5648434" cy="6407145"/>
                    </a:xfrm>
                    <a:prstGeom prst="rect">
                      <a:avLst/>
                    </a:prstGeom>
                  </pic:spPr>
                </pic:pic>
              </a:graphicData>
            </a:graphic>
          </wp:inline>
        </w:drawing>
      </w:r>
    </w:p>
    <w:p w14:paraId="2F7FA3C2" w14:textId="56FF6EF9" w:rsidR="00EF5C4E" w:rsidRPr="00EF5C4E" w:rsidRDefault="007D3F2C" w:rsidP="00D848F8">
      <w:pPr>
        <w:pStyle w:val="Heading1"/>
        <w:numPr>
          <w:ilvl w:val="0"/>
          <w:numId w:val="0"/>
        </w:numPr>
      </w:pPr>
      <w:bookmarkStart w:id="29" w:name="_Toc210650415"/>
      <w:r w:rsidRPr="007D3F2C">
        <w:lastRenderedPageBreak/>
        <w:t xml:space="preserve">APPENDIX </w:t>
      </w:r>
      <w:r>
        <w:t>B</w:t>
      </w:r>
      <w:r w:rsidR="00D848F8">
        <w:t xml:space="preserve"> - </w:t>
      </w:r>
      <w:r w:rsidR="00EF5C4E" w:rsidRPr="00EF5C4E">
        <w:t>How to report suspected fraud taking place</w:t>
      </w:r>
      <w:r w:rsidR="00D848F8">
        <w:t xml:space="preserve"> </w:t>
      </w:r>
      <w:r w:rsidR="00EF5C4E" w:rsidRPr="00EF5C4E">
        <w:t>in the NHS</w:t>
      </w:r>
      <w:r w:rsidR="00B2542D">
        <w:t>.</w:t>
      </w:r>
      <w:bookmarkEnd w:id="29"/>
    </w:p>
    <w:p w14:paraId="706DC377" w14:textId="000E0003" w:rsidR="00071E3C" w:rsidRDefault="009B5345" w:rsidP="009B5345">
      <w:pPr>
        <w:ind w:left="0"/>
      </w:pPr>
      <w:r>
        <w:t>All calls are dealt with in the strictest confidence and callers may remain anonymous.</w:t>
      </w:r>
    </w:p>
    <w:p w14:paraId="61D2E027" w14:textId="55F74351" w:rsidR="009B5345" w:rsidRDefault="009B5345" w:rsidP="009B5345">
      <w:pPr>
        <w:ind w:left="0"/>
      </w:pPr>
      <w:r>
        <w:t>Suspicions of fraud, bribery, or corruption should be reported to any of the following:</w:t>
      </w:r>
    </w:p>
    <w:p w14:paraId="72B1A7B0" w14:textId="77777777" w:rsidR="009B5345" w:rsidRDefault="009B5345" w:rsidP="009B5345">
      <w:pPr>
        <w:ind w:left="0"/>
      </w:pPr>
    </w:p>
    <w:p w14:paraId="094E268D" w14:textId="0DD2B2C6" w:rsidR="009B5345" w:rsidRPr="009C0A9F" w:rsidRDefault="009B5345" w:rsidP="009C0A9F">
      <w:pPr>
        <w:pStyle w:val="ListParagraph"/>
        <w:numPr>
          <w:ilvl w:val="0"/>
          <w:numId w:val="48"/>
        </w:numPr>
        <w:rPr>
          <w:b/>
          <w:bCs/>
        </w:rPr>
      </w:pPr>
      <w:r w:rsidRPr="009C0A9F">
        <w:rPr>
          <w:b/>
          <w:bCs/>
        </w:rPr>
        <w:t>Local Counter Fraud Specialist</w:t>
      </w:r>
    </w:p>
    <w:p w14:paraId="2E6A9288" w14:textId="3C4FBEF0" w:rsidR="009B5345" w:rsidRDefault="009B5345" w:rsidP="009C0A9F">
      <w:pPr>
        <w:pStyle w:val="ListParagraph"/>
      </w:pPr>
      <w:r>
        <w:t>Hannah Wenloc</w:t>
      </w:r>
      <w:r w:rsidR="009C0A9F">
        <w:t>k, LCFS</w:t>
      </w:r>
    </w:p>
    <w:p w14:paraId="71CB2A92" w14:textId="1757803D" w:rsidR="009C0A9F" w:rsidRDefault="009C0A9F" w:rsidP="009C0A9F">
      <w:pPr>
        <w:pStyle w:val="ListParagraph"/>
      </w:pPr>
      <w:r>
        <w:t>T: 0845 300 3333</w:t>
      </w:r>
    </w:p>
    <w:p w14:paraId="7194D91E" w14:textId="64720775" w:rsidR="009C0A9F" w:rsidRDefault="009C0A9F" w:rsidP="009C0A9F">
      <w:pPr>
        <w:pStyle w:val="ListParagraph"/>
      </w:pPr>
      <w:r>
        <w:t>M: 07919 595930</w:t>
      </w:r>
    </w:p>
    <w:p w14:paraId="5AEB303D" w14:textId="7DB04C10" w:rsidR="009C0A9F" w:rsidRPr="009B5345" w:rsidRDefault="009C0A9F" w:rsidP="009C0A9F">
      <w:pPr>
        <w:pStyle w:val="ListParagraph"/>
      </w:pPr>
      <w:r>
        <w:t xml:space="preserve">E: </w:t>
      </w:r>
      <w:hyperlink r:id="rId30" w:history="1">
        <w:r w:rsidRPr="009C0A9F">
          <w:rPr>
            <w:rStyle w:val="Hyperlink"/>
          </w:rPr>
          <w:t>hannah.wenlock@nhs.net</w:t>
        </w:r>
      </w:hyperlink>
      <w:r w:rsidRPr="009C0A9F">
        <w:rPr>
          <w:u w:val="single"/>
        </w:rPr>
        <w:t xml:space="preserve"> or </w:t>
      </w:r>
      <w:r>
        <w:t>hannah.wenlock@tiaa.co.uk</w:t>
      </w:r>
    </w:p>
    <w:p w14:paraId="0CD62E36" w14:textId="77777777" w:rsidR="009B5345" w:rsidRDefault="009B5345" w:rsidP="00D848F8">
      <w:pPr>
        <w:ind w:left="170"/>
      </w:pPr>
    </w:p>
    <w:p w14:paraId="7069DC10" w14:textId="031359C0" w:rsidR="009C0A9F" w:rsidRDefault="00747F49" w:rsidP="009C0A9F">
      <w:pPr>
        <w:pStyle w:val="ListParagraph"/>
        <w:numPr>
          <w:ilvl w:val="0"/>
          <w:numId w:val="48"/>
        </w:numPr>
        <w:rPr>
          <w:b/>
          <w:bCs/>
        </w:rPr>
      </w:pPr>
      <w:r>
        <w:rPr>
          <w:b/>
          <w:bCs/>
        </w:rPr>
        <w:t>Executive Chief Finance Officer</w:t>
      </w:r>
    </w:p>
    <w:p w14:paraId="34574648" w14:textId="322DC672" w:rsidR="00747F49" w:rsidRDefault="00747F49" w:rsidP="00747F49">
      <w:pPr>
        <w:pStyle w:val="ListParagraph"/>
      </w:pPr>
      <w:r>
        <w:t>Jennifer Kearton</w:t>
      </w:r>
    </w:p>
    <w:p w14:paraId="603D7657" w14:textId="332F8ABB" w:rsidR="00747F49" w:rsidRDefault="00747F49" w:rsidP="00747F49">
      <w:pPr>
        <w:pStyle w:val="ListParagraph"/>
      </w:pPr>
      <w:r>
        <w:t xml:space="preserve">T: </w:t>
      </w:r>
      <w:r w:rsidR="003B29F5" w:rsidRPr="003B29F5">
        <w:rPr>
          <w:rFonts w:cs="Arial"/>
          <w:color w:val="002060"/>
        </w:rPr>
        <w:t>07768 142801</w:t>
      </w:r>
    </w:p>
    <w:p w14:paraId="15062860" w14:textId="6CAB5ADA" w:rsidR="00747F49" w:rsidRDefault="00747F49" w:rsidP="00747F49">
      <w:pPr>
        <w:pStyle w:val="ListParagraph"/>
      </w:pPr>
      <w:r>
        <w:t xml:space="preserve">E: </w:t>
      </w:r>
      <w:hyperlink r:id="rId31" w:history="1">
        <w:r w:rsidR="006F3EBD" w:rsidRPr="00FB22F8">
          <w:rPr>
            <w:rStyle w:val="Hyperlink"/>
          </w:rPr>
          <w:t>jennifer.kearton@nhs.net</w:t>
        </w:r>
      </w:hyperlink>
    </w:p>
    <w:p w14:paraId="32B69C00" w14:textId="44755C48" w:rsidR="006F3EBD" w:rsidRDefault="006F3EBD" w:rsidP="00747F49">
      <w:pPr>
        <w:pStyle w:val="ListParagraph"/>
      </w:pPr>
      <w:r>
        <w:t xml:space="preserve">  </w:t>
      </w:r>
    </w:p>
    <w:p w14:paraId="3C385064" w14:textId="77B34932" w:rsidR="00C8574B" w:rsidRDefault="00C8574B" w:rsidP="006F3EBD">
      <w:pPr>
        <w:pStyle w:val="ListParagraph"/>
        <w:numPr>
          <w:ilvl w:val="0"/>
          <w:numId w:val="48"/>
        </w:numPr>
        <w:rPr>
          <w:b/>
          <w:bCs/>
        </w:rPr>
      </w:pPr>
      <w:r>
        <w:rPr>
          <w:b/>
          <w:bCs/>
        </w:rPr>
        <w:t>ICB’s Audit Chair</w:t>
      </w:r>
    </w:p>
    <w:p w14:paraId="536C90ED" w14:textId="76D536CB" w:rsidR="00C8574B" w:rsidRDefault="00C8574B" w:rsidP="00C8574B">
      <w:pPr>
        <w:pStyle w:val="ListParagraph"/>
      </w:pPr>
      <w:r>
        <w:t>George Wood</w:t>
      </w:r>
    </w:p>
    <w:p w14:paraId="07419F49" w14:textId="683A42E3" w:rsidR="00C8574B" w:rsidRDefault="00C8574B" w:rsidP="00C8574B">
      <w:pPr>
        <w:pStyle w:val="ListParagraph"/>
      </w:pPr>
      <w:r>
        <w:t>T: 07753 872965</w:t>
      </w:r>
    </w:p>
    <w:p w14:paraId="59968569" w14:textId="4D7E1390" w:rsidR="00C8574B" w:rsidRPr="00C8574B" w:rsidRDefault="00C8574B" w:rsidP="00A7271D">
      <w:pPr>
        <w:pStyle w:val="ListParagraph"/>
      </w:pPr>
      <w:r>
        <w:t>E: george.wood5@nhs.net</w:t>
      </w:r>
    </w:p>
    <w:p w14:paraId="0EEFD291" w14:textId="77777777" w:rsidR="00C8574B" w:rsidRPr="00A7271D" w:rsidRDefault="00C8574B" w:rsidP="00A7271D">
      <w:pPr>
        <w:pStyle w:val="ListParagraph"/>
        <w:rPr>
          <w:b/>
          <w:bCs/>
        </w:rPr>
      </w:pPr>
    </w:p>
    <w:p w14:paraId="30641DB8" w14:textId="53AF80DF" w:rsidR="006F3EBD" w:rsidRDefault="006F3EBD" w:rsidP="006F3EBD">
      <w:pPr>
        <w:pStyle w:val="ListParagraph"/>
        <w:numPr>
          <w:ilvl w:val="0"/>
          <w:numId w:val="48"/>
        </w:numPr>
        <w:rPr>
          <w:b/>
          <w:bCs/>
        </w:rPr>
      </w:pPr>
      <w:r>
        <w:t xml:space="preserve">National Fraud and Corruption Reporting Line on </w:t>
      </w:r>
      <w:r>
        <w:rPr>
          <w:b/>
          <w:bCs/>
        </w:rPr>
        <w:t>0800 028 4060</w:t>
      </w:r>
    </w:p>
    <w:p w14:paraId="7EFFD840" w14:textId="77777777" w:rsidR="006F3EBD" w:rsidRDefault="006F3EBD" w:rsidP="00A7271D">
      <w:pPr>
        <w:pStyle w:val="ListParagraph"/>
        <w:rPr>
          <w:b/>
          <w:bCs/>
        </w:rPr>
      </w:pPr>
    </w:p>
    <w:p w14:paraId="0DDAB6CC" w14:textId="6C14F00B" w:rsidR="006F3EBD" w:rsidRPr="00A7271D" w:rsidRDefault="006F3EBD" w:rsidP="006F3EBD">
      <w:pPr>
        <w:pStyle w:val="ListParagraph"/>
        <w:numPr>
          <w:ilvl w:val="0"/>
          <w:numId w:val="48"/>
        </w:numPr>
        <w:rPr>
          <w:b/>
          <w:bCs/>
        </w:rPr>
      </w:pPr>
      <w:r>
        <w:t xml:space="preserve">Report fraud online at: </w:t>
      </w:r>
      <w:hyperlink r:id="rId32" w:history="1">
        <w:r w:rsidRPr="00FB22F8">
          <w:rPr>
            <w:rStyle w:val="Hyperlink"/>
          </w:rPr>
          <w:t>https://cfa.nhs.uk/reportfraud</w:t>
        </w:r>
      </w:hyperlink>
    </w:p>
    <w:p w14:paraId="7A49BF7E" w14:textId="77777777" w:rsidR="006F3EBD" w:rsidRPr="00A7271D" w:rsidRDefault="006F3EBD" w:rsidP="00A7271D">
      <w:pPr>
        <w:pStyle w:val="ListParagraph"/>
        <w:rPr>
          <w:b/>
          <w:bCs/>
        </w:rPr>
      </w:pPr>
    </w:p>
    <w:p w14:paraId="349D23FB" w14:textId="569396CB" w:rsidR="006F3EBD" w:rsidRPr="000108D9" w:rsidRDefault="00715ADA" w:rsidP="00A7271D">
      <w:pPr>
        <w:pStyle w:val="ListParagraph"/>
        <w:numPr>
          <w:ilvl w:val="0"/>
          <w:numId w:val="48"/>
        </w:numPr>
        <w:rPr>
          <w:b/>
          <w:bCs/>
        </w:rPr>
      </w:pPr>
      <w:r>
        <w:t xml:space="preserve">Public Concern at Work on </w:t>
      </w:r>
      <w:r>
        <w:rPr>
          <w:b/>
          <w:bCs/>
        </w:rPr>
        <w:t>020 7404 6609</w:t>
      </w:r>
      <w:r w:rsidR="00605F8D">
        <w:t>. This is an independent charity</w:t>
      </w:r>
      <w:r w:rsidR="000108D9">
        <w:t xml:space="preserve"> who can offer advice on how to proceed.</w:t>
      </w:r>
    </w:p>
    <w:p w14:paraId="0AEE0342" w14:textId="77777777" w:rsidR="000108D9" w:rsidRDefault="000108D9" w:rsidP="000108D9">
      <w:pPr>
        <w:ind w:left="0"/>
        <w:rPr>
          <w:b/>
          <w:bCs/>
        </w:rPr>
      </w:pPr>
    </w:p>
    <w:p w14:paraId="61A7D737" w14:textId="577F2D94" w:rsidR="00150E3B" w:rsidRPr="00067291" w:rsidRDefault="00150E3B" w:rsidP="000108D9">
      <w:pPr>
        <w:ind w:left="0"/>
        <w:rPr>
          <w:b/>
          <w:bCs/>
        </w:rPr>
      </w:pPr>
      <w:r>
        <w:rPr>
          <w:b/>
          <w:bCs/>
        </w:rPr>
        <w:t>All referrals will be treated in complete confidence. Staff can raise concerns anonymously if they prefer to do so.</w:t>
      </w:r>
    </w:p>
    <w:p w14:paraId="4E8A6AC3" w14:textId="79E55776" w:rsidR="0098013D" w:rsidRDefault="00B21E54" w:rsidP="00DA10EB">
      <w:pPr>
        <w:ind w:left="0"/>
      </w:pPr>
      <w:r>
        <w:t>The ICB has a Freedom to Speak Up: Raising Concerns (Whistleblowing) Policy</w:t>
      </w:r>
      <w:r w:rsidR="00C81FAC">
        <w:t xml:space="preserve">. The policy enables you to raise your concerns at an early stage and in the right way. </w:t>
      </w:r>
      <w:r w:rsidR="006434C6">
        <w:t xml:space="preserve">The policy can be accessed via </w:t>
      </w:r>
      <w:hyperlink r:id="rId33" w:history="1">
        <w:r w:rsidR="005502A8" w:rsidRPr="00CE67CE">
          <w:rPr>
            <w:rStyle w:val="Hyperlink"/>
          </w:rPr>
          <w:t>Freedom to Speak Up (Whistleblowing) Policy (Ref 023)</w:t>
        </w:r>
      </w:hyperlink>
      <w:r w:rsidR="006434C6">
        <w:t>.</w:t>
      </w:r>
    </w:p>
    <w:p w14:paraId="4F6D289D" w14:textId="77777777" w:rsidR="0098013D" w:rsidRDefault="0098013D" w:rsidP="00071E3C">
      <w:pPr>
        <w:spacing w:after="360"/>
        <w:ind w:left="340" w:firstLine="550"/>
      </w:pPr>
    </w:p>
    <w:p w14:paraId="791E2F34" w14:textId="77777777" w:rsidR="0098013D" w:rsidRDefault="0098013D" w:rsidP="00071E3C">
      <w:pPr>
        <w:spacing w:after="360"/>
        <w:ind w:left="340" w:firstLine="550"/>
      </w:pPr>
    </w:p>
    <w:p w14:paraId="6FB84619" w14:textId="77777777" w:rsidR="00DA10EB" w:rsidRDefault="00DA10EB" w:rsidP="00071E3C">
      <w:pPr>
        <w:spacing w:after="360"/>
        <w:ind w:left="340" w:firstLine="550"/>
      </w:pPr>
    </w:p>
    <w:p w14:paraId="5099AA0A" w14:textId="77777777" w:rsidR="0098013D" w:rsidRDefault="0098013D" w:rsidP="00071E3C">
      <w:pPr>
        <w:spacing w:after="360"/>
        <w:ind w:left="340" w:firstLine="550"/>
      </w:pPr>
    </w:p>
    <w:p w14:paraId="0B6EB228" w14:textId="5C7A4846" w:rsidR="00B2542D" w:rsidRPr="00BD79FE" w:rsidRDefault="00B2542D" w:rsidP="00B2542D">
      <w:pPr>
        <w:spacing w:after="360"/>
        <w:ind w:left="0"/>
        <w:rPr>
          <w:b/>
          <w:bCs/>
          <w:color w:val="4F81BD" w:themeColor="accent1"/>
          <w:sz w:val="32"/>
          <w:szCs w:val="32"/>
        </w:rPr>
      </w:pPr>
      <w:r w:rsidRPr="00BD79FE">
        <w:rPr>
          <w:b/>
          <w:bCs/>
          <w:color w:val="4F81BD" w:themeColor="accent1"/>
          <w:sz w:val="32"/>
          <w:szCs w:val="32"/>
        </w:rPr>
        <w:lastRenderedPageBreak/>
        <w:t>APPENDIX C – Fraud, Bribery, and Corruption Response Plan</w:t>
      </w:r>
    </w:p>
    <w:p w14:paraId="19F909B5" w14:textId="476511F5" w:rsidR="0098013D" w:rsidRDefault="0098013D" w:rsidP="00071E3C">
      <w:pPr>
        <w:spacing w:after="360"/>
        <w:ind w:left="340" w:firstLine="550"/>
      </w:pPr>
      <w:r w:rsidRPr="00FE5E63">
        <w:rPr>
          <w:rFonts w:cs="Arial"/>
          <w:noProof/>
        </w:rPr>
        <mc:AlternateContent>
          <mc:Choice Requires="wpc">
            <w:drawing>
              <wp:inline distT="0" distB="0" distL="0" distR="0" wp14:anchorId="2726254D" wp14:editId="256B8AF9">
                <wp:extent cx="5731510" cy="7774305"/>
                <wp:effectExtent l="0" t="0" r="59690" b="0"/>
                <wp:docPr id="89" name="Canvas 89" descr="Appendix C, Fraud, Bribery and Corruption Response Plan flowchart. "/>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4"/>
                        <wps:cNvSpPr>
                          <a:spLocks noChangeArrowheads="1"/>
                        </wps:cNvSpPr>
                        <wps:spPr bwMode="auto">
                          <a:xfrm>
                            <a:off x="746760" y="114300"/>
                            <a:ext cx="4229100" cy="342900"/>
                          </a:xfrm>
                          <a:prstGeom prst="rect">
                            <a:avLst/>
                          </a:prstGeom>
                          <a:solidFill>
                            <a:srgbClr val="FFFFFF"/>
                          </a:solidFill>
                          <a:ln w="9525">
                            <a:solidFill>
                              <a:srgbClr val="000000"/>
                            </a:solidFill>
                            <a:miter lim="800000"/>
                            <a:headEnd/>
                            <a:tailEnd/>
                          </a:ln>
                        </wps:spPr>
                        <wps:txbx>
                          <w:txbxContent>
                            <w:p w14:paraId="156D8299" w14:textId="47B1ACA1" w:rsidR="0098013D" w:rsidRPr="003A5FE2" w:rsidRDefault="0098013D" w:rsidP="0098013D">
                              <w:pPr>
                                <w:spacing w:before="50" w:after="50"/>
                                <w:jc w:val="center"/>
                                <w:rPr>
                                  <w:sz w:val="18"/>
                                  <w:szCs w:val="18"/>
                                </w:rPr>
                              </w:pPr>
                              <w:r w:rsidRPr="003A5FE2">
                                <w:rPr>
                                  <w:sz w:val="18"/>
                                  <w:szCs w:val="18"/>
                                </w:rPr>
                                <w:t>LCFS receives report of suspected fraud</w:t>
                              </w:r>
                              <w:r>
                                <w:rPr>
                                  <w:sz w:val="18"/>
                                  <w:szCs w:val="18"/>
                                </w:rPr>
                                <w:t>,</w:t>
                              </w:r>
                              <w:r w:rsidRPr="003A5FE2">
                                <w:rPr>
                                  <w:sz w:val="18"/>
                                  <w:szCs w:val="18"/>
                                </w:rPr>
                                <w:t xml:space="preserve"> bribery</w:t>
                              </w:r>
                              <w:r>
                                <w:rPr>
                                  <w:sz w:val="18"/>
                                  <w:szCs w:val="18"/>
                                </w:rPr>
                                <w:t>, or corruption.</w:t>
                              </w:r>
                            </w:p>
                          </w:txbxContent>
                        </wps:txbx>
                        <wps:bodyPr rot="0" vert="horz" wrap="square" lIns="91440" tIns="45720" rIns="91440" bIns="45720" anchor="t" anchorCtr="0" upright="1">
                          <a:noAutofit/>
                        </wps:bodyPr>
                      </wps:wsp>
                      <wps:wsp>
                        <wps:cNvPr id="12" name="Line 5"/>
                        <wps:cNvCnPr/>
                        <wps:spPr bwMode="auto">
                          <a:xfrm>
                            <a:off x="2804160" y="457200"/>
                            <a:ext cx="7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6"/>
                        <wps:cNvSpPr>
                          <a:spLocks noChangeArrowheads="1"/>
                        </wps:cNvSpPr>
                        <wps:spPr bwMode="auto">
                          <a:xfrm>
                            <a:off x="746760" y="685800"/>
                            <a:ext cx="4229100" cy="571500"/>
                          </a:xfrm>
                          <a:prstGeom prst="rect">
                            <a:avLst/>
                          </a:prstGeom>
                          <a:solidFill>
                            <a:srgbClr val="FFFFFF"/>
                          </a:solidFill>
                          <a:ln w="9525">
                            <a:solidFill>
                              <a:srgbClr val="000000"/>
                            </a:solidFill>
                            <a:miter lim="800000"/>
                            <a:headEnd/>
                            <a:tailEnd/>
                          </a:ln>
                        </wps:spPr>
                        <wps:txbx>
                          <w:txbxContent>
                            <w:p w14:paraId="6D094708" w14:textId="05DAD18C" w:rsidR="0098013D" w:rsidRPr="003A5FE2" w:rsidRDefault="0098013D" w:rsidP="0098013D">
                              <w:pPr>
                                <w:spacing w:before="50" w:after="50"/>
                                <w:jc w:val="center"/>
                                <w:rPr>
                                  <w:sz w:val="18"/>
                                  <w:szCs w:val="18"/>
                                </w:rPr>
                              </w:pPr>
                              <w:r w:rsidRPr="003A5FE2">
                                <w:rPr>
                                  <w:sz w:val="18"/>
                                  <w:szCs w:val="18"/>
                                </w:rPr>
                                <w:t>LCFS will assess the allegation to</w:t>
                              </w:r>
                              <w:r>
                                <w:rPr>
                                  <w:sz w:val="18"/>
                                  <w:szCs w:val="18"/>
                                </w:rPr>
                                <w:t xml:space="preserve"> determine a course of action. </w:t>
                              </w:r>
                              <w:r w:rsidRPr="003A5FE2">
                                <w:rPr>
                                  <w:sz w:val="18"/>
                                  <w:szCs w:val="18"/>
                                </w:rPr>
                                <w:t xml:space="preserve">This may involve making preliminary enquiries such as obtaining information from the </w:t>
                              </w:r>
                              <w:r w:rsidR="00B2542D">
                                <w:rPr>
                                  <w:sz w:val="18"/>
                                  <w:szCs w:val="18"/>
                                </w:rPr>
                                <w:t>ICB</w:t>
                              </w:r>
                              <w:r w:rsidRPr="003A5FE2">
                                <w:rPr>
                                  <w:sz w:val="18"/>
                                  <w:szCs w:val="18"/>
                                </w:rPr>
                                <w:t>’s systems.</w:t>
                              </w:r>
                            </w:p>
                          </w:txbxContent>
                        </wps:txbx>
                        <wps:bodyPr rot="0" vert="horz" wrap="square" lIns="91440" tIns="45720" rIns="91440" bIns="45720" anchor="t" anchorCtr="0" upright="1">
                          <a:noAutofit/>
                        </wps:bodyPr>
                      </wps:wsp>
                      <wps:wsp>
                        <wps:cNvPr id="18" name="Rectangle 9"/>
                        <wps:cNvSpPr>
                          <a:spLocks noChangeArrowheads="1"/>
                        </wps:cNvSpPr>
                        <wps:spPr bwMode="auto">
                          <a:xfrm>
                            <a:off x="1432560" y="1485900"/>
                            <a:ext cx="2971800" cy="342900"/>
                          </a:xfrm>
                          <a:prstGeom prst="rect">
                            <a:avLst/>
                          </a:prstGeom>
                          <a:solidFill>
                            <a:srgbClr val="FFFFFF"/>
                          </a:solidFill>
                          <a:ln w="9525">
                            <a:solidFill>
                              <a:srgbClr val="000000"/>
                            </a:solidFill>
                            <a:miter lim="800000"/>
                            <a:headEnd/>
                            <a:tailEnd/>
                          </a:ln>
                        </wps:spPr>
                        <wps:txbx>
                          <w:txbxContent>
                            <w:p w14:paraId="57AD7CDE" w14:textId="77777777" w:rsidR="0098013D" w:rsidRPr="003A5FE2" w:rsidRDefault="0098013D" w:rsidP="00B2542D">
                              <w:pPr>
                                <w:spacing w:before="50" w:after="50"/>
                                <w:ind w:left="0"/>
                                <w:jc w:val="center"/>
                                <w:rPr>
                                  <w:sz w:val="18"/>
                                  <w:szCs w:val="18"/>
                                </w:rPr>
                              </w:pPr>
                              <w:r w:rsidRPr="003A5FE2">
                                <w:rPr>
                                  <w:sz w:val="18"/>
                                  <w:szCs w:val="18"/>
                                </w:rPr>
                                <w:t>Is further investigation warranted?</w:t>
                              </w:r>
                            </w:p>
                          </w:txbxContent>
                        </wps:txbx>
                        <wps:bodyPr rot="0" vert="horz" wrap="square" lIns="91440" tIns="45720" rIns="91440" bIns="45720" anchor="t" anchorCtr="0" upright="1">
                          <a:noAutofit/>
                        </wps:bodyPr>
                      </wps:wsp>
                      <wps:wsp>
                        <wps:cNvPr id="19" name="Line 10"/>
                        <wps:cNvCnPr/>
                        <wps:spPr bwMode="auto">
                          <a:xfrm>
                            <a:off x="2804160" y="1828800"/>
                            <a:ext cx="794"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1"/>
                        <wps:cNvCnPr/>
                        <wps:spPr bwMode="auto">
                          <a:xfrm flipH="1">
                            <a:off x="632460" y="1943100"/>
                            <a:ext cx="22860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2"/>
                        <wps:cNvCnPr/>
                        <wps:spPr bwMode="auto">
                          <a:xfrm>
                            <a:off x="2918460" y="1943100"/>
                            <a:ext cx="22860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3"/>
                        <wps:cNvCnPr/>
                        <wps:spPr bwMode="auto">
                          <a:xfrm>
                            <a:off x="632460" y="1943100"/>
                            <a:ext cx="79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4"/>
                        <wps:cNvCnPr/>
                        <wps:spPr bwMode="auto">
                          <a:xfrm>
                            <a:off x="5204460" y="1943100"/>
                            <a:ext cx="7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5"/>
                        <wps:cNvCnPr/>
                        <wps:spPr bwMode="auto">
                          <a:xfrm>
                            <a:off x="2804160" y="1257300"/>
                            <a:ext cx="7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16"/>
                        <wps:cNvSpPr>
                          <a:spLocks noChangeArrowheads="1"/>
                        </wps:cNvSpPr>
                        <wps:spPr bwMode="auto">
                          <a:xfrm>
                            <a:off x="1432560" y="2514600"/>
                            <a:ext cx="2171700" cy="571500"/>
                          </a:xfrm>
                          <a:prstGeom prst="rect">
                            <a:avLst/>
                          </a:prstGeom>
                          <a:solidFill>
                            <a:srgbClr val="FFFFFF"/>
                          </a:solidFill>
                          <a:ln w="9525">
                            <a:solidFill>
                              <a:srgbClr val="000000"/>
                            </a:solidFill>
                            <a:miter lim="800000"/>
                            <a:headEnd/>
                            <a:tailEnd/>
                          </a:ln>
                        </wps:spPr>
                        <wps:txbx>
                          <w:txbxContent>
                            <w:p w14:paraId="4541961F" w14:textId="02A1BD41" w:rsidR="0098013D" w:rsidRPr="003A5FE2" w:rsidRDefault="0098013D" w:rsidP="0098013D">
                              <w:pPr>
                                <w:spacing w:before="50" w:after="50"/>
                                <w:ind w:left="0"/>
                                <w:jc w:val="center"/>
                                <w:rPr>
                                  <w:sz w:val="18"/>
                                  <w:szCs w:val="18"/>
                                </w:rPr>
                              </w:pPr>
                              <w:r>
                                <w:rPr>
                                  <w:sz w:val="18"/>
                                  <w:szCs w:val="18"/>
                                </w:rPr>
                                <w:t>LCFS will seek agreement from the CFO to carry out a full investigation.</w:t>
                              </w:r>
                            </w:p>
                          </w:txbxContent>
                        </wps:txbx>
                        <wps:bodyPr rot="0" vert="horz" wrap="square" lIns="91440" tIns="45720" rIns="91440" bIns="45720" anchor="t" anchorCtr="0" upright="1">
                          <a:noAutofit/>
                        </wps:bodyPr>
                      </wps:wsp>
                      <wps:wsp>
                        <wps:cNvPr id="27" name="Rectangle 17"/>
                        <wps:cNvSpPr>
                          <a:spLocks noChangeArrowheads="1"/>
                        </wps:cNvSpPr>
                        <wps:spPr bwMode="auto">
                          <a:xfrm>
                            <a:off x="1432560" y="3200400"/>
                            <a:ext cx="2171700" cy="571500"/>
                          </a:xfrm>
                          <a:prstGeom prst="rect">
                            <a:avLst/>
                          </a:prstGeom>
                          <a:solidFill>
                            <a:srgbClr val="FFFFFF"/>
                          </a:solidFill>
                          <a:ln w="9525">
                            <a:solidFill>
                              <a:srgbClr val="000000"/>
                            </a:solidFill>
                            <a:miter lim="800000"/>
                            <a:headEnd/>
                            <a:tailEnd/>
                          </a:ln>
                        </wps:spPr>
                        <wps:txbx>
                          <w:txbxContent>
                            <w:p w14:paraId="40FB2F2D" w14:textId="77777777" w:rsidR="0098013D" w:rsidRDefault="0098013D" w:rsidP="0098013D">
                              <w:pPr>
                                <w:spacing w:before="50" w:after="50"/>
                                <w:ind w:left="0"/>
                                <w:jc w:val="center"/>
                                <w:rPr>
                                  <w:sz w:val="18"/>
                                  <w:szCs w:val="18"/>
                                </w:rPr>
                              </w:pPr>
                              <w:r w:rsidRPr="000919D9">
                                <w:rPr>
                                  <w:sz w:val="18"/>
                                  <w:szCs w:val="18"/>
                                </w:rPr>
                                <w:t>LCFS commences further investigation.</w:t>
                              </w:r>
                            </w:p>
                            <w:p w14:paraId="7F4DA7F6" w14:textId="77777777" w:rsidR="0098013D" w:rsidRPr="000919D9" w:rsidRDefault="0098013D" w:rsidP="0098013D">
                              <w:pPr>
                                <w:spacing w:before="50" w:after="50"/>
                                <w:jc w:val="center"/>
                                <w:rPr>
                                  <w:sz w:val="18"/>
                                  <w:szCs w:val="18"/>
                                </w:rPr>
                              </w:pPr>
                            </w:p>
                          </w:txbxContent>
                        </wps:txbx>
                        <wps:bodyPr rot="0" vert="horz" wrap="square" lIns="91440" tIns="45720" rIns="91440" bIns="45720" anchor="t" anchorCtr="0" upright="1">
                          <a:noAutofit/>
                        </wps:bodyPr>
                      </wps:wsp>
                      <wps:wsp>
                        <wps:cNvPr id="28" name="Rectangle 18"/>
                        <wps:cNvSpPr>
                          <a:spLocks noChangeArrowheads="1"/>
                        </wps:cNvSpPr>
                        <wps:spPr bwMode="auto">
                          <a:xfrm>
                            <a:off x="4175760" y="2589291"/>
                            <a:ext cx="1600200" cy="954009"/>
                          </a:xfrm>
                          <a:prstGeom prst="rect">
                            <a:avLst/>
                          </a:prstGeom>
                          <a:solidFill>
                            <a:srgbClr val="FFFFFF"/>
                          </a:solidFill>
                          <a:ln w="9525">
                            <a:solidFill>
                              <a:srgbClr val="000000"/>
                            </a:solidFill>
                            <a:miter lim="800000"/>
                            <a:headEnd/>
                            <a:tailEnd/>
                          </a:ln>
                        </wps:spPr>
                        <wps:txbx>
                          <w:txbxContent>
                            <w:p w14:paraId="46568382" w14:textId="45D94840" w:rsidR="0098013D" w:rsidRPr="000919D9" w:rsidRDefault="0098013D" w:rsidP="0098013D">
                              <w:pPr>
                                <w:spacing w:before="50" w:after="50"/>
                                <w:ind w:left="0"/>
                                <w:jc w:val="center"/>
                                <w:rPr>
                                  <w:sz w:val="18"/>
                                  <w:szCs w:val="18"/>
                                </w:rPr>
                              </w:pPr>
                              <w:r>
                                <w:rPr>
                                  <w:sz w:val="18"/>
                                  <w:szCs w:val="18"/>
                                </w:rPr>
                                <w:t>Regular reports to the CFO on all fraud, bribery, and corruption cases at agreed stages of the investigation.</w:t>
                              </w:r>
                            </w:p>
                          </w:txbxContent>
                        </wps:txbx>
                        <wps:bodyPr rot="0" vert="horz" wrap="square" lIns="91440" tIns="45720" rIns="91440" bIns="45720" anchor="t" anchorCtr="0" upright="1">
                          <a:noAutofit/>
                        </wps:bodyPr>
                      </wps:wsp>
                      <wps:wsp>
                        <wps:cNvPr id="30" name="Rectangle 19"/>
                        <wps:cNvSpPr>
                          <a:spLocks noChangeArrowheads="1"/>
                        </wps:cNvSpPr>
                        <wps:spPr bwMode="auto">
                          <a:xfrm>
                            <a:off x="4175760" y="3657600"/>
                            <a:ext cx="1600200" cy="571500"/>
                          </a:xfrm>
                          <a:prstGeom prst="rect">
                            <a:avLst/>
                          </a:prstGeom>
                          <a:solidFill>
                            <a:srgbClr val="FFFFFF"/>
                          </a:solidFill>
                          <a:ln w="9525">
                            <a:solidFill>
                              <a:srgbClr val="000000"/>
                            </a:solidFill>
                            <a:miter lim="800000"/>
                            <a:headEnd/>
                            <a:tailEnd/>
                          </a:ln>
                        </wps:spPr>
                        <wps:txbx>
                          <w:txbxContent>
                            <w:p w14:paraId="171BC4D8" w14:textId="77777777" w:rsidR="0098013D" w:rsidRDefault="0098013D" w:rsidP="0098013D">
                              <w:pPr>
                                <w:spacing w:before="50" w:after="50"/>
                                <w:ind w:left="0"/>
                                <w:jc w:val="center"/>
                                <w:rPr>
                                  <w:sz w:val="18"/>
                                  <w:szCs w:val="18"/>
                                </w:rPr>
                              </w:pPr>
                              <w:r>
                                <w:rPr>
                                  <w:sz w:val="18"/>
                                  <w:szCs w:val="18"/>
                                </w:rPr>
                                <w:t>Regular reports to the Audit Committee.</w:t>
                              </w:r>
                            </w:p>
                            <w:p w14:paraId="1F5B4A98" w14:textId="77777777" w:rsidR="0098013D" w:rsidRPr="000919D9" w:rsidRDefault="0098013D" w:rsidP="0098013D">
                              <w:pPr>
                                <w:spacing w:before="50" w:after="50"/>
                                <w:jc w:val="center"/>
                                <w:rPr>
                                  <w:sz w:val="18"/>
                                  <w:szCs w:val="18"/>
                                </w:rPr>
                              </w:pPr>
                            </w:p>
                          </w:txbxContent>
                        </wps:txbx>
                        <wps:bodyPr rot="0" vert="horz" wrap="square" lIns="91440" tIns="45720" rIns="91440" bIns="45720" anchor="t" anchorCtr="0" upright="1">
                          <a:noAutofit/>
                        </wps:bodyPr>
                      </wps:wsp>
                      <wps:wsp>
                        <wps:cNvPr id="31" name="Rectangle 20"/>
                        <wps:cNvSpPr>
                          <a:spLocks noChangeArrowheads="1"/>
                        </wps:cNvSpPr>
                        <wps:spPr bwMode="auto">
                          <a:xfrm>
                            <a:off x="632460" y="4343400"/>
                            <a:ext cx="4343400" cy="685800"/>
                          </a:xfrm>
                          <a:prstGeom prst="rect">
                            <a:avLst/>
                          </a:prstGeom>
                          <a:solidFill>
                            <a:srgbClr val="FFFFFF"/>
                          </a:solidFill>
                          <a:ln w="9525">
                            <a:solidFill>
                              <a:srgbClr val="000000"/>
                            </a:solidFill>
                            <a:miter lim="800000"/>
                            <a:headEnd/>
                            <a:tailEnd/>
                          </a:ln>
                        </wps:spPr>
                        <wps:txbx>
                          <w:txbxContent>
                            <w:p w14:paraId="75BDC71A" w14:textId="18738A43" w:rsidR="0098013D" w:rsidRDefault="0098013D" w:rsidP="0098013D">
                              <w:pPr>
                                <w:spacing w:before="50" w:after="50"/>
                                <w:jc w:val="center"/>
                                <w:rPr>
                                  <w:sz w:val="18"/>
                                  <w:szCs w:val="18"/>
                                </w:rPr>
                              </w:pPr>
                              <w:r>
                                <w:rPr>
                                  <w:sz w:val="18"/>
                                  <w:szCs w:val="18"/>
                                </w:rPr>
                                <w:t xml:space="preserve">LCFS completes full investigation with recommendations and submits report to the CFO and, where appropriate, </w:t>
                              </w:r>
                              <w:r w:rsidR="003711DB">
                                <w:rPr>
                                  <w:sz w:val="18"/>
                                  <w:szCs w:val="18"/>
                                </w:rPr>
                                <w:t>People Directorate</w:t>
                              </w:r>
                              <w:r>
                                <w:rPr>
                                  <w:sz w:val="18"/>
                                  <w:szCs w:val="18"/>
                                </w:rPr>
                                <w:t>.  Both Directors decide on appropriate course of action.</w:t>
                              </w:r>
                            </w:p>
                            <w:p w14:paraId="0C8C15E7" w14:textId="77777777" w:rsidR="0098013D" w:rsidRPr="003A5FE2" w:rsidRDefault="0098013D" w:rsidP="0098013D">
                              <w:pPr>
                                <w:spacing w:before="50" w:after="50"/>
                                <w:jc w:val="center"/>
                                <w:rPr>
                                  <w:sz w:val="18"/>
                                  <w:szCs w:val="18"/>
                                </w:rPr>
                              </w:pPr>
                            </w:p>
                          </w:txbxContent>
                        </wps:txbx>
                        <wps:bodyPr rot="0" vert="horz" wrap="square" lIns="91440" tIns="45720" rIns="91440" bIns="45720" anchor="t" anchorCtr="0" upright="1">
                          <a:noAutofit/>
                        </wps:bodyPr>
                      </wps:wsp>
                      <wps:wsp>
                        <wps:cNvPr id="32" name="Line 21"/>
                        <wps:cNvCnPr/>
                        <wps:spPr bwMode="auto">
                          <a:xfrm flipH="1">
                            <a:off x="2461260" y="2286000"/>
                            <a:ext cx="25146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2"/>
                        <wps:cNvCnPr/>
                        <wps:spPr bwMode="auto">
                          <a:xfrm>
                            <a:off x="2461260" y="2286000"/>
                            <a:ext cx="7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3"/>
                        <wps:cNvCnPr/>
                        <wps:spPr bwMode="auto">
                          <a:xfrm>
                            <a:off x="2461260" y="30861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24"/>
                        <wps:cNvCnPr/>
                        <wps:spPr bwMode="auto">
                          <a:xfrm>
                            <a:off x="3604260" y="34290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5"/>
                        <wps:cNvCnPr/>
                        <wps:spPr bwMode="auto">
                          <a:xfrm>
                            <a:off x="3832860" y="3429000"/>
                            <a:ext cx="794"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6"/>
                        <wps:cNvCnPr/>
                        <wps:spPr bwMode="auto">
                          <a:xfrm>
                            <a:off x="3832860" y="4000500"/>
                            <a:ext cx="3429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7"/>
                        <wps:cNvCnPr/>
                        <wps:spPr bwMode="auto">
                          <a:xfrm flipV="1">
                            <a:off x="3832860" y="3086100"/>
                            <a:ext cx="794"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8"/>
                        <wps:cNvCnPr/>
                        <wps:spPr bwMode="auto">
                          <a:xfrm>
                            <a:off x="3832860" y="3086100"/>
                            <a:ext cx="3429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9"/>
                        <wps:cNvCnPr/>
                        <wps:spPr bwMode="auto">
                          <a:xfrm>
                            <a:off x="2461260" y="3771900"/>
                            <a:ext cx="794"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30"/>
                        <wps:cNvSpPr>
                          <a:spLocks noChangeArrowheads="1"/>
                        </wps:cNvSpPr>
                        <wps:spPr bwMode="auto">
                          <a:xfrm>
                            <a:off x="632460" y="5257800"/>
                            <a:ext cx="1257300" cy="685800"/>
                          </a:xfrm>
                          <a:prstGeom prst="rect">
                            <a:avLst/>
                          </a:prstGeom>
                          <a:solidFill>
                            <a:srgbClr val="FFFFFF"/>
                          </a:solidFill>
                          <a:ln w="9525">
                            <a:solidFill>
                              <a:srgbClr val="000000"/>
                            </a:solidFill>
                            <a:miter lim="800000"/>
                            <a:headEnd/>
                            <a:tailEnd/>
                          </a:ln>
                        </wps:spPr>
                        <wps:txbx>
                          <w:txbxContent>
                            <w:p w14:paraId="717F61FB" w14:textId="0A0EFD63" w:rsidR="0098013D" w:rsidRDefault="0098013D" w:rsidP="0098013D">
                              <w:pPr>
                                <w:spacing w:before="50" w:after="50"/>
                                <w:ind w:left="0"/>
                                <w:jc w:val="center"/>
                                <w:rPr>
                                  <w:sz w:val="18"/>
                                  <w:szCs w:val="18"/>
                                </w:rPr>
                              </w:pPr>
                              <w:r>
                                <w:rPr>
                                  <w:sz w:val="18"/>
                                  <w:szCs w:val="18"/>
                                </w:rPr>
                                <w:t>No fraud / bribery / corruption found.</w:t>
                              </w:r>
                            </w:p>
                            <w:p w14:paraId="3EDEDA63" w14:textId="77777777" w:rsidR="0098013D" w:rsidRPr="00C13E7A" w:rsidRDefault="0098013D" w:rsidP="0098013D">
                              <w:pPr>
                                <w:spacing w:before="50" w:after="50"/>
                                <w:ind w:left="0"/>
                                <w:jc w:val="center"/>
                                <w:rPr>
                                  <w:b/>
                                  <w:sz w:val="18"/>
                                  <w:szCs w:val="18"/>
                                </w:rPr>
                              </w:pPr>
                              <w:r w:rsidRPr="00C13E7A">
                                <w:rPr>
                                  <w:b/>
                                  <w:sz w:val="18"/>
                                  <w:szCs w:val="18"/>
                                </w:rPr>
                                <w:t>No further action</w:t>
                              </w:r>
                            </w:p>
                          </w:txbxContent>
                        </wps:txbx>
                        <wps:bodyPr rot="0" vert="horz" wrap="square" lIns="91440" tIns="45720" rIns="91440" bIns="45720" anchor="t" anchorCtr="0" upright="1">
                          <a:noAutofit/>
                        </wps:bodyPr>
                      </wps:wsp>
                      <wps:wsp>
                        <wps:cNvPr id="42" name="Rectangle 31"/>
                        <wps:cNvSpPr>
                          <a:spLocks noChangeArrowheads="1"/>
                        </wps:cNvSpPr>
                        <wps:spPr bwMode="auto">
                          <a:xfrm>
                            <a:off x="2004060" y="5257800"/>
                            <a:ext cx="1828800" cy="685800"/>
                          </a:xfrm>
                          <a:prstGeom prst="rect">
                            <a:avLst/>
                          </a:prstGeom>
                          <a:solidFill>
                            <a:srgbClr val="FFFFFF"/>
                          </a:solidFill>
                          <a:ln w="9525">
                            <a:solidFill>
                              <a:srgbClr val="000000"/>
                            </a:solidFill>
                            <a:miter lim="800000"/>
                            <a:headEnd/>
                            <a:tailEnd/>
                          </a:ln>
                        </wps:spPr>
                        <wps:txbx>
                          <w:txbxContent>
                            <w:p w14:paraId="18E8FB7A" w14:textId="31D10CBD" w:rsidR="0098013D" w:rsidRDefault="0098013D" w:rsidP="0098013D">
                              <w:pPr>
                                <w:spacing w:before="50" w:after="50"/>
                                <w:ind w:left="0"/>
                                <w:jc w:val="center"/>
                                <w:rPr>
                                  <w:sz w:val="18"/>
                                  <w:szCs w:val="18"/>
                                </w:rPr>
                              </w:pPr>
                              <w:r>
                                <w:rPr>
                                  <w:sz w:val="18"/>
                                  <w:szCs w:val="18"/>
                                </w:rPr>
                                <w:t>Fraud / bribery / corruption found.</w:t>
                              </w:r>
                            </w:p>
                            <w:p w14:paraId="3D04416D" w14:textId="77777777" w:rsidR="0098013D" w:rsidRPr="00C13E7A" w:rsidRDefault="0098013D" w:rsidP="0098013D">
                              <w:pPr>
                                <w:spacing w:before="50" w:after="50"/>
                                <w:ind w:left="0"/>
                                <w:jc w:val="center"/>
                                <w:rPr>
                                  <w:b/>
                                  <w:sz w:val="18"/>
                                  <w:szCs w:val="18"/>
                                </w:rPr>
                              </w:pPr>
                              <w:r w:rsidRPr="00C13E7A">
                                <w:rPr>
                                  <w:b/>
                                  <w:sz w:val="18"/>
                                  <w:szCs w:val="18"/>
                                </w:rPr>
                                <w:t xml:space="preserve">Disciplinary </w:t>
                              </w:r>
                              <w:r>
                                <w:rPr>
                                  <w:b/>
                                  <w:sz w:val="18"/>
                                  <w:szCs w:val="18"/>
                                </w:rPr>
                                <w:t>a</w:t>
                              </w:r>
                              <w:r w:rsidRPr="00C13E7A">
                                <w:rPr>
                                  <w:b/>
                                  <w:sz w:val="18"/>
                                  <w:szCs w:val="18"/>
                                </w:rPr>
                                <w:t>ction</w:t>
                              </w:r>
                            </w:p>
                            <w:p w14:paraId="674EBEB9" w14:textId="77777777" w:rsidR="0098013D" w:rsidRPr="003A5FE2" w:rsidRDefault="0098013D" w:rsidP="0098013D">
                              <w:pPr>
                                <w:spacing w:before="50" w:after="50"/>
                                <w:jc w:val="center"/>
                                <w:rPr>
                                  <w:sz w:val="18"/>
                                  <w:szCs w:val="18"/>
                                </w:rPr>
                              </w:pPr>
                            </w:p>
                          </w:txbxContent>
                        </wps:txbx>
                        <wps:bodyPr rot="0" vert="horz" wrap="square" lIns="91440" tIns="45720" rIns="91440" bIns="45720" anchor="t" anchorCtr="0" upright="1">
                          <a:noAutofit/>
                        </wps:bodyPr>
                      </wps:wsp>
                      <wps:wsp>
                        <wps:cNvPr id="43" name="Rectangle 32"/>
                        <wps:cNvSpPr>
                          <a:spLocks noChangeArrowheads="1"/>
                        </wps:cNvSpPr>
                        <wps:spPr bwMode="auto">
                          <a:xfrm>
                            <a:off x="3947160" y="5257800"/>
                            <a:ext cx="1828800" cy="685800"/>
                          </a:xfrm>
                          <a:prstGeom prst="rect">
                            <a:avLst/>
                          </a:prstGeom>
                          <a:solidFill>
                            <a:srgbClr val="FFFFFF"/>
                          </a:solidFill>
                          <a:ln w="9525">
                            <a:solidFill>
                              <a:srgbClr val="000000"/>
                            </a:solidFill>
                            <a:miter lim="800000"/>
                            <a:headEnd/>
                            <a:tailEnd/>
                          </a:ln>
                        </wps:spPr>
                        <wps:txbx>
                          <w:txbxContent>
                            <w:p w14:paraId="02DC0ED3" w14:textId="6F22F773" w:rsidR="0098013D" w:rsidRDefault="0098013D" w:rsidP="0098013D">
                              <w:pPr>
                                <w:spacing w:before="50" w:after="50"/>
                                <w:ind w:left="0"/>
                                <w:jc w:val="center"/>
                                <w:rPr>
                                  <w:sz w:val="18"/>
                                  <w:szCs w:val="18"/>
                                </w:rPr>
                              </w:pPr>
                              <w:r>
                                <w:rPr>
                                  <w:sz w:val="18"/>
                                  <w:szCs w:val="18"/>
                                </w:rPr>
                                <w:t>Fraud / bribery / corruption found.</w:t>
                              </w:r>
                            </w:p>
                            <w:p w14:paraId="4F3164AE" w14:textId="77777777" w:rsidR="0098013D" w:rsidRPr="00C13E7A" w:rsidRDefault="0098013D" w:rsidP="0098013D">
                              <w:pPr>
                                <w:spacing w:before="50" w:after="50"/>
                                <w:ind w:left="0"/>
                                <w:jc w:val="center"/>
                                <w:rPr>
                                  <w:b/>
                                  <w:sz w:val="18"/>
                                  <w:szCs w:val="18"/>
                                </w:rPr>
                              </w:pPr>
                              <w:r>
                                <w:rPr>
                                  <w:b/>
                                  <w:sz w:val="18"/>
                                  <w:szCs w:val="18"/>
                                </w:rPr>
                                <w:t>Criminal</w:t>
                              </w:r>
                              <w:r w:rsidRPr="00C13E7A">
                                <w:rPr>
                                  <w:b/>
                                  <w:sz w:val="18"/>
                                  <w:szCs w:val="18"/>
                                </w:rPr>
                                <w:t xml:space="preserve"> </w:t>
                              </w:r>
                              <w:r>
                                <w:rPr>
                                  <w:b/>
                                  <w:sz w:val="18"/>
                                  <w:szCs w:val="18"/>
                                </w:rPr>
                                <w:t>a</w:t>
                              </w:r>
                              <w:r w:rsidRPr="00C13E7A">
                                <w:rPr>
                                  <w:b/>
                                  <w:sz w:val="18"/>
                                  <w:szCs w:val="18"/>
                                </w:rPr>
                                <w:t>ction</w:t>
                              </w:r>
                            </w:p>
                            <w:p w14:paraId="34F0519D" w14:textId="77777777" w:rsidR="0098013D" w:rsidRPr="003A5FE2" w:rsidRDefault="0098013D" w:rsidP="0098013D">
                              <w:pPr>
                                <w:spacing w:before="50" w:after="50"/>
                                <w:jc w:val="center"/>
                                <w:rPr>
                                  <w:sz w:val="18"/>
                                  <w:szCs w:val="18"/>
                                </w:rPr>
                              </w:pPr>
                            </w:p>
                          </w:txbxContent>
                        </wps:txbx>
                        <wps:bodyPr rot="0" vert="horz" wrap="square" lIns="91440" tIns="45720" rIns="91440" bIns="45720" anchor="t" anchorCtr="0" upright="1">
                          <a:noAutofit/>
                        </wps:bodyPr>
                      </wps:wsp>
                      <wps:wsp>
                        <wps:cNvPr id="44" name="Rectangle 33"/>
                        <wps:cNvSpPr>
                          <a:spLocks noChangeArrowheads="1"/>
                        </wps:cNvSpPr>
                        <wps:spPr bwMode="auto">
                          <a:xfrm>
                            <a:off x="2918460" y="6286500"/>
                            <a:ext cx="1828800" cy="457200"/>
                          </a:xfrm>
                          <a:prstGeom prst="rect">
                            <a:avLst/>
                          </a:prstGeom>
                          <a:solidFill>
                            <a:srgbClr val="FFFFFF"/>
                          </a:solidFill>
                          <a:ln w="9525">
                            <a:solidFill>
                              <a:srgbClr val="000000"/>
                            </a:solidFill>
                            <a:miter lim="800000"/>
                            <a:headEnd/>
                            <a:tailEnd/>
                          </a:ln>
                        </wps:spPr>
                        <wps:txbx>
                          <w:txbxContent>
                            <w:p w14:paraId="466D1B37" w14:textId="77777777" w:rsidR="0098013D" w:rsidRPr="00C13E7A" w:rsidRDefault="0098013D" w:rsidP="0098013D">
                              <w:pPr>
                                <w:spacing w:before="50" w:after="50"/>
                                <w:ind w:left="0"/>
                                <w:jc w:val="center"/>
                                <w:rPr>
                                  <w:b/>
                                  <w:sz w:val="18"/>
                                  <w:szCs w:val="18"/>
                                </w:rPr>
                              </w:pPr>
                              <w:r>
                                <w:rPr>
                                  <w:b/>
                                  <w:sz w:val="18"/>
                                  <w:szCs w:val="18"/>
                                </w:rPr>
                                <w:t>Recovery of losses</w:t>
                              </w:r>
                            </w:p>
                            <w:p w14:paraId="62B9E219" w14:textId="77777777" w:rsidR="0098013D" w:rsidRPr="003A5FE2" w:rsidRDefault="0098013D" w:rsidP="0098013D">
                              <w:pPr>
                                <w:spacing w:before="50" w:after="50"/>
                                <w:jc w:val="center"/>
                                <w:rPr>
                                  <w:sz w:val="18"/>
                                  <w:szCs w:val="18"/>
                                </w:rPr>
                              </w:pPr>
                            </w:p>
                          </w:txbxContent>
                        </wps:txbx>
                        <wps:bodyPr rot="0" vert="horz" wrap="square" lIns="91440" tIns="45720" rIns="91440" bIns="45720" anchor="t" anchorCtr="0" upright="1">
                          <a:noAutofit/>
                        </wps:bodyPr>
                      </wps:wsp>
                      <wps:wsp>
                        <wps:cNvPr id="45" name="Line 34"/>
                        <wps:cNvCnPr/>
                        <wps:spPr bwMode="auto">
                          <a:xfrm>
                            <a:off x="2918460" y="5943600"/>
                            <a:ext cx="794"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5"/>
                        <wps:cNvCnPr/>
                        <wps:spPr bwMode="auto">
                          <a:xfrm>
                            <a:off x="4747260" y="5943600"/>
                            <a:ext cx="794"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6"/>
                        <wps:cNvCnPr/>
                        <wps:spPr bwMode="auto">
                          <a:xfrm>
                            <a:off x="2918460" y="6057900"/>
                            <a:ext cx="18288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7"/>
                        <wps:cNvCnPr/>
                        <wps:spPr bwMode="auto">
                          <a:xfrm>
                            <a:off x="3832860" y="6057900"/>
                            <a:ext cx="7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Rectangle 38"/>
                        <wps:cNvSpPr>
                          <a:spLocks noChangeArrowheads="1"/>
                        </wps:cNvSpPr>
                        <wps:spPr bwMode="auto">
                          <a:xfrm>
                            <a:off x="403860" y="6972300"/>
                            <a:ext cx="5372100" cy="571500"/>
                          </a:xfrm>
                          <a:prstGeom prst="rect">
                            <a:avLst/>
                          </a:prstGeom>
                          <a:solidFill>
                            <a:srgbClr val="FFFFFF"/>
                          </a:solidFill>
                          <a:ln w="9525">
                            <a:solidFill>
                              <a:srgbClr val="000000"/>
                            </a:solidFill>
                            <a:miter lim="800000"/>
                            <a:headEnd/>
                            <a:tailEnd/>
                          </a:ln>
                        </wps:spPr>
                        <wps:txbx>
                          <w:txbxContent>
                            <w:p w14:paraId="4A003AF1" w14:textId="77777777" w:rsidR="0098013D" w:rsidRDefault="0098013D" w:rsidP="0098013D">
                              <w:pPr>
                                <w:spacing w:before="50" w:after="50"/>
                                <w:ind w:left="0"/>
                                <w:jc w:val="center"/>
                                <w:rPr>
                                  <w:sz w:val="18"/>
                                  <w:szCs w:val="18"/>
                                </w:rPr>
                              </w:pPr>
                              <w:r>
                                <w:rPr>
                                  <w:sz w:val="18"/>
                                  <w:szCs w:val="18"/>
                                </w:rPr>
                                <w:t>LCFS will liaise with relevant staff to ensure that remedial action is taken to implement lessons learnt from investigation.</w:t>
                              </w:r>
                            </w:p>
                            <w:p w14:paraId="05E20D5D" w14:textId="77777777" w:rsidR="0098013D" w:rsidRPr="003A5FE2" w:rsidRDefault="0098013D" w:rsidP="0098013D">
                              <w:pPr>
                                <w:spacing w:before="50" w:after="50"/>
                                <w:jc w:val="center"/>
                                <w:rPr>
                                  <w:sz w:val="18"/>
                                  <w:szCs w:val="18"/>
                                </w:rPr>
                              </w:pPr>
                            </w:p>
                          </w:txbxContent>
                        </wps:txbx>
                        <wps:bodyPr rot="0" vert="horz" wrap="square" lIns="91440" tIns="45720" rIns="91440" bIns="45720" anchor="t" anchorCtr="0" upright="1">
                          <a:noAutofit/>
                        </wps:bodyPr>
                      </wps:wsp>
                      <wps:wsp>
                        <wps:cNvPr id="80" name="Line 39"/>
                        <wps:cNvCnPr/>
                        <wps:spPr bwMode="auto">
                          <a:xfrm>
                            <a:off x="3032760" y="6743700"/>
                            <a:ext cx="7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40"/>
                        <wps:cNvCnPr/>
                        <wps:spPr bwMode="auto">
                          <a:xfrm flipH="1">
                            <a:off x="175260" y="2400300"/>
                            <a:ext cx="2286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41"/>
                        <wps:cNvCnPr/>
                        <wps:spPr bwMode="auto">
                          <a:xfrm>
                            <a:off x="176054" y="2415540"/>
                            <a:ext cx="0" cy="4785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2"/>
                        <wps:cNvCnPr/>
                        <wps:spPr bwMode="auto">
                          <a:xfrm>
                            <a:off x="175260" y="72009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43"/>
                        <wps:cNvCnPr/>
                        <wps:spPr bwMode="auto">
                          <a:xfrm>
                            <a:off x="2804160" y="5029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4"/>
                        <wps:cNvCnPr/>
                        <wps:spPr bwMode="auto">
                          <a:xfrm flipH="1">
                            <a:off x="1089660" y="514350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5"/>
                        <wps:cNvCnPr/>
                        <wps:spPr bwMode="auto">
                          <a:xfrm>
                            <a:off x="1089660" y="51435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46"/>
                        <wps:cNvCnPr/>
                        <wps:spPr bwMode="auto">
                          <a:xfrm>
                            <a:off x="2918460" y="5143500"/>
                            <a:ext cx="794"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47"/>
                        <wps:cNvCnPr/>
                        <wps:spPr bwMode="auto">
                          <a:xfrm>
                            <a:off x="4975860" y="51435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7300852" name="Text Box 527300852"/>
                        <wps:cNvSpPr txBox="1"/>
                        <wps:spPr>
                          <a:xfrm>
                            <a:off x="429492" y="2313709"/>
                            <a:ext cx="491836" cy="325582"/>
                          </a:xfrm>
                          <a:prstGeom prst="rect">
                            <a:avLst/>
                          </a:prstGeom>
                          <a:solidFill>
                            <a:schemeClr val="lt1"/>
                          </a:solidFill>
                          <a:ln w="6350">
                            <a:solidFill>
                              <a:prstClr val="black"/>
                            </a:solidFill>
                          </a:ln>
                        </wps:spPr>
                        <wps:txbx>
                          <w:txbxContent>
                            <w:p w14:paraId="260B01EA" w14:textId="3C1A1C28" w:rsidR="00B2542D" w:rsidRPr="00B2542D" w:rsidRDefault="00B2542D" w:rsidP="00B2542D">
                              <w:pPr>
                                <w:ind w:left="0"/>
                                <w:jc w:val="center"/>
                                <w:rPr>
                                  <w:sz w:val="18"/>
                                  <w:szCs w:val="18"/>
                                </w:rPr>
                              </w:pPr>
                              <w:r w:rsidRPr="00B2542D">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773182" name="Text Box 451773182"/>
                        <wps:cNvSpPr txBox="1"/>
                        <wps:spPr>
                          <a:xfrm>
                            <a:off x="5029200" y="2195945"/>
                            <a:ext cx="450273" cy="284019"/>
                          </a:xfrm>
                          <a:prstGeom prst="rect">
                            <a:avLst/>
                          </a:prstGeom>
                          <a:solidFill>
                            <a:schemeClr val="lt1"/>
                          </a:solidFill>
                          <a:ln w="6350">
                            <a:solidFill>
                              <a:prstClr val="black"/>
                            </a:solidFill>
                          </a:ln>
                        </wps:spPr>
                        <wps:txbx>
                          <w:txbxContent>
                            <w:p w14:paraId="69D614AD" w14:textId="67506E51" w:rsidR="00B2542D" w:rsidRPr="00B2542D" w:rsidRDefault="00B2542D" w:rsidP="00B2542D">
                              <w:pPr>
                                <w:ind w:left="0"/>
                                <w:jc w:val="center"/>
                                <w:rPr>
                                  <w:sz w:val="18"/>
                                  <w:szCs w:val="18"/>
                                </w:rPr>
                              </w:pPr>
                              <w:r w:rsidRPr="00B2542D">
                                <w:rPr>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726254D" id="Canvas 89" o:spid="_x0000_s1028" editas="canvas" alt="Appendix C, Fraud, Bribery and Corruption Response Plan flowchart. " style="width:451.3pt;height:612.15pt;mso-position-horizontal-relative:char;mso-position-vertical-relative:line" coordsize="57315,7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Appendix C, Fraud, Bribery and Corruption Response Plan flowchart. " style="position:absolute;width:57315;height:77743;visibility:visible;mso-wrap-style:square">
                  <v:fill o:detectmouseclick="t"/>
                  <v:path o:connecttype="none"/>
                </v:shape>
                <v:rect id="Rectangle 4" o:spid="_x0000_s1030" style="position:absolute;left:7467;top:1143;width:422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156D8299" w14:textId="47B1ACA1" w:rsidR="0098013D" w:rsidRPr="003A5FE2" w:rsidRDefault="0098013D" w:rsidP="0098013D">
                        <w:pPr>
                          <w:spacing w:before="50" w:after="50"/>
                          <w:jc w:val="center"/>
                          <w:rPr>
                            <w:sz w:val="18"/>
                            <w:szCs w:val="18"/>
                          </w:rPr>
                        </w:pPr>
                        <w:r w:rsidRPr="003A5FE2">
                          <w:rPr>
                            <w:sz w:val="18"/>
                            <w:szCs w:val="18"/>
                          </w:rPr>
                          <w:t>LCFS receives report of suspected fraud</w:t>
                        </w:r>
                        <w:r>
                          <w:rPr>
                            <w:sz w:val="18"/>
                            <w:szCs w:val="18"/>
                          </w:rPr>
                          <w:t>,</w:t>
                        </w:r>
                        <w:r w:rsidRPr="003A5FE2">
                          <w:rPr>
                            <w:sz w:val="18"/>
                            <w:szCs w:val="18"/>
                          </w:rPr>
                          <w:t xml:space="preserve"> bribery</w:t>
                        </w:r>
                        <w:r>
                          <w:rPr>
                            <w:sz w:val="18"/>
                            <w:szCs w:val="18"/>
                          </w:rPr>
                          <w:t>, or corruption.</w:t>
                        </w:r>
                      </w:p>
                    </w:txbxContent>
                  </v:textbox>
                </v:rect>
                <v:line id="Line 5" o:spid="_x0000_s1031" style="position:absolute;visibility:visible;mso-wrap-style:square" from="28041,4572" to="2804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rect id="Rectangle 6" o:spid="_x0000_s1032" style="position:absolute;left:7467;top:6858;width:4229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D094708" w14:textId="05DAD18C" w:rsidR="0098013D" w:rsidRPr="003A5FE2" w:rsidRDefault="0098013D" w:rsidP="0098013D">
                        <w:pPr>
                          <w:spacing w:before="50" w:after="50"/>
                          <w:jc w:val="center"/>
                          <w:rPr>
                            <w:sz w:val="18"/>
                            <w:szCs w:val="18"/>
                          </w:rPr>
                        </w:pPr>
                        <w:r w:rsidRPr="003A5FE2">
                          <w:rPr>
                            <w:sz w:val="18"/>
                            <w:szCs w:val="18"/>
                          </w:rPr>
                          <w:t>LCFS will assess the allegation to</w:t>
                        </w:r>
                        <w:r>
                          <w:rPr>
                            <w:sz w:val="18"/>
                            <w:szCs w:val="18"/>
                          </w:rPr>
                          <w:t xml:space="preserve"> determine a course of action. </w:t>
                        </w:r>
                        <w:r w:rsidRPr="003A5FE2">
                          <w:rPr>
                            <w:sz w:val="18"/>
                            <w:szCs w:val="18"/>
                          </w:rPr>
                          <w:t xml:space="preserve">This may involve making preliminary enquiries such as obtaining information from the </w:t>
                        </w:r>
                        <w:r w:rsidR="00B2542D">
                          <w:rPr>
                            <w:sz w:val="18"/>
                            <w:szCs w:val="18"/>
                          </w:rPr>
                          <w:t>ICB</w:t>
                        </w:r>
                        <w:r w:rsidRPr="003A5FE2">
                          <w:rPr>
                            <w:sz w:val="18"/>
                            <w:szCs w:val="18"/>
                          </w:rPr>
                          <w:t>’s systems.</w:t>
                        </w:r>
                      </w:p>
                    </w:txbxContent>
                  </v:textbox>
                </v:rect>
                <v:rect id="Rectangle 9" o:spid="_x0000_s1033" style="position:absolute;left:14325;top:14859;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57AD7CDE" w14:textId="77777777" w:rsidR="0098013D" w:rsidRPr="003A5FE2" w:rsidRDefault="0098013D" w:rsidP="00B2542D">
                        <w:pPr>
                          <w:spacing w:before="50" w:after="50"/>
                          <w:ind w:left="0"/>
                          <w:jc w:val="center"/>
                          <w:rPr>
                            <w:sz w:val="18"/>
                            <w:szCs w:val="18"/>
                          </w:rPr>
                        </w:pPr>
                        <w:r w:rsidRPr="003A5FE2">
                          <w:rPr>
                            <w:sz w:val="18"/>
                            <w:szCs w:val="18"/>
                          </w:rPr>
                          <w:t>Is further investigation warranted?</w:t>
                        </w:r>
                      </w:p>
                    </w:txbxContent>
                  </v:textbox>
                </v:rect>
                <v:line id="Line 10" o:spid="_x0000_s1034" style="position:absolute;visibility:visible;mso-wrap-style:square" from="28041,18288" to="28049,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1" o:spid="_x0000_s1035" style="position:absolute;flip:x;visibility:visible;mso-wrap-style:square" from="6324,19431" to="29184,1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12" o:spid="_x0000_s1036" style="position:absolute;visibility:visible;mso-wrap-style:square" from="29184,19431" to="52044,1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3" o:spid="_x0000_s1037" style="position:absolute;visibility:visible;mso-wrap-style:square" from="6324,19431" to="6332,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4" o:spid="_x0000_s1038" style="position:absolute;visibility:visible;mso-wrap-style:square" from="52044,19431" to="52052,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5" o:spid="_x0000_s1039" style="position:absolute;visibility:visible;mso-wrap-style:square" from="28041,12573" to="2804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rect id="Rectangle 16" o:spid="_x0000_s1040" style="position:absolute;left:14325;top:25146;width:217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4541961F" w14:textId="02A1BD41" w:rsidR="0098013D" w:rsidRPr="003A5FE2" w:rsidRDefault="0098013D" w:rsidP="0098013D">
                        <w:pPr>
                          <w:spacing w:before="50" w:after="50"/>
                          <w:ind w:left="0"/>
                          <w:jc w:val="center"/>
                          <w:rPr>
                            <w:sz w:val="18"/>
                            <w:szCs w:val="18"/>
                          </w:rPr>
                        </w:pPr>
                        <w:r>
                          <w:rPr>
                            <w:sz w:val="18"/>
                            <w:szCs w:val="18"/>
                          </w:rPr>
                          <w:t>LCFS will seek agreement from the CFO to carry out a full investigation.</w:t>
                        </w:r>
                      </w:p>
                    </w:txbxContent>
                  </v:textbox>
                </v:rect>
                <v:rect id="Rectangle 17" o:spid="_x0000_s1041" style="position:absolute;left:14325;top:32004;width:217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40FB2F2D" w14:textId="77777777" w:rsidR="0098013D" w:rsidRDefault="0098013D" w:rsidP="0098013D">
                        <w:pPr>
                          <w:spacing w:before="50" w:after="50"/>
                          <w:ind w:left="0"/>
                          <w:jc w:val="center"/>
                          <w:rPr>
                            <w:sz w:val="18"/>
                            <w:szCs w:val="18"/>
                          </w:rPr>
                        </w:pPr>
                        <w:r w:rsidRPr="000919D9">
                          <w:rPr>
                            <w:sz w:val="18"/>
                            <w:szCs w:val="18"/>
                          </w:rPr>
                          <w:t>LCFS commences further investigation.</w:t>
                        </w:r>
                      </w:p>
                      <w:p w14:paraId="7F4DA7F6" w14:textId="77777777" w:rsidR="0098013D" w:rsidRPr="000919D9" w:rsidRDefault="0098013D" w:rsidP="0098013D">
                        <w:pPr>
                          <w:spacing w:before="50" w:after="50"/>
                          <w:jc w:val="center"/>
                          <w:rPr>
                            <w:sz w:val="18"/>
                            <w:szCs w:val="18"/>
                          </w:rPr>
                        </w:pPr>
                      </w:p>
                    </w:txbxContent>
                  </v:textbox>
                </v:rect>
                <v:rect id="Rectangle 18" o:spid="_x0000_s1042" style="position:absolute;left:41757;top:25892;width:16002;height:9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46568382" w14:textId="45D94840" w:rsidR="0098013D" w:rsidRPr="000919D9" w:rsidRDefault="0098013D" w:rsidP="0098013D">
                        <w:pPr>
                          <w:spacing w:before="50" w:after="50"/>
                          <w:ind w:left="0"/>
                          <w:jc w:val="center"/>
                          <w:rPr>
                            <w:sz w:val="18"/>
                            <w:szCs w:val="18"/>
                          </w:rPr>
                        </w:pPr>
                        <w:r>
                          <w:rPr>
                            <w:sz w:val="18"/>
                            <w:szCs w:val="18"/>
                          </w:rPr>
                          <w:t>Regular reports to the CFO on all fraud, bribery, and corruption cases at agreed stages of the investigation.</w:t>
                        </w:r>
                      </w:p>
                    </w:txbxContent>
                  </v:textbox>
                </v:rect>
                <v:rect id="Rectangle 19" o:spid="_x0000_s1043" style="position:absolute;left:41757;top:36576;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171BC4D8" w14:textId="77777777" w:rsidR="0098013D" w:rsidRDefault="0098013D" w:rsidP="0098013D">
                        <w:pPr>
                          <w:spacing w:before="50" w:after="50"/>
                          <w:ind w:left="0"/>
                          <w:jc w:val="center"/>
                          <w:rPr>
                            <w:sz w:val="18"/>
                            <w:szCs w:val="18"/>
                          </w:rPr>
                        </w:pPr>
                        <w:r>
                          <w:rPr>
                            <w:sz w:val="18"/>
                            <w:szCs w:val="18"/>
                          </w:rPr>
                          <w:t>Regular reports to the Audit Committee.</w:t>
                        </w:r>
                      </w:p>
                      <w:p w14:paraId="1F5B4A98" w14:textId="77777777" w:rsidR="0098013D" w:rsidRPr="000919D9" w:rsidRDefault="0098013D" w:rsidP="0098013D">
                        <w:pPr>
                          <w:spacing w:before="50" w:after="50"/>
                          <w:jc w:val="center"/>
                          <w:rPr>
                            <w:sz w:val="18"/>
                            <w:szCs w:val="18"/>
                          </w:rPr>
                        </w:pPr>
                      </w:p>
                    </w:txbxContent>
                  </v:textbox>
                </v:rect>
                <v:rect id="Rectangle 20" o:spid="_x0000_s1044" style="position:absolute;left:6324;top:43434;width:4343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75BDC71A" w14:textId="18738A43" w:rsidR="0098013D" w:rsidRDefault="0098013D" w:rsidP="0098013D">
                        <w:pPr>
                          <w:spacing w:before="50" w:after="50"/>
                          <w:jc w:val="center"/>
                          <w:rPr>
                            <w:sz w:val="18"/>
                            <w:szCs w:val="18"/>
                          </w:rPr>
                        </w:pPr>
                        <w:r>
                          <w:rPr>
                            <w:sz w:val="18"/>
                            <w:szCs w:val="18"/>
                          </w:rPr>
                          <w:t xml:space="preserve">LCFS completes full investigation with recommendations and submits report to the CFO and, where appropriate, </w:t>
                        </w:r>
                        <w:r w:rsidR="003711DB">
                          <w:rPr>
                            <w:sz w:val="18"/>
                            <w:szCs w:val="18"/>
                          </w:rPr>
                          <w:t>People Directorate</w:t>
                        </w:r>
                        <w:r>
                          <w:rPr>
                            <w:sz w:val="18"/>
                            <w:szCs w:val="18"/>
                          </w:rPr>
                          <w:t>.  Both Directors decide on appropriate course of action.</w:t>
                        </w:r>
                      </w:p>
                      <w:p w14:paraId="0C8C15E7" w14:textId="77777777" w:rsidR="0098013D" w:rsidRPr="003A5FE2" w:rsidRDefault="0098013D" w:rsidP="0098013D">
                        <w:pPr>
                          <w:spacing w:before="50" w:after="50"/>
                          <w:jc w:val="center"/>
                          <w:rPr>
                            <w:sz w:val="18"/>
                            <w:szCs w:val="18"/>
                          </w:rPr>
                        </w:pPr>
                      </w:p>
                    </w:txbxContent>
                  </v:textbox>
                </v:rect>
                <v:line id="Line 21" o:spid="_x0000_s1045" style="position:absolute;flip:x;visibility:visible;mso-wrap-style:square" from="24612,22860" to="49758,2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22" o:spid="_x0000_s1046" style="position:absolute;visibility:visible;mso-wrap-style:square" from="24612,22860" to="24620,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3" o:spid="_x0000_s1047" style="position:absolute;visibility:visible;mso-wrap-style:square" from="24612,30861" to="24612,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24" o:spid="_x0000_s1048" style="position:absolute;visibility:visible;mso-wrap-style:square" from="36042,34290" to="38328,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25" o:spid="_x0000_s1049" style="position:absolute;visibility:visible;mso-wrap-style:square" from="38328,34290" to="38336,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26" o:spid="_x0000_s1050" style="position:absolute;visibility:visible;mso-wrap-style:square" from="38328,40005" to="41757,4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27" o:spid="_x0000_s1051" style="position:absolute;flip:y;visibility:visible;mso-wrap-style:square" from="38328,30861" to="38336,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28" o:spid="_x0000_s1052" style="position:absolute;visibility:visible;mso-wrap-style:square" from="38328,30861" to="41757,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9" o:spid="_x0000_s1053" style="position:absolute;visibility:visible;mso-wrap-style:square" from="24612,37719" to="24620,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rect id="Rectangle 30" o:spid="_x0000_s1054" style="position:absolute;left:6324;top:52578;width:12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717F61FB" w14:textId="0A0EFD63" w:rsidR="0098013D" w:rsidRDefault="0098013D" w:rsidP="0098013D">
                        <w:pPr>
                          <w:spacing w:before="50" w:after="50"/>
                          <w:ind w:left="0"/>
                          <w:jc w:val="center"/>
                          <w:rPr>
                            <w:sz w:val="18"/>
                            <w:szCs w:val="18"/>
                          </w:rPr>
                        </w:pPr>
                        <w:r>
                          <w:rPr>
                            <w:sz w:val="18"/>
                            <w:szCs w:val="18"/>
                          </w:rPr>
                          <w:t>No fraud / bribery / corruption found.</w:t>
                        </w:r>
                      </w:p>
                      <w:p w14:paraId="3EDEDA63" w14:textId="77777777" w:rsidR="0098013D" w:rsidRPr="00C13E7A" w:rsidRDefault="0098013D" w:rsidP="0098013D">
                        <w:pPr>
                          <w:spacing w:before="50" w:after="50"/>
                          <w:ind w:left="0"/>
                          <w:jc w:val="center"/>
                          <w:rPr>
                            <w:b/>
                            <w:sz w:val="18"/>
                            <w:szCs w:val="18"/>
                          </w:rPr>
                        </w:pPr>
                        <w:r w:rsidRPr="00C13E7A">
                          <w:rPr>
                            <w:b/>
                            <w:sz w:val="18"/>
                            <w:szCs w:val="18"/>
                          </w:rPr>
                          <w:t>No further action</w:t>
                        </w:r>
                      </w:p>
                    </w:txbxContent>
                  </v:textbox>
                </v:rect>
                <v:rect id="Rectangle 31" o:spid="_x0000_s1055" style="position:absolute;left:20040;top:52578;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18E8FB7A" w14:textId="31D10CBD" w:rsidR="0098013D" w:rsidRDefault="0098013D" w:rsidP="0098013D">
                        <w:pPr>
                          <w:spacing w:before="50" w:after="50"/>
                          <w:ind w:left="0"/>
                          <w:jc w:val="center"/>
                          <w:rPr>
                            <w:sz w:val="18"/>
                            <w:szCs w:val="18"/>
                          </w:rPr>
                        </w:pPr>
                        <w:r>
                          <w:rPr>
                            <w:sz w:val="18"/>
                            <w:szCs w:val="18"/>
                          </w:rPr>
                          <w:t>Fraud / bribery / corruption found.</w:t>
                        </w:r>
                      </w:p>
                      <w:p w14:paraId="3D04416D" w14:textId="77777777" w:rsidR="0098013D" w:rsidRPr="00C13E7A" w:rsidRDefault="0098013D" w:rsidP="0098013D">
                        <w:pPr>
                          <w:spacing w:before="50" w:after="50"/>
                          <w:ind w:left="0"/>
                          <w:jc w:val="center"/>
                          <w:rPr>
                            <w:b/>
                            <w:sz w:val="18"/>
                            <w:szCs w:val="18"/>
                          </w:rPr>
                        </w:pPr>
                        <w:r w:rsidRPr="00C13E7A">
                          <w:rPr>
                            <w:b/>
                            <w:sz w:val="18"/>
                            <w:szCs w:val="18"/>
                          </w:rPr>
                          <w:t xml:space="preserve">Disciplinary </w:t>
                        </w:r>
                        <w:r>
                          <w:rPr>
                            <w:b/>
                            <w:sz w:val="18"/>
                            <w:szCs w:val="18"/>
                          </w:rPr>
                          <w:t>a</w:t>
                        </w:r>
                        <w:r w:rsidRPr="00C13E7A">
                          <w:rPr>
                            <w:b/>
                            <w:sz w:val="18"/>
                            <w:szCs w:val="18"/>
                          </w:rPr>
                          <w:t>ction</w:t>
                        </w:r>
                      </w:p>
                      <w:p w14:paraId="674EBEB9" w14:textId="77777777" w:rsidR="0098013D" w:rsidRPr="003A5FE2" w:rsidRDefault="0098013D" w:rsidP="0098013D">
                        <w:pPr>
                          <w:spacing w:before="50" w:after="50"/>
                          <w:jc w:val="center"/>
                          <w:rPr>
                            <w:sz w:val="18"/>
                            <w:szCs w:val="18"/>
                          </w:rPr>
                        </w:pPr>
                      </w:p>
                    </w:txbxContent>
                  </v:textbox>
                </v:rect>
                <v:rect id="Rectangle 32" o:spid="_x0000_s1056" style="position:absolute;left:39471;top:52578;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02DC0ED3" w14:textId="6F22F773" w:rsidR="0098013D" w:rsidRDefault="0098013D" w:rsidP="0098013D">
                        <w:pPr>
                          <w:spacing w:before="50" w:after="50"/>
                          <w:ind w:left="0"/>
                          <w:jc w:val="center"/>
                          <w:rPr>
                            <w:sz w:val="18"/>
                            <w:szCs w:val="18"/>
                          </w:rPr>
                        </w:pPr>
                        <w:r>
                          <w:rPr>
                            <w:sz w:val="18"/>
                            <w:szCs w:val="18"/>
                          </w:rPr>
                          <w:t>Fraud / bribery / corruption found.</w:t>
                        </w:r>
                      </w:p>
                      <w:p w14:paraId="4F3164AE" w14:textId="77777777" w:rsidR="0098013D" w:rsidRPr="00C13E7A" w:rsidRDefault="0098013D" w:rsidP="0098013D">
                        <w:pPr>
                          <w:spacing w:before="50" w:after="50"/>
                          <w:ind w:left="0"/>
                          <w:jc w:val="center"/>
                          <w:rPr>
                            <w:b/>
                            <w:sz w:val="18"/>
                            <w:szCs w:val="18"/>
                          </w:rPr>
                        </w:pPr>
                        <w:r>
                          <w:rPr>
                            <w:b/>
                            <w:sz w:val="18"/>
                            <w:szCs w:val="18"/>
                          </w:rPr>
                          <w:t>Criminal</w:t>
                        </w:r>
                        <w:r w:rsidRPr="00C13E7A">
                          <w:rPr>
                            <w:b/>
                            <w:sz w:val="18"/>
                            <w:szCs w:val="18"/>
                          </w:rPr>
                          <w:t xml:space="preserve"> </w:t>
                        </w:r>
                        <w:r>
                          <w:rPr>
                            <w:b/>
                            <w:sz w:val="18"/>
                            <w:szCs w:val="18"/>
                          </w:rPr>
                          <w:t>a</w:t>
                        </w:r>
                        <w:r w:rsidRPr="00C13E7A">
                          <w:rPr>
                            <w:b/>
                            <w:sz w:val="18"/>
                            <w:szCs w:val="18"/>
                          </w:rPr>
                          <w:t>ction</w:t>
                        </w:r>
                      </w:p>
                      <w:p w14:paraId="34F0519D" w14:textId="77777777" w:rsidR="0098013D" w:rsidRPr="003A5FE2" w:rsidRDefault="0098013D" w:rsidP="0098013D">
                        <w:pPr>
                          <w:spacing w:before="50" w:after="50"/>
                          <w:jc w:val="center"/>
                          <w:rPr>
                            <w:sz w:val="18"/>
                            <w:szCs w:val="18"/>
                          </w:rPr>
                        </w:pPr>
                      </w:p>
                    </w:txbxContent>
                  </v:textbox>
                </v:rect>
                <v:rect id="Rectangle 33" o:spid="_x0000_s1057" style="position:absolute;left:29184;top:62865;width:182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466D1B37" w14:textId="77777777" w:rsidR="0098013D" w:rsidRPr="00C13E7A" w:rsidRDefault="0098013D" w:rsidP="0098013D">
                        <w:pPr>
                          <w:spacing w:before="50" w:after="50"/>
                          <w:ind w:left="0"/>
                          <w:jc w:val="center"/>
                          <w:rPr>
                            <w:b/>
                            <w:sz w:val="18"/>
                            <w:szCs w:val="18"/>
                          </w:rPr>
                        </w:pPr>
                        <w:r>
                          <w:rPr>
                            <w:b/>
                            <w:sz w:val="18"/>
                            <w:szCs w:val="18"/>
                          </w:rPr>
                          <w:t>Recovery of losses</w:t>
                        </w:r>
                      </w:p>
                      <w:p w14:paraId="62B9E219" w14:textId="77777777" w:rsidR="0098013D" w:rsidRPr="003A5FE2" w:rsidRDefault="0098013D" w:rsidP="0098013D">
                        <w:pPr>
                          <w:spacing w:before="50" w:after="50"/>
                          <w:jc w:val="center"/>
                          <w:rPr>
                            <w:sz w:val="18"/>
                            <w:szCs w:val="18"/>
                          </w:rPr>
                        </w:pPr>
                      </w:p>
                    </w:txbxContent>
                  </v:textbox>
                </v:rect>
                <v:line id="Line 34" o:spid="_x0000_s1058" style="position:absolute;visibility:visible;mso-wrap-style:square" from="29184,59436" to="29192,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5" o:spid="_x0000_s1059" style="position:absolute;visibility:visible;mso-wrap-style:square" from="47472,59436" to="47480,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36" o:spid="_x0000_s1060" style="position:absolute;visibility:visible;mso-wrap-style:square" from="29184,60579" to="47472,6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37" o:spid="_x0000_s1061" style="position:absolute;visibility:visible;mso-wrap-style:square" from="38328,60579" to="38336,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rect id="Rectangle 38" o:spid="_x0000_s1062" style="position:absolute;left:4038;top:69723;width:5372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14:paraId="4A003AF1" w14:textId="77777777" w:rsidR="0098013D" w:rsidRDefault="0098013D" w:rsidP="0098013D">
                        <w:pPr>
                          <w:spacing w:before="50" w:after="50"/>
                          <w:ind w:left="0"/>
                          <w:jc w:val="center"/>
                          <w:rPr>
                            <w:sz w:val="18"/>
                            <w:szCs w:val="18"/>
                          </w:rPr>
                        </w:pPr>
                        <w:r>
                          <w:rPr>
                            <w:sz w:val="18"/>
                            <w:szCs w:val="18"/>
                          </w:rPr>
                          <w:t>LCFS will liaise with relevant staff to ensure that remedial action is taken to implement lessons learnt from investigation.</w:t>
                        </w:r>
                      </w:p>
                      <w:p w14:paraId="05E20D5D" w14:textId="77777777" w:rsidR="0098013D" w:rsidRPr="003A5FE2" w:rsidRDefault="0098013D" w:rsidP="0098013D">
                        <w:pPr>
                          <w:spacing w:before="50" w:after="50"/>
                          <w:jc w:val="center"/>
                          <w:rPr>
                            <w:sz w:val="18"/>
                            <w:szCs w:val="18"/>
                          </w:rPr>
                        </w:pPr>
                      </w:p>
                    </w:txbxContent>
                  </v:textbox>
                </v:rect>
                <v:line id="Line 39" o:spid="_x0000_s1063" style="position:absolute;visibility:visible;mso-wrap-style:square" from="30327,67437" to="30335,6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line id="Line 40" o:spid="_x0000_s1064" style="position:absolute;flip:x;visibility:visible;mso-wrap-style:square" from="1752,24003" to="4038,2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v:line id="Line 41" o:spid="_x0000_s1065" style="position:absolute;visibility:visible;mso-wrap-style:square" from="1760,24155" to="1760,7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42" o:spid="_x0000_s1066" style="position:absolute;visibility:visible;mso-wrap-style:square" from="1752,72009" to="4038,7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line id="Line 43" o:spid="_x0000_s1067" style="position:absolute;visibility:visible;mso-wrap-style:square" from="28041,50292" to="28041,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44" o:spid="_x0000_s1068" style="position:absolute;flip:x;visibility:visible;mso-wrap-style:square" from="10896,51435" to="49758,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45" o:spid="_x0000_s1069" style="position:absolute;visibility:visible;mso-wrap-style:square" from="10896,51435" to="10896,5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46" o:spid="_x0000_s1070" style="position:absolute;visibility:visible;mso-wrap-style:square" from="29184,51435" to="29192,5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47" o:spid="_x0000_s1071" style="position:absolute;visibility:visible;mso-wrap-style:square" from="49758,51435" to="49758,5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">
                  <v:stroke endarrow="block"/>
                </v:line>
                <v:shape id="Text Box 527300852" o:spid="_x0000_s1072" type="#_x0000_t202" style="position:absolute;left:4294;top:23137;width:4919;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" fillcolor="white [3201]" strokeweight=".5pt">
                  <v:textbox>
                    <w:txbxContent>
                      <w:p w14:paraId="260B01EA" w14:textId="3C1A1C28" w:rsidR="00B2542D" w:rsidRPr="00B2542D" w:rsidRDefault="00B2542D" w:rsidP="00B2542D">
                        <w:pPr>
                          <w:ind w:left="0"/>
                          <w:jc w:val="center"/>
                          <w:rPr>
                            <w:sz w:val="18"/>
                            <w:szCs w:val="18"/>
                          </w:rPr>
                        </w:pPr>
                        <w:r w:rsidRPr="00B2542D">
                          <w:rPr>
                            <w:sz w:val="18"/>
                            <w:szCs w:val="18"/>
                          </w:rPr>
                          <w:t>No</w:t>
                        </w:r>
                      </w:p>
                    </w:txbxContent>
                  </v:textbox>
                </v:shape>
                <v:shape id="Text Box 451773182" o:spid="_x0000_s1073" type="#_x0000_t202" style="position:absolute;left:50292;top:21959;width:4502;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" fillcolor="white [3201]" strokeweight=".5pt">
                  <v:textbox>
                    <w:txbxContent>
                      <w:p w14:paraId="69D614AD" w14:textId="67506E51" w:rsidR="00B2542D" w:rsidRPr="00B2542D" w:rsidRDefault="00B2542D" w:rsidP="00B2542D">
                        <w:pPr>
                          <w:ind w:left="0"/>
                          <w:jc w:val="center"/>
                          <w:rPr>
                            <w:sz w:val="18"/>
                            <w:szCs w:val="18"/>
                          </w:rPr>
                        </w:pPr>
                        <w:r w:rsidRPr="00B2542D">
                          <w:rPr>
                            <w:sz w:val="18"/>
                            <w:szCs w:val="18"/>
                          </w:rPr>
                          <w:t>Yes</w:t>
                        </w:r>
                      </w:p>
                    </w:txbxContent>
                  </v:textbox>
                </v:shape>
                <w10:anchorlock/>
              </v:group>
            </w:pict>
          </mc:Fallback>
        </mc:AlternateContent>
      </w:r>
    </w:p>
    <w:p w14:paraId="191ABE4C" w14:textId="2A2233FB" w:rsidR="00A33756" w:rsidRDefault="00A33756" w:rsidP="00071E3C">
      <w:pPr>
        <w:pStyle w:val="Heading1"/>
        <w:numPr>
          <w:ilvl w:val="0"/>
          <w:numId w:val="0"/>
        </w:numPr>
        <w:ind w:left="737" w:hanging="737"/>
      </w:pPr>
      <w:bookmarkStart w:id="30" w:name="_Toc415322602"/>
      <w:bookmarkStart w:id="31" w:name="_Toc415326377"/>
      <w:bookmarkStart w:id="32" w:name="_Toc417822773"/>
      <w:bookmarkStart w:id="33" w:name="_Toc418111872"/>
      <w:bookmarkStart w:id="34" w:name="_Toc419388298"/>
      <w:bookmarkStart w:id="35" w:name="_Toc47357161"/>
      <w:bookmarkStart w:id="36" w:name="_Toc84611065"/>
      <w:bookmarkStart w:id="37" w:name="_Toc210650416"/>
      <w:r>
        <w:lastRenderedPageBreak/>
        <w:t xml:space="preserve">APPENDIX </w:t>
      </w:r>
      <w:bookmarkEnd w:id="26"/>
      <w:bookmarkEnd w:id="30"/>
      <w:bookmarkEnd w:id="31"/>
      <w:bookmarkEnd w:id="32"/>
      <w:bookmarkEnd w:id="33"/>
      <w:bookmarkEnd w:id="34"/>
      <w:bookmarkEnd w:id="35"/>
      <w:bookmarkEnd w:id="36"/>
      <w:r w:rsidR="00B2542D">
        <w:t xml:space="preserve">D </w:t>
      </w:r>
      <w:r w:rsidR="00071E3C">
        <w:t xml:space="preserve">- </w:t>
      </w:r>
      <w:bookmarkStart w:id="38" w:name="_Toc84611066"/>
      <w:r>
        <w:t>Equality Impact Assessment</w:t>
      </w:r>
      <w:bookmarkEnd w:id="38"/>
      <w:bookmarkEnd w:id="37"/>
    </w:p>
    <w:p w14:paraId="1F47B191" w14:textId="77777777" w:rsidR="00071E3C" w:rsidRPr="00071E3C" w:rsidRDefault="00071E3C" w:rsidP="00071E3C">
      <w:pPr>
        <w:keepNext/>
        <w:keepLines/>
        <w:spacing w:before="240" w:after="200"/>
        <w:ind w:left="0"/>
        <w:outlineLvl w:val="0"/>
        <w:rPr>
          <w:rFonts w:eastAsia="Times New Roman" w:cs="Times New Roman"/>
          <w:b/>
          <w:color w:val="231F20"/>
          <w:lang w:eastAsia="en-US"/>
        </w:rPr>
      </w:pPr>
      <w:bookmarkStart w:id="39" w:name="_Toc89326557"/>
      <w:bookmarkStart w:id="40" w:name="_Toc89326561"/>
      <w:r w:rsidRPr="00071E3C">
        <w:rPr>
          <w:rFonts w:eastAsia="Times New Roman" w:cs="Times New Roman"/>
          <w:b/>
          <w:color w:val="231F20"/>
          <w:lang w:eastAsia="en-US"/>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071E3C" w:rsidRPr="00071E3C" w14:paraId="014F598C" w14:textId="77777777" w:rsidTr="00AA6459">
        <w:trPr>
          <w:trHeight w:val="1183"/>
        </w:trPr>
        <w:tc>
          <w:tcPr>
            <w:tcW w:w="2966" w:type="pct"/>
          </w:tcPr>
          <w:p w14:paraId="20CB22BA" w14:textId="712D5FA6" w:rsidR="00071E3C" w:rsidRPr="00071E3C" w:rsidRDefault="00071E3C" w:rsidP="00071E3C">
            <w:pPr>
              <w:spacing w:before="0" w:after="0"/>
              <w:ind w:left="0"/>
              <w:rPr>
                <w:rFonts w:eastAsia="Times New Roman" w:cs="Arial"/>
                <w:lang w:eastAsia="en-US"/>
              </w:rPr>
            </w:pPr>
            <w:r w:rsidRPr="00071E3C">
              <w:rPr>
                <w:rFonts w:eastAsia="Times New Roman" w:cs="Arial"/>
                <w:b/>
                <w:bCs/>
                <w:lang w:eastAsia="en-US"/>
              </w:rPr>
              <w:t xml:space="preserve">Name of policy: </w:t>
            </w:r>
            <w:r>
              <w:rPr>
                <w:rFonts w:eastAsia="Times New Roman" w:cs="Arial"/>
                <w:lang w:eastAsia="en-US"/>
              </w:rPr>
              <w:t xml:space="preserve">Counter Fraud, Bribery and Corruption </w:t>
            </w:r>
            <w:r w:rsidRPr="00071E3C">
              <w:rPr>
                <w:rFonts w:eastAsia="Times New Roman" w:cs="Arial"/>
                <w:lang w:eastAsia="en-US"/>
              </w:rPr>
              <w:t>Policy</w:t>
            </w:r>
          </w:p>
          <w:p w14:paraId="2C0004CD" w14:textId="77777777" w:rsidR="00071E3C" w:rsidRPr="00071E3C" w:rsidRDefault="00071E3C" w:rsidP="00071E3C">
            <w:pPr>
              <w:spacing w:before="0" w:after="0"/>
              <w:ind w:left="0"/>
              <w:rPr>
                <w:rFonts w:eastAsia="Times New Roman" w:cs="Arial"/>
                <w:bCs/>
                <w:lang w:eastAsia="en-US"/>
              </w:rPr>
            </w:pPr>
          </w:p>
          <w:p w14:paraId="17C4EE0A" w14:textId="06F61B5F" w:rsidR="00071E3C" w:rsidRPr="00071E3C" w:rsidRDefault="00071E3C" w:rsidP="00071E3C">
            <w:pPr>
              <w:spacing w:before="0" w:after="0"/>
              <w:ind w:left="0"/>
              <w:rPr>
                <w:rFonts w:eastAsia="Times New Roman" w:cs="Arial"/>
                <w:b/>
                <w:bCs/>
                <w:lang w:eastAsia="en-US"/>
              </w:rPr>
            </w:pPr>
            <w:r w:rsidRPr="00071E3C">
              <w:rPr>
                <w:rFonts w:eastAsia="Times New Roman" w:cs="Arial"/>
                <w:b/>
                <w:bCs/>
                <w:lang w:eastAsia="en-US"/>
              </w:rPr>
              <w:t xml:space="preserve">Version number (if relevant):  </w:t>
            </w:r>
            <w:r w:rsidR="009460C8">
              <w:rPr>
                <w:rFonts w:eastAsia="Times New Roman" w:cs="Arial"/>
                <w:b/>
                <w:bCs/>
                <w:lang w:eastAsia="en-US"/>
              </w:rPr>
              <w:t>V3.0</w:t>
            </w:r>
          </w:p>
        </w:tc>
        <w:tc>
          <w:tcPr>
            <w:tcW w:w="2034" w:type="pct"/>
          </w:tcPr>
          <w:p w14:paraId="6CB06184" w14:textId="3A8B1DB5" w:rsidR="00071E3C" w:rsidRDefault="00071E3C" w:rsidP="00071E3C">
            <w:pPr>
              <w:spacing w:before="0" w:after="0"/>
              <w:ind w:left="0"/>
              <w:rPr>
                <w:rFonts w:eastAsia="Times New Roman" w:cs="Arial"/>
                <w:bCs/>
                <w:lang w:eastAsia="en-US"/>
              </w:rPr>
            </w:pPr>
            <w:r w:rsidRPr="00071E3C">
              <w:rPr>
                <w:rFonts w:eastAsia="Times New Roman" w:cs="Arial"/>
                <w:b/>
                <w:bCs/>
                <w:lang w:eastAsia="en-US"/>
              </w:rPr>
              <w:t>Directorate/Service</w:t>
            </w:r>
            <w:r w:rsidRPr="00071E3C">
              <w:rPr>
                <w:rFonts w:eastAsia="Times New Roman" w:cs="Arial"/>
                <w:bCs/>
                <w:lang w:eastAsia="en-US"/>
              </w:rPr>
              <w:t xml:space="preserve">: </w:t>
            </w:r>
            <w:r w:rsidR="00F740E6">
              <w:rPr>
                <w:rFonts w:eastAsia="Times New Roman" w:cs="Arial"/>
                <w:bCs/>
                <w:lang w:eastAsia="en-US"/>
              </w:rPr>
              <w:t>Finance and Estates</w:t>
            </w:r>
          </w:p>
          <w:p w14:paraId="3B93B3F9" w14:textId="77777777" w:rsidR="00F740E6" w:rsidRPr="00071E3C" w:rsidRDefault="00F740E6" w:rsidP="00071E3C">
            <w:pPr>
              <w:spacing w:before="0" w:after="0"/>
              <w:ind w:left="0"/>
              <w:rPr>
                <w:rFonts w:eastAsia="Times New Roman" w:cs="Arial"/>
                <w:bCs/>
                <w:lang w:eastAsia="en-US"/>
              </w:rPr>
            </w:pPr>
          </w:p>
          <w:p w14:paraId="29C18D1D" w14:textId="77777777" w:rsidR="00071E3C" w:rsidRPr="00071E3C" w:rsidRDefault="00071E3C" w:rsidP="00071E3C">
            <w:pPr>
              <w:spacing w:before="0" w:after="0"/>
              <w:ind w:left="0"/>
              <w:rPr>
                <w:rFonts w:eastAsia="Times New Roman" w:cs="Arial"/>
                <w:bCs/>
                <w:lang w:eastAsia="en-US"/>
              </w:rPr>
            </w:pPr>
          </w:p>
        </w:tc>
      </w:tr>
      <w:tr w:rsidR="00071E3C" w:rsidRPr="00071E3C" w14:paraId="3870E03E" w14:textId="77777777" w:rsidTr="00AA6459">
        <w:trPr>
          <w:trHeight w:val="844"/>
        </w:trPr>
        <w:tc>
          <w:tcPr>
            <w:tcW w:w="2966" w:type="pct"/>
          </w:tcPr>
          <w:p w14:paraId="5C2AF253" w14:textId="77777777" w:rsidR="00071E3C" w:rsidRPr="00071E3C" w:rsidRDefault="00071E3C" w:rsidP="00071E3C">
            <w:pPr>
              <w:spacing w:before="0" w:after="0"/>
              <w:ind w:left="0"/>
              <w:rPr>
                <w:rFonts w:eastAsia="Times New Roman" w:cs="Arial"/>
                <w:b/>
                <w:bCs/>
                <w:lang w:eastAsia="en-US"/>
              </w:rPr>
            </w:pPr>
            <w:r w:rsidRPr="00071E3C">
              <w:rPr>
                <w:rFonts w:eastAsia="Times New Roman" w:cs="Arial"/>
                <w:b/>
                <w:bCs/>
                <w:lang w:eastAsia="en-US"/>
              </w:rPr>
              <w:t xml:space="preserve">Assessor’s Name and Job Title: </w:t>
            </w:r>
          </w:p>
          <w:p w14:paraId="769F4945" w14:textId="6096E0C2" w:rsidR="00071E3C" w:rsidRPr="00071E3C" w:rsidRDefault="00587D9A" w:rsidP="00071E3C">
            <w:pPr>
              <w:spacing w:before="0" w:after="0"/>
              <w:ind w:left="0"/>
              <w:rPr>
                <w:rFonts w:eastAsia="Times New Roman" w:cs="Arial"/>
                <w:b/>
                <w:bCs/>
                <w:lang w:eastAsia="en-US"/>
              </w:rPr>
            </w:pPr>
            <w:r>
              <w:rPr>
                <w:rFonts w:eastAsia="Times New Roman" w:cs="Arial"/>
                <w:b/>
                <w:bCs/>
                <w:lang w:eastAsia="en-US"/>
              </w:rPr>
              <w:t>Sara O’Connor, Senior Manager Corporate Services</w:t>
            </w:r>
          </w:p>
          <w:p w14:paraId="57CACFAE" w14:textId="5EE24F2E" w:rsidR="00071E3C" w:rsidRPr="00071E3C" w:rsidRDefault="00071E3C" w:rsidP="00071E3C">
            <w:pPr>
              <w:spacing w:before="0" w:after="0"/>
              <w:ind w:left="0"/>
              <w:rPr>
                <w:rFonts w:eastAsia="Times New Roman" w:cs="Arial"/>
                <w:lang w:eastAsia="en-US"/>
              </w:rPr>
            </w:pPr>
          </w:p>
        </w:tc>
        <w:tc>
          <w:tcPr>
            <w:tcW w:w="2034" w:type="pct"/>
          </w:tcPr>
          <w:p w14:paraId="1A8E2A8B" w14:textId="77777777" w:rsidR="00071E3C" w:rsidRPr="00071E3C" w:rsidRDefault="00071E3C" w:rsidP="00071E3C">
            <w:pPr>
              <w:spacing w:before="0" w:after="0"/>
              <w:ind w:left="0"/>
              <w:rPr>
                <w:rFonts w:eastAsia="Times New Roman" w:cs="Arial"/>
                <w:bCs/>
                <w:lang w:eastAsia="en-US"/>
              </w:rPr>
            </w:pPr>
            <w:r w:rsidRPr="00071E3C">
              <w:rPr>
                <w:rFonts w:eastAsia="Times New Roman" w:cs="Arial"/>
                <w:b/>
                <w:bCs/>
                <w:lang w:eastAsia="en-US"/>
              </w:rPr>
              <w:t>Date:</w:t>
            </w:r>
            <w:r w:rsidRPr="00071E3C">
              <w:rPr>
                <w:rFonts w:eastAsia="Times New Roman" w:cs="Arial"/>
                <w:bCs/>
                <w:lang w:eastAsia="en-US"/>
              </w:rPr>
              <w:t xml:space="preserve"> </w:t>
            </w:r>
          </w:p>
          <w:p w14:paraId="5B02D24A" w14:textId="77777777" w:rsidR="00071E3C" w:rsidRPr="00071E3C" w:rsidRDefault="00071E3C" w:rsidP="00071E3C">
            <w:pPr>
              <w:spacing w:before="0" w:after="0"/>
              <w:ind w:left="0"/>
              <w:rPr>
                <w:rFonts w:eastAsia="Times New Roman" w:cs="Arial"/>
                <w:bCs/>
                <w:lang w:eastAsia="en-US"/>
              </w:rPr>
            </w:pPr>
          </w:p>
          <w:p w14:paraId="164A38C7" w14:textId="083B70B0" w:rsidR="00071E3C" w:rsidRPr="00071E3C" w:rsidRDefault="009460C8" w:rsidP="00071E3C">
            <w:pPr>
              <w:spacing w:before="0" w:after="0"/>
              <w:ind w:left="0"/>
              <w:rPr>
                <w:rFonts w:eastAsia="Times New Roman" w:cs="Arial"/>
                <w:bCs/>
                <w:lang w:eastAsia="en-US"/>
              </w:rPr>
            </w:pPr>
            <w:r>
              <w:rPr>
                <w:rFonts w:eastAsia="Times New Roman" w:cs="Arial"/>
                <w:bCs/>
                <w:lang w:eastAsia="en-US"/>
              </w:rPr>
              <w:t xml:space="preserve">September </w:t>
            </w:r>
            <w:r w:rsidR="00587D9A">
              <w:rPr>
                <w:rFonts w:eastAsia="Times New Roman" w:cs="Arial"/>
                <w:bCs/>
                <w:lang w:eastAsia="en-US"/>
              </w:rPr>
              <w:t>202</w:t>
            </w:r>
            <w:r w:rsidR="00CF077F">
              <w:rPr>
                <w:rFonts w:eastAsia="Times New Roman" w:cs="Arial"/>
                <w:bCs/>
                <w:lang w:eastAsia="en-US"/>
              </w:rPr>
              <w:t>5</w:t>
            </w:r>
          </w:p>
        </w:tc>
      </w:tr>
    </w:tbl>
    <w:p w14:paraId="5D577BF8" w14:textId="77777777" w:rsidR="00071E3C" w:rsidRPr="00071E3C" w:rsidRDefault="00071E3C" w:rsidP="00071E3C">
      <w:pPr>
        <w:autoSpaceDE w:val="0"/>
        <w:autoSpaceDN w:val="0"/>
        <w:adjustRightInd w:val="0"/>
        <w:spacing w:before="0" w:after="0"/>
        <w:ind w:left="0"/>
        <w:rPr>
          <w:rFonts w:eastAsia="Times New Roman" w:cs="Arial"/>
          <w:b/>
          <w:bCs/>
          <w:color w:val="000000"/>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71E3C" w:rsidRPr="00071E3C" w14:paraId="0FD8CF24" w14:textId="77777777" w:rsidTr="00AA6459">
        <w:tc>
          <w:tcPr>
            <w:tcW w:w="5000" w:type="pct"/>
            <w:vAlign w:val="center"/>
          </w:tcPr>
          <w:p w14:paraId="003BC3F2" w14:textId="77777777" w:rsidR="00071E3C" w:rsidRPr="00071E3C" w:rsidRDefault="00071E3C" w:rsidP="00071E3C">
            <w:pPr>
              <w:spacing w:before="0" w:after="0"/>
              <w:ind w:left="0"/>
              <w:rPr>
                <w:rFonts w:eastAsia="Times New Roman" w:cs="Arial"/>
                <w:b/>
                <w:bCs/>
                <w:color w:val="000000"/>
                <w:lang w:eastAsia="en-US"/>
              </w:rPr>
            </w:pPr>
            <w:r w:rsidRPr="00071E3C">
              <w:rPr>
                <w:rFonts w:eastAsia="Times New Roman" w:cs="Arial"/>
                <w:b/>
                <w:bCs/>
                <w:color w:val="000000"/>
                <w:lang w:eastAsia="en-US"/>
              </w:rPr>
              <w:t>OUTCOMES</w:t>
            </w:r>
          </w:p>
        </w:tc>
      </w:tr>
      <w:tr w:rsidR="00071E3C" w:rsidRPr="00071E3C" w14:paraId="16CA9EAB" w14:textId="77777777" w:rsidTr="00AA6459">
        <w:tc>
          <w:tcPr>
            <w:tcW w:w="5000" w:type="pct"/>
          </w:tcPr>
          <w:p w14:paraId="0B8F62B6" w14:textId="77777777" w:rsidR="00071E3C" w:rsidRPr="00071E3C" w:rsidRDefault="00071E3C" w:rsidP="00071E3C">
            <w:pPr>
              <w:spacing w:before="0" w:after="0"/>
              <w:ind w:left="0"/>
              <w:rPr>
                <w:rFonts w:eastAsia="Times New Roman" w:cs="Arial"/>
                <w:bCs/>
                <w:i/>
                <w:iCs/>
                <w:lang w:eastAsia="en-US"/>
              </w:rPr>
            </w:pPr>
            <w:r w:rsidRPr="00071E3C">
              <w:rPr>
                <w:rFonts w:eastAsia="Times New Roman" w:cs="Arial"/>
                <w:bCs/>
                <w:i/>
                <w:iCs/>
                <w:lang w:eastAsia="en-US"/>
              </w:rPr>
              <w:t xml:space="preserve">Briefly describe the aim of the policy and state the intended outcomes for staff </w:t>
            </w:r>
          </w:p>
        </w:tc>
      </w:tr>
      <w:tr w:rsidR="00071E3C" w:rsidRPr="00071E3C" w14:paraId="140E741C" w14:textId="77777777" w:rsidTr="00071E3C">
        <w:trPr>
          <w:trHeight w:val="1750"/>
        </w:trPr>
        <w:tc>
          <w:tcPr>
            <w:tcW w:w="5000" w:type="pct"/>
          </w:tcPr>
          <w:p w14:paraId="50292D89" w14:textId="77777777" w:rsidR="00071E3C" w:rsidRPr="00071E3C" w:rsidRDefault="00071E3C" w:rsidP="00071E3C">
            <w:pPr>
              <w:autoSpaceDE w:val="0"/>
              <w:autoSpaceDN w:val="0"/>
              <w:adjustRightInd w:val="0"/>
              <w:spacing w:before="0" w:after="0"/>
              <w:ind w:left="0"/>
              <w:rPr>
                <w:rFonts w:eastAsia="Times New Roman" w:cs="Arial"/>
                <w:color w:val="000000"/>
                <w:lang w:eastAsia="en-US"/>
              </w:rPr>
            </w:pPr>
            <w:r w:rsidRPr="00071E3C">
              <w:rPr>
                <w:rFonts w:eastAsia="Times New Roman" w:cs="Arial"/>
                <w:color w:val="000000"/>
                <w:lang w:eastAsia="en-US"/>
              </w:rPr>
              <w:t>This policy aims to:</w:t>
            </w:r>
          </w:p>
          <w:p w14:paraId="56C4C0E7" w14:textId="77777777" w:rsidR="00071E3C" w:rsidRPr="00071E3C" w:rsidRDefault="00071E3C" w:rsidP="00071E3C">
            <w:pPr>
              <w:pStyle w:val="ListParagraph"/>
              <w:numPr>
                <w:ilvl w:val="0"/>
                <w:numId w:val="41"/>
              </w:numPr>
              <w:autoSpaceDE w:val="0"/>
              <w:autoSpaceDN w:val="0"/>
              <w:adjustRightInd w:val="0"/>
              <w:spacing w:before="0" w:after="0"/>
              <w:rPr>
                <w:rFonts w:eastAsia="Times New Roman" w:cs="Arial"/>
                <w:color w:val="000000"/>
                <w:lang w:eastAsia="en-US"/>
              </w:rPr>
            </w:pPr>
            <w:r w:rsidRPr="00071E3C">
              <w:rPr>
                <w:rFonts w:eastAsia="Times New Roman" w:cs="Arial"/>
                <w:color w:val="000000"/>
                <w:lang w:eastAsia="en-US"/>
              </w:rPr>
              <w:t>Explain how the ICB intends to tackle economic crime following the NHSCFA Strategy guidelines.</w:t>
            </w:r>
          </w:p>
          <w:p w14:paraId="5529397B" w14:textId="77777777" w:rsidR="00071E3C" w:rsidRPr="00071E3C" w:rsidRDefault="00071E3C" w:rsidP="00071E3C">
            <w:pPr>
              <w:pStyle w:val="ListParagraph"/>
              <w:numPr>
                <w:ilvl w:val="0"/>
                <w:numId w:val="41"/>
              </w:numPr>
              <w:autoSpaceDE w:val="0"/>
              <w:autoSpaceDN w:val="0"/>
              <w:adjustRightInd w:val="0"/>
              <w:spacing w:before="0" w:after="0"/>
              <w:rPr>
                <w:rFonts w:eastAsia="Times New Roman" w:cs="Arial"/>
                <w:color w:val="000000"/>
                <w:lang w:eastAsia="en-US"/>
              </w:rPr>
            </w:pPr>
            <w:r w:rsidRPr="00071E3C">
              <w:rPr>
                <w:rFonts w:eastAsia="Times New Roman" w:cs="Arial"/>
                <w:color w:val="000000"/>
                <w:lang w:eastAsia="en-US"/>
              </w:rPr>
              <w:t>Provide guidance.</w:t>
            </w:r>
          </w:p>
          <w:p w14:paraId="758BECF5" w14:textId="69A4C9D7" w:rsidR="00071E3C" w:rsidRPr="00071E3C" w:rsidRDefault="00071E3C" w:rsidP="00071E3C">
            <w:pPr>
              <w:pStyle w:val="ListParagraph"/>
              <w:numPr>
                <w:ilvl w:val="0"/>
                <w:numId w:val="41"/>
              </w:numPr>
              <w:autoSpaceDE w:val="0"/>
              <w:autoSpaceDN w:val="0"/>
              <w:adjustRightInd w:val="0"/>
              <w:spacing w:before="0" w:after="0"/>
              <w:rPr>
                <w:rFonts w:eastAsia="Times New Roman" w:cs="Arial"/>
                <w:color w:val="000000"/>
                <w:lang w:eastAsia="en-US"/>
              </w:rPr>
            </w:pPr>
            <w:r w:rsidRPr="00071E3C">
              <w:rPr>
                <w:rFonts w:eastAsia="Times New Roman" w:cs="Arial"/>
                <w:color w:val="000000"/>
                <w:lang w:eastAsia="en-US"/>
              </w:rPr>
              <w:t>Ensure employees are able to recognise economic crime and understand the correct reporting requirements</w:t>
            </w:r>
          </w:p>
        </w:tc>
      </w:tr>
      <w:tr w:rsidR="00071E3C" w:rsidRPr="00071E3C" w14:paraId="6915F90B" w14:textId="77777777" w:rsidTr="00AA6459">
        <w:tc>
          <w:tcPr>
            <w:tcW w:w="5000" w:type="pct"/>
            <w:vAlign w:val="center"/>
          </w:tcPr>
          <w:p w14:paraId="09890874" w14:textId="77777777" w:rsidR="00071E3C" w:rsidRPr="00071E3C" w:rsidRDefault="00071E3C" w:rsidP="00071E3C">
            <w:pPr>
              <w:spacing w:before="0" w:after="0"/>
              <w:ind w:left="0"/>
              <w:rPr>
                <w:rFonts w:eastAsia="Times New Roman" w:cs="Arial"/>
                <w:b/>
                <w:lang w:eastAsia="en-US"/>
              </w:rPr>
            </w:pPr>
            <w:r w:rsidRPr="00071E3C">
              <w:rPr>
                <w:rFonts w:eastAsia="Times New Roman" w:cs="Arial"/>
                <w:b/>
                <w:lang w:eastAsia="en-US"/>
              </w:rPr>
              <w:t>EVIDENCE</w:t>
            </w:r>
          </w:p>
        </w:tc>
      </w:tr>
      <w:tr w:rsidR="00071E3C" w:rsidRPr="00071E3C" w14:paraId="1C71189A" w14:textId="77777777" w:rsidTr="00AA6459">
        <w:tc>
          <w:tcPr>
            <w:tcW w:w="5000" w:type="pct"/>
          </w:tcPr>
          <w:p w14:paraId="0B000FF6" w14:textId="77777777" w:rsidR="00071E3C" w:rsidRPr="00071E3C" w:rsidRDefault="00071E3C" w:rsidP="00071E3C">
            <w:pPr>
              <w:spacing w:before="0" w:after="0"/>
              <w:ind w:left="0"/>
              <w:rPr>
                <w:rFonts w:eastAsia="Times New Roman" w:cs="Arial"/>
                <w:b/>
                <w:i/>
                <w:iCs/>
                <w:lang w:eastAsia="en-US"/>
              </w:rPr>
            </w:pPr>
            <w:r w:rsidRPr="00071E3C">
              <w:rPr>
                <w:rFonts w:eastAsia="Times New Roman" w:cs="Arial"/>
                <w:bCs/>
                <w:i/>
                <w:iCs/>
                <w:lang w:eastAsia="en-US"/>
              </w:rPr>
              <w:t>What data / information have you used to assess how this policy might impact on protected groups?</w:t>
            </w:r>
          </w:p>
        </w:tc>
      </w:tr>
      <w:tr w:rsidR="00071E3C" w:rsidRPr="00071E3C" w14:paraId="02BF9D2F" w14:textId="77777777" w:rsidTr="00AA6459">
        <w:trPr>
          <w:trHeight w:val="778"/>
        </w:trPr>
        <w:tc>
          <w:tcPr>
            <w:tcW w:w="5000" w:type="pct"/>
          </w:tcPr>
          <w:p w14:paraId="39C98351" w14:textId="77777777" w:rsidR="00071E3C" w:rsidRPr="00071E3C" w:rsidRDefault="00071E3C" w:rsidP="00071E3C">
            <w:pPr>
              <w:spacing w:before="0" w:after="0"/>
              <w:ind w:left="0"/>
              <w:rPr>
                <w:rFonts w:eastAsia="Times New Roman" w:cs="Arial"/>
                <w:bCs/>
                <w:lang w:eastAsia="en-US"/>
              </w:rPr>
            </w:pPr>
            <w:r w:rsidRPr="00071E3C">
              <w:rPr>
                <w:rFonts w:eastAsia="Times New Roman" w:cs="Arial"/>
                <w:bCs/>
                <w:lang w:eastAsia="en-US"/>
              </w:rPr>
              <w:t>The ICB monitors the composition of its workforce under the nine protected equality characteristics and report on this annually.  This information helps the ICB to assess the potential impact of its policies upon staff.</w:t>
            </w:r>
          </w:p>
        </w:tc>
      </w:tr>
      <w:tr w:rsidR="00071E3C" w:rsidRPr="00071E3C" w14:paraId="242D6342" w14:textId="77777777" w:rsidTr="00AA6459">
        <w:tc>
          <w:tcPr>
            <w:tcW w:w="5000" w:type="pct"/>
          </w:tcPr>
          <w:p w14:paraId="0BFDD6FD" w14:textId="77777777" w:rsidR="00071E3C" w:rsidRPr="00071E3C" w:rsidRDefault="00071E3C" w:rsidP="00071E3C">
            <w:pPr>
              <w:spacing w:before="0" w:after="0"/>
              <w:ind w:left="0"/>
              <w:rPr>
                <w:rFonts w:eastAsia="MS Mincho" w:cs="Arial"/>
                <w:bCs/>
                <w:i/>
                <w:iCs/>
                <w:color w:val="000000"/>
                <w:lang w:eastAsia="en-US"/>
              </w:rPr>
            </w:pPr>
            <w:r w:rsidRPr="00071E3C">
              <w:rPr>
                <w:rFonts w:eastAsia="MS Mincho" w:cs="Arial"/>
                <w:bCs/>
                <w:i/>
                <w:iCs/>
                <w:color w:val="000000"/>
                <w:lang w:eastAsia="en-US"/>
              </w:rPr>
              <w:t xml:space="preserve">Who have you consulted with to assess possible impact on protected groups?  If you have not consulted other people, please explain why? </w:t>
            </w:r>
          </w:p>
        </w:tc>
      </w:tr>
      <w:tr w:rsidR="00071E3C" w:rsidRPr="00071E3C" w14:paraId="1619EF73" w14:textId="77777777" w:rsidTr="00AA6459">
        <w:trPr>
          <w:trHeight w:val="926"/>
        </w:trPr>
        <w:tc>
          <w:tcPr>
            <w:tcW w:w="5000" w:type="pct"/>
          </w:tcPr>
          <w:p w14:paraId="7C45A00C" w14:textId="04CCD085"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The policy was developed in consultation with Governance Leads, the</w:t>
            </w:r>
            <w:r w:rsidR="008A1D5A">
              <w:rPr>
                <w:rFonts w:eastAsia="Times New Roman" w:cs="Arial"/>
                <w:lang w:eastAsia="en-US"/>
              </w:rPr>
              <w:t xml:space="preserve"> </w:t>
            </w:r>
            <w:r w:rsidR="000A57E8">
              <w:rPr>
                <w:rFonts w:eastAsia="Times New Roman" w:cs="Arial"/>
                <w:lang w:eastAsia="en-US"/>
              </w:rPr>
              <w:t xml:space="preserve">Deputy </w:t>
            </w:r>
            <w:r>
              <w:rPr>
                <w:rFonts w:eastAsia="Times New Roman" w:cs="Arial"/>
                <w:lang w:eastAsia="en-US"/>
              </w:rPr>
              <w:t>Director of Finance</w:t>
            </w:r>
            <w:r w:rsidR="00114AE5">
              <w:rPr>
                <w:rFonts w:eastAsia="Times New Roman" w:cs="Arial"/>
                <w:lang w:eastAsia="en-US"/>
              </w:rPr>
              <w:t>, Primary Care &amp; Financial Services,</w:t>
            </w:r>
            <w:r>
              <w:rPr>
                <w:rFonts w:eastAsia="Times New Roman" w:cs="Arial"/>
                <w:lang w:eastAsia="en-US"/>
              </w:rPr>
              <w:t xml:space="preserve"> </w:t>
            </w:r>
            <w:r w:rsidRPr="00071E3C">
              <w:rPr>
                <w:rFonts w:eastAsia="Times New Roman" w:cs="Arial"/>
                <w:lang w:eastAsia="en-US"/>
              </w:rPr>
              <w:t xml:space="preserve">and the Local Counter Fraud Specialist prior to being reviewed by the </w:t>
            </w:r>
            <w:r w:rsidR="008A1D5A">
              <w:rPr>
                <w:rFonts w:eastAsia="Times New Roman" w:cs="Arial"/>
                <w:lang w:eastAsia="en-US"/>
              </w:rPr>
              <w:t xml:space="preserve">ICB </w:t>
            </w:r>
            <w:r w:rsidRPr="00071E3C">
              <w:rPr>
                <w:rFonts w:eastAsia="Times New Roman" w:cs="Arial"/>
                <w:lang w:eastAsia="en-US"/>
              </w:rPr>
              <w:t>Audit Committee</w:t>
            </w:r>
            <w:r w:rsidR="008A1D5A">
              <w:rPr>
                <w:rFonts w:eastAsia="Times New Roman" w:cs="Arial"/>
                <w:lang w:eastAsia="en-US"/>
              </w:rPr>
              <w:t xml:space="preserve">. </w:t>
            </w:r>
            <w:r w:rsidRPr="00071E3C">
              <w:rPr>
                <w:rFonts w:eastAsia="Times New Roman" w:cs="Arial"/>
                <w:lang w:eastAsia="en-US"/>
              </w:rPr>
              <w:t xml:space="preserve"> </w:t>
            </w:r>
          </w:p>
        </w:tc>
      </w:tr>
    </w:tbl>
    <w:p w14:paraId="7C03CD0A" w14:textId="77777777" w:rsidR="00071E3C" w:rsidRPr="00071E3C" w:rsidRDefault="00071E3C" w:rsidP="00071E3C">
      <w:pPr>
        <w:keepNext/>
        <w:keepLines/>
        <w:spacing w:before="240" w:after="200"/>
        <w:ind w:left="0"/>
        <w:outlineLvl w:val="0"/>
        <w:rPr>
          <w:rFonts w:eastAsia="Times New Roman" w:cs="Times New Roman"/>
          <w:b/>
          <w:lang w:eastAsia="en-US"/>
        </w:rPr>
      </w:pPr>
      <w:r w:rsidRPr="00071E3C">
        <w:rPr>
          <w:rFonts w:eastAsia="MS Mincho" w:cs="Times New Roman"/>
          <w:b/>
          <w:color w:val="231F20"/>
          <w:lang w:eastAsia="en-US"/>
        </w:rPr>
        <w:t xml:space="preserve">ANALYSIS OF IMPACT ON EQUALITY </w:t>
      </w:r>
    </w:p>
    <w:p w14:paraId="38DDF6AA"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 xml:space="preserve">The Public Sector Equality Duty requires us to </w:t>
      </w:r>
      <w:r w:rsidRPr="00071E3C">
        <w:rPr>
          <w:rFonts w:eastAsia="Times New Roman" w:cs="Arial"/>
          <w:b/>
          <w:lang w:eastAsia="en-US"/>
        </w:rPr>
        <w:t>eliminate</w:t>
      </w:r>
      <w:r w:rsidRPr="00071E3C">
        <w:rPr>
          <w:rFonts w:eastAsia="Times New Roman" w:cs="Arial"/>
          <w:lang w:eastAsia="en-US"/>
        </w:rPr>
        <w:t xml:space="preserve"> discrimination, </w:t>
      </w:r>
      <w:r w:rsidRPr="00071E3C">
        <w:rPr>
          <w:rFonts w:eastAsia="Times New Roman" w:cs="Arial"/>
          <w:b/>
          <w:lang w:eastAsia="en-US"/>
        </w:rPr>
        <w:t>advance</w:t>
      </w:r>
      <w:r w:rsidRPr="00071E3C">
        <w:rPr>
          <w:rFonts w:eastAsia="Times New Roman" w:cs="Arial"/>
          <w:lang w:eastAsia="en-US"/>
        </w:rPr>
        <w:t xml:space="preserve"> equality of opportunity and </w:t>
      </w:r>
      <w:r w:rsidRPr="00071E3C">
        <w:rPr>
          <w:rFonts w:eastAsia="Times New Roman" w:cs="Arial"/>
          <w:b/>
          <w:lang w:eastAsia="en-US"/>
        </w:rPr>
        <w:t>foster</w:t>
      </w:r>
      <w:r w:rsidRPr="00071E3C">
        <w:rPr>
          <w:rFonts w:eastAsia="Times New Roman" w:cs="Arial"/>
          <w:lang w:eastAsia="en-US"/>
        </w:rPr>
        <w:t xml:space="preserve"> good relations with protected groups.   Consider how this policy / service will achieve these aims.  </w:t>
      </w:r>
    </w:p>
    <w:p w14:paraId="364C9F51" w14:textId="77777777" w:rsidR="00071E3C" w:rsidRPr="00071E3C" w:rsidRDefault="00071E3C" w:rsidP="00071E3C">
      <w:pPr>
        <w:spacing w:before="0" w:after="0"/>
        <w:ind w:left="0"/>
        <w:rPr>
          <w:rFonts w:eastAsia="Times New Roman" w:cs="Arial"/>
          <w:lang w:eastAsia="en-US"/>
        </w:rPr>
      </w:pPr>
    </w:p>
    <w:p w14:paraId="3488ABCF"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N.B. In some cases it is legal to treat people differently (objective justification).</w:t>
      </w:r>
    </w:p>
    <w:p w14:paraId="7A3405AD" w14:textId="77777777" w:rsidR="00071E3C" w:rsidRPr="00071E3C" w:rsidRDefault="00071E3C" w:rsidP="00071E3C">
      <w:pPr>
        <w:spacing w:before="0" w:after="0"/>
        <w:ind w:left="0"/>
        <w:rPr>
          <w:rFonts w:eastAsia="Times New Roman" w:cs="Arial"/>
          <w:lang w:eastAsia="en-US"/>
        </w:rPr>
      </w:pPr>
    </w:p>
    <w:p w14:paraId="38CACA1D" w14:textId="77777777" w:rsidR="00071E3C" w:rsidRPr="00071E3C" w:rsidRDefault="00071E3C" w:rsidP="00071E3C">
      <w:pPr>
        <w:numPr>
          <w:ilvl w:val="0"/>
          <w:numId w:val="5"/>
        </w:numPr>
        <w:spacing w:before="0" w:after="0"/>
        <w:ind w:left="709" w:hanging="709"/>
        <w:rPr>
          <w:rFonts w:eastAsia="Times New Roman" w:cs="Arial"/>
          <w:i/>
          <w:lang w:eastAsia="en-US"/>
        </w:rPr>
      </w:pPr>
      <w:r w:rsidRPr="00071E3C">
        <w:rPr>
          <w:rFonts w:eastAsia="Times New Roman" w:cs="Arial"/>
          <w:b/>
          <w:bCs/>
          <w:i/>
          <w:lang w:eastAsia="en-US"/>
        </w:rPr>
        <w:t>Positive outcome</w:t>
      </w:r>
      <w:r w:rsidRPr="00071E3C">
        <w:rPr>
          <w:rFonts w:eastAsia="Times New Roman" w:cs="Arial"/>
          <w:i/>
          <w:lang w:eastAsia="en-US"/>
        </w:rPr>
        <w:t xml:space="preserve"> – the policy/service eliminates discrimination, advances equality of opportunity and fosters good relations with protected groups</w:t>
      </w:r>
    </w:p>
    <w:p w14:paraId="56B89592" w14:textId="77777777" w:rsidR="00071E3C" w:rsidRPr="00071E3C" w:rsidRDefault="00071E3C" w:rsidP="00071E3C">
      <w:pPr>
        <w:numPr>
          <w:ilvl w:val="0"/>
          <w:numId w:val="5"/>
        </w:numPr>
        <w:spacing w:before="0" w:after="0"/>
        <w:ind w:left="709" w:hanging="709"/>
        <w:rPr>
          <w:rFonts w:eastAsia="Times New Roman" w:cs="Arial"/>
          <w:b/>
          <w:bCs/>
          <w:i/>
          <w:lang w:eastAsia="en-US"/>
        </w:rPr>
      </w:pPr>
      <w:r w:rsidRPr="00071E3C">
        <w:rPr>
          <w:rFonts w:eastAsia="Times New Roman" w:cs="Arial"/>
          <w:b/>
          <w:bCs/>
          <w:i/>
          <w:lang w:eastAsia="en-US"/>
        </w:rPr>
        <w:t xml:space="preserve">Negative outcome </w:t>
      </w:r>
      <w:r w:rsidRPr="00071E3C">
        <w:rPr>
          <w:rFonts w:eastAsia="Times New Roman" w:cs="Arial"/>
          <w:bCs/>
          <w:i/>
          <w:lang w:eastAsia="en-US"/>
        </w:rPr>
        <w:t>–</w:t>
      </w:r>
      <w:r w:rsidRPr="00071E3C">
        <w:rPr>
          <w:rFonts w:eastAsia="Times New Roman" w:cs="Arial"/>
          <w:b/>
          <w:bCs/>
          <w:i/>
          <w:lang w:eastAsia="en-US"/>
        </w:rPr>
        <w:t xml:space="preserve"> </w:t>
      </w:r>
      <w:r w:rsidRPr="00071E3C">
        <w:rPr>
          <w:rFonts w:eastAsia="Times New Roman" w:cs="Arial"/>
          <w:bCs/>
          <w:i/>
          <w:lang w:eastAsia="en-US"/>
        </w:rPr>
        <w:t>protected group(s) could be disadvantaged or discriminated against</w:t>
      </w:r>
    </w:p>
    <w:p w14:paraId="024EF67B" w14:textId="0A6A0FBA" w:rsidR="00071E3C" w:rsidRPr="00071E3C" w:rsidRDefault="00071E3C" w:rsidP="00071E3C">
      <w:pPr>
        <w:numPr>
          <w:ilvl w:val="0"/>
          <w:numId w:val="5"/>
        </w:numPr>
        <w:spacing w:before="0" w:after="0"/>
        <w:ind w:left="709" w:hanging="709"/>
        <w:rPr>
          <w:rFonts w:eastAsia="Times New Roman" w:cs="Arial"/>
          <w:b/>
          <w:bCs/>
          <w:i/>
          <w:lang w:eastAsia="en-US"/>
        </w:rPr>
      </w:pPr>
      <w:r w:rsidRPr="00071E3C">
        <w:rPr>
          <w:rFonts w:eastAsia="Times New Roman" w:cs="Arial"/>
          <w:b/>
          <w:bCs/>
          <w:i/>
          <w:lang w:eastAsia="en-US"/>
        </w:rPr>
        <w:t xml:space="preserve">Neutral outcome </w:t>
      </w:r>
      <w:r w:rsidRPr="00071E3C">
        <w:rPr>
          <w:rFonts w:eastAsia="Times New Roman" w:cs="Arial"/>
          <w:bCs/>
          <w:i/>
          <w:lang w:eastAsia="en-US"/>
        </w:rPr>
        <w:t>–</w:t>
      </w:r>
      <w:r w:rsidRPr="00071E3C">
        <w:rPr>
          <w:rFonts w:eastAsia="Times New Roman" w:cs="Arial"/>
          <w:b/>
          <w:bCs/>
          <w:i/>
          <w:lang w:eastAsia="en-US"/>
        </w:rPr>
        <w:t xml:space="preserve"> </w:t>
      </w:r>
      <w:r w:rsidRPr="00071E3C">
        <w:rPr>
          <w:rFonts w:eastAsia="Times New Roman" w:cs="Arial"/>
          <w:bCs/>
          <w:i/>
          <w:lang w:eastAsia="en-US"/>
        </w:rPr>
        <w:t>there is no effect currently on protected groups</w:t>
      </w:r>
    </w:p>
    <w:p w14:paraId="2A528A80" w14:textId="77777777" w:rsidR="00071E3C" w:rsidRPr="00071E3C" w:rsidRDefault="00071E3C" w:rsidP="00071E3C">
      <w:pPr>
        <w:spacing w:before="200" w:after="200"/>
        <w:ind w:left="0"/>
        <w:rPr>
          <w:rFonts w:eastAsia="Arial" w:cs="Times New Roman"/>
          <w:color w:val="231F20"/>
          <w:lang w:eastAsia="en-US"/>
        </w:rPr>
      </w:pPr>
      <w:r w:rsidRPr="00071E3C">
        <w:rPr>
          <w:rFonts w:eastAsia="Arial" w:cs="Times New Roman"/>
          <w:color w:val="231F20"/>
          <w:lang w:eastAsia="en-US"/>
        </w:rPr>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071E3C" w:rsidRPr="00071E3C" w14:paraId="488E556F" w14:textId="77777777" w:rsidTr="00AA6459">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vAlign w:val="center"/>
          </w:tcPr>
          <w:p w14:paraId="3B9824B9"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lastRenderedPageBreak/>
              <w:t>Protected</w:t>
            </w:r>
          </w:p>
          <w:p w14:paraId="56C59DFB"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vAlign w:val="center"/>
          </w:tcPr>
          <w:p w14:paraId="764A78AD"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t>Positive</w:t>
            </w:r>
          </w:p>
          <w:p w14:paraId="22048487"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vAlign w:val="center"/>
          </w:tcPr>
          <w:p w14:paraId="225CF64D"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t>Negative</w:t>
            </w:r>
          </w:p>
          <w:p w14:paraId="6361B7D8"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vAlign w:val="center"/>
          </w:tcPr>
          <w:p w14:paraId="36D6CB70"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t>Neutral</w:t>
            </w:r>
          </w:p>
          <w:p w14:paraId="694745BA" w14:textId="77777777" w:rsidR="00071E3C" w:rsidRPr="00071E3C" w:rsidRDefault="00071E3C" w:rsidP="00071E3C">
            <w:pPr>
              <w:spacing w:before="0" w:after="0"/>
              <w:ind w:left="0"/>
              <w:rPr>
                <w:rFonts w:eastAsia="Times New Roman" w:cs="Arial"/>
                <w:color w:val="FFFFFF"/>
                <w:lang w:eastAsia="en-US"/>
              </w:rPr>
            </w:pPr>
            <w:r w:rsidRPr="00071E3C">
              <w:rPr>
                <w:rFonts w:eastAsia="Times New Roman" w:cs="Arial"/>
                <w:color w:val="FFFFFF"/>
                <w:lang w:eastAsia="en-US"/>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vAlign w:val="center"/>
          </w:tcPr>
          <w:p w14:paraId="6E4AD9B1" w14:textId="77777777" w:rsidR="00071E3C" w:rsidRPr="00071E3C" w:rsidRDefault="00071E3C" w:rsidP="00071E3C">
            <w:pPr>
              <w:keepNext/>
              <w:spacing w:before="0" w:after="0"/>
              <w:ind w:left="0"/>
              <w:outlineLvl w:val="2"/>
              <w:rPr>
                <w:rFonts w:eastAsia="Times New Roman" w:cs="Arial"/>
                <w:color w:val="FFFFFF"/>
                <w:lang w:eastAsia="en-US"/>
              </w:rPr>
            </w:pPr>
            <w:r w:rsidRPr="00071E3C">
              <w:rPr>
                <w:rFonts w:eastAsia="Times New Roman" w:cs="Arial"/>
                <w:color w:val="FFFFFF"/>
                <w:lang w:eastAsia="en-US"/>
              </w:rPr>
              <w:t>Reason(s) for outcome</w:t>
            </w:r>
          </w:p>
        </w:tc>
      </w:tr>
      <w:tr w:rsidR="00071E3C" w:rsidRPr="00071E3C" w14:paraId="61538125" w14:textId="77777777" w:rsidTr="00AA6459">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1770602A"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Age</w:t>
            </w:r>
          </w:p>
        </w:tc>
        <w:tc>
          <w:tcPr>
            <w:tcW w:w="684" w:type="pct"/>
            <w:tcBorders>
              <w:top w:val="single" w:sz="4" w:space="0" w:color="auto"/>
              <w:left w:val="single" w:sz="4" w:space="0" w:color="auto"/>
              <w:bottom w:val="single" w:sz="4" w:space="0" w:color="auto"/>
              <w:right w:val="single" w:sz="4" w:space="0" w:color="auto"/>
            </w:tcBorders>
            <w:vAlign w:val="center"/>
          </w:tcPr>
          <w:p w14:paraId="4D25E0C2"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412C407A"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59B26588"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vAlign w:val="center"/>
          </w:tcPr>
          <w:p w14:paraId="2BEDEAC0"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 xml:space="preserve">No impact identified. </w:t>
            </w:r>
          </w:p>
        </w:tc>
      </w:tr>
      <w:tr w:rsidR="00071E3C" w:rsidRPr="00071E3C" w14:paraId="2CF2DC4B" w14:textId="77777777" w:rsidTr="00AA6459">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5B8E4786"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Disability</w:t>
            </w:r>
          </w:p>
          <w:p w14:paraId="7C5ACCC6"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426EB3C0"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BF2B547"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1921272F"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vAlign w:val="center"/>
          </w:tcPr>
          <w:p w14:paraId="27E8E701" w14:textId="2FE78FA4"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  The policy will be made available in alternative formats, such as easy read or large print and alternative languages upon request.</w:t>
            </w:r>
            <w:r w:rsidR="00C56510">
              <w:rPr>
                <w:rFonts w:eastAsia="Times New Roman" w:cs="Arial"/>
                <w:sz w:val="22"/>
                <w:szCs w:val="22"/>
                <w:lang w:eastAsia="en-US"/>
              </w:rPr>
              <w:t xml:space="preserve">  The policy </w:t>
            </w:r>
            <w:r w:rsidR="00CF077F">
              <w:rPr>
                <w:rFonts w:eastAsia="Times New Roman" w:cs="Arial"/>
                <w:sz w:val="22"/>
                <w:szCs w:val="22"/>
                <w:lang w:eastAsia="en-US"/>
              </w:rPr>
              <w:t>has also</w:t>
            </w:r>
            <w:r w:rsidR="00C56510">
              <w:rPr>
                <w:rFonts w:eastAsia="Times New Roman" w:cs="Arial"/>
                <w:sz w:val="22"/>
                <w:szCs w:val="22"/>
                <w:lang w:eastAsia="en-US"/>
              </w:rPr>
              <w:t xml:space="preserve"> undergo</w:t>
            </w:r>
            <w:r w:rsidR="00CF077F">
              <w:rPr>
                <w:rFonts w:eastAsia="Times New Roman" w:cs="Arial"/>
                <w:sz w:val="22"/>
                <w:szCs w:val="22"/>
                <w:lang w:eastAsia="en-US"/>
              </w:rPr>
              <w:t>ne</w:t>
            </w:r>
            <w:r w:rsidR="00C56510">
              <w:rPr>
                <w:rFonts w:eastAsia="Times New Roman" w:cs="Arial"/>
                <w:sz w:val="22"/>
                <w:szCs w:val="22"/>
                <w:lang w:eastAsia="en-US"/>
              </w:rPr>
              <w:t xml:space="preserve"> website accessibility checks. </w:t>
            </w:r>
          </w:p>
        </w:tc>
      </w:tr>
      <w:tr w:rsidR="00071E3C" w:rsidRPr="00071E3C" w14:paraId="6A2181FD" w14:textId="77777777" w:rsidTr="00AA6459">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7BF9F54C"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F444C76"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3A361B6A"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48C69576"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0560B58C"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w:t>
            </w:r>
          </w:p>
        </w:tc>
      </w:tr>
      <w:tr w:rsidR="00071E3C" w:rsidRPr="00071E3C" w14:paraId="4A69AE1A" w14:textId="77777777" w:rsidTr="00AA6459">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2284C7B7"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5AEE742C"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08EB9AC6"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519D48CA"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19FE4354"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w:t>
            </w:r>
          </w:p>
        </w:tc>
      </w:tr>
      <w:tr w:rsidR="00071E3C" w:rsidRPr="00071E3C" w14:paraId="09FFF9CA" w14:textId="77777777" w:rsidTr="00AA6459">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53490B50"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 xml:space="preserve">Sexual </w:t>
            </w:r>
          </w:p>
          <w:p w14:paraId="3443DD2C"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2A88A40C"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570A29A3"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3BEC44C8"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72177C14"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w:t>
            </w:r>
          </w:p>
        </w:tc>
      </w:tr>
      <w:tr w:rsidR="00071E3C" w:rsidRPr="00071E3C" w14:paraId="04092F50" w14:textId="77777777" w:rsidTr="00AA6459">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3C1E6ADD"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75F667C4"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08F7AEFC"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100B8DD"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33C0BC6B"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w:t>
            </w:r>
          </w:p>
        </w:tc>
      </w:tr>
      <w:tr w:rsidR="00071E3C" w:rsidRPr="00071E3C" w14:paraId="2F2CC975" w14:textId="77777777" w:rsidTr="00AA6459">
        <w:trPr>
          <w:trHeight w:val="1626"/>
        </w:trPr>
        <w:tc>
          <w:tcPr>
            <w:tcW w:w="1126" w:type="pct"/>
            <w:tcBorders>
              <w:top w:val="single" w:sz="4" w:space="0" w:color="auto"/>
              <w:left w:val="single" w:sz="4" w:space="0" w:color="auto"/>
              <w:bottom w:val="single" w:sz="4" w:space="0" w:color="auto"/>
              <w:right w:val="single" w:sz="4" w:space="0" w:color="auto"/>
            </w:tcBorders>
            <w:vAlign w:val="center"/>
          </w:tcPr>
          <w:p w14:paraId="6F68CCC0"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2283E6E6"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393DD6DA"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1468461C"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vAlign w:val="center"/>
          </w:tcPr>
          <w:p w14:paraId="7F565CA3"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  The policy will be made available in alternative formats, such as easy read or large print and alternative languages upon request.</w:t>
            </w:r>
          </w:p>
        </w:tc>
      </w:tr>
      <w:tr w:rsidR="00071E3C" w:rsidRPr="00071E3C" w14:paraId="18FAD89C" w14:textId="77777777" w:rsidTr="00AA6459">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64396B3D"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9D3E5EB"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1282B49"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1D114ADD"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3B71D4BB"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w:t>
            </w:r>
          </w:p>
        </w:tc>
      </w:tr>
      <w:tr w:rsidR="00071E3C" w:rsidRPr="00071E3C" w14:paraId="70340F4E" w14:textId="77777777" w:rsidTr="00AA6459">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6A54A7DE" w14:textId="63CF860D"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4CB8EFA0"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000000"/>
              <w:right w:val="single" w:sz="4" w:space="0" w:color="auto"/>
            </w:tcBorders>
            <w:vAlign w:val="center"/>
          </w:tcPr>
          <w:p w14:paraId="6DCDB041" w14:textId="77777777" w:rsidR="00071E3C" w:rsidRPr="00071E3C" w:rsidRDefault="00071E3C" w:rsidP="00071E3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000000"/>
              <w:right w:val="single" w:sz="4" w:space="0" w:color="auto"/>
            </w:tcBorders>
            <w:vAlign w:val="center"/>
          </w:tcPr>
          <w:p w14:paraId="06EF935F" w14:textId="77777777" w:rsidR="00071E3C" w:rsidRPr="00071E3C" w:rsidRDefault="00071E3C" w:rsidP="00071E3C">
            <w:pPr>
              <w:spacing w:before="0" w:after="0"/>
              <w:ind w:left="0"/>
              <w:jc w:val="center"/>
              <w:rPr>
                <w:rFonts w:eastAsia="Times New Roman" w:cs="Arial"/>
                <w:lang w:eastAsia="en-US"/>
              </w:rPr>
            </w:pPr>
            <w:r w:rsidRPr="00071E3C">
              <w:rPr>
                <w:rFonts w:eastAsia="Times New Roman" w:cs="Arial"/>
                <w:lang w:eastAsia="en-US"/>
              </w:rPr>
              <w:sym w:font="Wingdings" w:char="F0FC"/>
            </w:r>
          </w:p>
        </w:tc>
        <w:tc>
          <w:tcPr>
            <w:tcW w:w="1822" w:type="pct"/>
            <w:tcBorders>
              <w:top w:val="single" w:sz="4" w:space="0" w:color="auto"/>
              <w:left w:val="single" w:sz="4" w:space="0" w:color="auto"/>
              <w:bottom w:val="single" w:sz="4" w:space="0" w:color="000000"/>
              <w:right w:val="single" w:sz="4" w:space="0" w:color="auto"/>
            </w:tcBorders>
          </w:tcPr>
          <w:p w14:paraId="2FF54A67" w14:textId="77777777" w:rsidR="00071E3C" w:rsidRPr="00071E3C" w:rsidRDefault="00071E3C" w:rsidP="00071E3C">
            <w:pPr>
              <w:spacing w:before="0" w:after="0"/>
              <w:ind w:left="0"/>
              <w:rPr>
                <w:rFonts w:eastAsia="Times New Roman" w:cs="Arial"/>
                <w:sz w:val="22"/>
                <w:szCs w:val="22"/>
                <w:lang w:eastAsia="en-US"/>
              </w:rPr>
            </w:pPr>
            <w:r w:rsidRPr="00071E3C">
              <w:rPr>
                <w:rFonts w:eastAsia="Times New Roman" w:cs="Arial"/>
                <w:sz w:val="22"/>
                <w:szCs w:val="22"/>
                <w:lang w:eastAsia="en-US"/>
              </w:rPr>
              <w:t>No impact identified</w:t>
            </w:r>
          </w:p>
        </w:tc>
      </w:tr>
    </w:tbl>
    <w:p w14:paraId="183C24E4" w14:textId="77777777" w:rsidR="00071E3C" w:rsidRPr="00071E3C" w:rsidRDefault="00071E3C" w:rsidP="00071E3C">
      <w:pPr>
        <w:spacing w:before="0" w:after="0"/>
        <w:ind w:left="0"/>
        <w:rPr>
          <w:rFonts w:eastAsia="Times New Roman" w:cs="Arial"/>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71E3C" w:rsidRPr="00071E3C" w14:paraId="3A35A821" w14:textId="77777777" w:rsidTr="00AA6459">
        <w:trPr>
          <w:trHeight w:val="269"/>
        </w:trPr>
        <w:tc>
          <w:tcPr>
            <w:tcW w:w="5000" w:type="pct"/>
            <w:tcBorders>
              <w:top w:val="single" w:sz="4" w:space="0" w:color="auto"/>
              <w:left w:val="single" w:sz="4" w:space="0" w:color="auto"/>
              <w:right w:val="single" w:sz="4" w:space="0" w:color="auto"/>
            </w:tcBorders>
          </w:tcPr>
          <w:p w14:paraId="565FF48D" w14:textId="77777777" w:rsidR="00071E3C" w:rsidRPr="00071E3C" w:rsidRDefault="00071E3C" w:rsidP="00071E3C">
            <w:pPr>
              <w:spacing w:before="0" w:after="0"/>
              <w:ind w:left="0"/>
              <w:rPr>
                <w:rFonts w:eastAsia="Times New Roman" w:cs="Times New Roman"/>
                <w:b/>
                <w:bCs/>
                <w:color w:val="231F20"/>
                <w:lang w:eastAsia="en-US"/>
              </w:rPr>
            </w:pPr>
            <w:r w:rsidRPr="00071E3C">
              <w:rPr>
                <w:rFonts w:eastAsia="Arial" w:cs="Times New Roman"/>
                <w:b/>
                <w:bCs/>
                <w:color w:val="231F20"/>
                <w:lang w:eastAsia="en-US"/>
              </w:rPr>
              <w:t>MONITORING OUTCOMES</w:t>
            </w:r>
          </w:p>
        </w:tc>
      </w:tr>
      <w:tr w:rsidR="00071E3C" w:rsidRPr="00071E3C" w14:paraId="3C954D35" w14:textId="77777777" w:rsidTr="00AA6459">
        <w:trPr>
          <w:trHeight w:val="416"/>
        </w:trPr>
        <w:tc>
          <w:tcPr>
            <w:tcW w:w="5000" w:type="pct"/>
            <w:tcBorders>
              <w:top w:val="single" w:sz="4" w:space="0" w:color="auto"/>
              <w:left w:val="single" w:sz="4" w:space="0" w:color="auto"/>
              <w:right w:val="single" w:sz="4" w:space="0" w:color="auto"/>
            </w:tcBorders>
          </w:tcPr>
          <w:p w14:paraId="377FCAD6" w14:textId="77777777" w:rsidR="00071E3C" w:rsidRPr="00071E3C" w:rsidRDefault="00071E3C" w:rsidP="00071E3C">
            <w:pPr>
              <w:spacing w:before="0" w:after="0"/>
              <w:ind w:left="0"/>
              <w:rPr>
                <w:rFonts w:eastAsia="Times New Roman" w:cs="Arial"/>
                <w:lang w:eastAsia="en-US"/>
              </w:rPr>
            </w:pPr>
            <w:r w:rsidRPr="00071E3C">
              <w:rPr>
                <w:rFonts w:eastAsia="Times New Roman" w:cs="Arial"/>
                <w:lang w:eastAsia="en-US"/>
              </w:rPr>
              <w:t>Monitoring is an ongoing process to check outcomes.  It is different from a formal review which takes place at pre-agreed intervals.</w:t>
            </w:r>
          </w:p>
        </w:tc>
      </w:tr>
      <w:tr w:rsidR="00071E3C" w:rsidRPr="00071E3C" w14:paraId="45206669" w14:textId="77777777" w:rsidTr="00AA6459">
        <w:trPr>
          <w:trHeight w:val="416"/>
        </w:trPr>
        <w:tc>
          <w:tcPr>
            <w:tcW w:w="5000" w:type="pct"/>
            <w:tcBorders>
              <w:top w:val="single" w:sz="4" w:space="0" w:color="auto"/>
              <w:left w:val="single" w:sz="4" w:space="0" w:color="auto"/>
              <w:right w:val="single" w:sz="4" w:space="0" w:color="auto"/>
            </w:tcBorders>
          </w:tcPr>
          <w:p w14:paraId="46BFBF73" w14:textId="77777777" w:rsidR="00071E3C" w:rsidRPr="00071E3C" w:rsidRDefault="00071E3C" w:rsidP="00071E3C">
            <w:pPr>
              <w:spacing w:before="0" w:after="0"/>
              <w:ind w:left="0"/>
              <w:rPr>
                <w:rFonts w:eastAsia="Times New Roman" w:cs="Arial"/>
                <w:bCs/>
                <w:i/>
                <w:iCs/>
                <w:lang w:eastAsia="en-US"/>
              </w:rPr>
            </w:pPr>
            <w:r w:rsidRPr="00071E3C">
              <w:rPr>
                <w:rFonts w:eastAsia="Times New Roman" w:cs="Arial"/>
                <w:bCs/>
                <w:i/>
                <w:iCs/>
                <w:lang w:eastAsia="en-US"/>
              </w:rPr>
              <w:t>What methods will you use to monitor outcomes on protected groups?</w:t>
            </w:r>
          </w:p>
        </w:tc>
      </w:tr>
      <w:tr w:rsidR="00071E3C" w:rsidRPr="00071E3C" w14:paraId="3ED4E56A" w14:textId="77777777" w:rsidTr="00071E3C">
        <w:trPr>
          <w:trHeight w:val="631"/>
        </w:trPr>
        <w:tc>
          <w:tcPr>
            <w:tcW w:w="5000" w:type="pct"/>
            <w:tcBorders>
              <w:top w:val="single" w:sz="4" w:space="0" w:color="auto"/>
              <w:left w:val="single" w:sz="4" w:space="0" w:color="auto"/>
              <w:right w:val="single" w:sz="4" w:space="0" w:color="auto"/>
            </w:tcBorders>
          </w:tcPr>
          <w:p w14:paraId="7C6B637E" w14:textId="2E35121D" w:rsidR="00071E3C" w:rsidRPr="00071E3C" w:rsidRDefault="00071E3C" w:rsidP="00071E3C">
            <w:pPr>
              <w:spacing w:before="0" w:after="0"/>
              <w:ind w:left="0"/>
              <w:rPr>
                <w:rFonts w:eastAsia="Times New Roman" w:cs="Arial"/>
                <w:bCs/>
                <w:lang w:eastAsia="en-US"/>
              </w:rPr>
            </w:pPr>
            <w:r w:rsidRPr="00071E3C">
              <w:rPr>
                <w:rFonts w:eastAsia="Times New Roman" w:cs="Arial"/>
                <w:bCs/>
                <w:lang w:eastAsia="en-US"/>
              </w:rPr>
              <w:t xml:space="preserve">It is anticipated that any issues in respect of the </w:t>
            </w:r>
            <w:r>
              <w:rPr>
                <w:rFonts w:eastAsia="Times New Roman" w:cs="Arial"/>
                <w:bCs/>
                <w:lang w:eastAsia="en-US"/>
              </w:rPr>
              <w:t>impact</w:t>
            </w:r>
            <w:r w:rsidRPr="00071E3C">
              <w:rPr>
                <w:rFonts w:eastAsia="Times New Roman" w:cs="Arial"/>
                <w:bCs/>
                <w:lang w:eastAsia="en-US"/>
              </w:rPr>
              <w:t xml:space="preserve"> of the policy</w:t>
            </w:r>
            <w:r>
              <w:rPr>
                <w:rFonts w:eastAsia="Times New Roman" w:cs="Arial"/>
                <w:bCs/>
                <w:lang w:eastAsia="en-US"/>
              </w:rPr>
              <w:t xml:space="preserve"> upon protected staff groups </w:t>
            </w:r>
            <w:r w:rsidRPr="00071E3C">
              <w:rPr>
                <w:rFonts w:eastAsia="Times New Roman" w:cs="Arial"/>
                <w:bCs/>
                <w:lang w:eastAsia="en-US"/>
              </w:rPr>
              <w:t xml:space="preserve">will be identified via the Grievance Procedure. </w:t>
            </w:r>
          </w:p>
        </w:tc>
      </w:tr>
    </w:tbl>
    <w:p w14:paraId="0871EB1A" w14:textId="77777777" w:rsidR="00071E3C" w:rsidRPr="00071E3C" w:rsidRDefault="00071E3C" w:rsidP="00071E3C">
      <w:pPr>
        <w:spacing w:before="0" w:after="0"/>
        <w:ind w:left="0"/>
        <w:rPr>
          <w:rFonts w:eastAsia="Times New Roman" w:cs="Arial"/>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71E3C" w:rsidRPr="00071E3C" w14:paraId="79A93408" w14:textId="77777777" w:rsidTr="00AA6459">
        <w:tc>
          <w:tcPr>
            <w:tcW w:w="5000" w:type="pct"/>
            <w:tcBorders>
              <w:left w:val="single" w:sz="4" w:space="0" w:color="auto"/>
              <w:right w:val="single" w:sz="4" w:space="0" w:color="auto"/>
            </w:tcBorders>
          </w:tcPr>
          <w:p w14:paraId="155504E3" w14:textId="77777777" w:rsidR="00071E3C" w:rsidRPr="00071E3C" w:rsidRDefault="00071E3C" w:rsidP="00071E3C">
            <w:pPr>
              <w:spacing w:before="0" w:after="0"/>
              <w:ind w:left="0"/>
              <w:rPr>
                <w:rFonts w:eastAsia="MS Mincho" w:cs="Arial"/>
                <w:b/>
                <w:bCs/>
                <w:color w:val="000000"/>
                <w:lang w:eastAsia="en-US"/>
              </w:rPr>
            </w:pPr>
            <w:r w:rsidRPr="00071E3C">
              <w:rPr>
                <w:rFonts w:eastAsia="MS Mincho" w:cs="Arial"/>
                <w:b/>
                <w:bCs/>
                <w:color w:val="000000"/>
                <w:lang w:eastAsia="en-US"/>
              </w:rPr>
              <w:t>REVIEW</w:t>
            </w:r>
          </w:p>
        </w:tc>
      </w:tr>
      <w:tr w:rsidR="00071E3C" w:rsidRPr="00071E3C" w14:paraId="449CA670" w14:textId="77777777" w:rsidTr="00AA6459">
        <w:tc>
          <w:tcPr>
            <w:tcW w:w="5000" w:type="pct"/>
            <w:tcBorders>
              <w:left w:val="single" w:sz="4" w:space="0" w:color="auto"/>
              <w:right w:val="single" w:sz="4" w:space="0" w:color="auto"/>
            </w:tcBorders>
          </w:tcPr>
          <w:p w14:paraId="6B3E0041" w14:textId="77777777" w:rsidR="00071E3C" w:rsidRPr="00071E3C" w:rsidRDefault="00071E3C" w:rsidP="00071E3C">
            <w:pPr>
              <w:spacing w:before="0" w:after="0"/>
              <w:ind w:left="0"/>
              <w:rPr>
                <w:rFonts w:eastAsia="Times New Roman" w:cs="Arial"/>
                <w:bCs/>
                <w:i/>
                <w:iCs/>
                <w:lang w:eastAsia="en-US"/>
              </w:rPr>
            </w:pPr>
            <w:r w:rsidRPr="00071E3C">
              <w:rPr>
                <w:rFonts w:eastAsia="Times New Roman" w:cs="Arial"/>
                <w:bCs/>
                <w:i/>
                <w:iCs/>
                <w:lang w:eastAsia="en-US"/>
              </w:rPr>
              <w:t xml:space="preserve">How often will you review this policy / service? </w:t>
            </w:r>
          </w:p>
        </w:tc>
      </w:tr>
      <w:tr w:rsidR="00071E3C" w:rsidRPr="00071E3C" w14:paraId="3B29B4F5" w14:textId="77777777" w:rsidTr="00AA6459">
        <w:trPr>
          <w:trHeight w:val="687"/>
        </w:trPr>
        <w:tc>
          <w:tcPr>
            <w:tcW w:w="5000" w:type="pct"/>
            <w:tcBorders>
              <w:left w:val="single" w:sz="4" w:space="0" w:color="auto"/>
              <w:right w:val="single" w:sz="4" w:space="0" w:color="auto"/>
            </w:tcBorders>
          </w:tcPr>
          <w:p w14:paraId="48A9F506" w14:textId="77777777" w:rsidR="00071E3C" w:rsidRPr="00071E3C" w:rsidRDefault="00071E3C" w:rsidP="00071E3C">
            <w:pPr>
              <w:spacing w:before="0" w:after="0"/>
              <w:ind w:left="0"/>
              <w:rPr>
                <w:rFonts w:eastAsia="Times New Roman" w:cs="Arial"/>
                <w:bCs/>
                <w:lang w:eastAsia="en-US"/>
              </w:rPr>
            </w:pPr>
            <w:r w:rsidRPr="00071E3C">
              <w:rPr>
                <w:rFonts w:eastAsia="Times New Roman" w:cs="Arial"/>
                <w:bCs/>
                <w:lang w:eastAsia="en-US"/>
              </w:rPr>
              <w:t>Every 2 years as a minimum and earlier if there are any significant changes in legislation, policy or good practice.</w:t>
            </w:r>
          </w:p>
        </w:tc>
      </w:tr>
      <w:tr w:rsidR="00071E3C" w:rsidRPr="00071E3C" w14:paraId="5E903267" w14:textId="77777777" w:rsidTr="00AA6459">
        <w:tc>
          <w:tcPr>
            <w:tcW w:w="5000" w:type="pct"/>
            <w:tcBorders>
              <w:left w:val="single" w:sz="4" w:space="0" w:color="auto"/>
              <w:right w:val="single" w:sz="4" w:space="0" w:color="auto"/>
            </w:tcBorders>
          </w:tcPr>
          <w:p w14:paraId="4A0FE34F" w14:textId="77777777" w:rsidR="00071E3C" w:rsidRPr="00071E3C" w:rsidRDefault="00071E3C" w:rsidP="00071E3C">
            <w:pPr>
              <w:spacing w:before="0" w:after="0"/>
              <w:ind w:left="0"/>
              <w:rPr>
                <w:rFonts w:eastAsia="Times New Roman" w:cs="Arial"/>
                <w:bCs/>
                <w:i/>
                <w:iCs/>
                <w:lang w:eastAsia="en-US"/>
              </w:rPr>
            </w:pPr>
            <w:r w:rsidRPr="00071E3C">
              <w:rPr>
                <w:rFonts w:eastAsia="Times New Roman" w:cs="Arial"/>
                <w:bCs/>
                <w:i/>
                <w:iCs/>
                <w:lang w:eastAsia="en-US"/>
              </w:rPr>
              <w:t>If a review process is not in place, what plans do you have to establish one?</w:t>
            </w:r>
          </w:p>
        </w:tc>
      </w:tr>
      <w:tr w:rsidR="00071E3C" w:rsidRPr="00071E3C" w14:paraId="2A0C7460" w14:textId="77777777" w:rsidTr="00AA6459">
        <w:trPr>
          <w:trHeight w:val="275"/>
        </w:trPr>
        <w:tc>
          <w:tcPr>
            <w:tcW w:w="5000" w:type="pct"/>
            <w:tcBorders>
              <w:left w:val="single" w:sz="4" w:space="0" w:color="auto"/>
              <w:right w:val="single" w:sz="4" w:space="0" w:color="auto"/>
            </w:tcBorders>
          </w:tcPr>
          <w:p w14:paraId="5CEA780D" w14:textId="77777777" w:rsidR="00071E3C" w:rsidRPr="00071E3C" w:rsidRDefault="00071E3C" w:rsidP="00071E3C">
            <w:pPr>
              <w:spacing w:before="0" w:after="0"/>
              <w:ind w:left="0"/>
              <w:rPr>
                <w:rFonts w:eastAsia="Times New Roman" w:cs="Arial"/>
                <w:bCs/>
                <w:lang w:eastAsia="en-US"/>
              </w:rPr>
            </w:pPr>
            <w:r w:rsidRPr="00071E3C">
              <w:rPr>
                <w:rFonts w:eastAsia="Times New Roman" w:cs="Arial"/>
                <w:bCs/>
                <w:lang w:eastAsia="en-US"/>
              </w:rPr>
              <w:t>N/A</w:t>
            </w:r>
          </w:p>
        </w:tc>
      </w:tr>
      <w:bookmarkEnd w:id="39"/>
      <w:bookmarkEnd w:id="40"/>
    </w:tbl>
    <w:p w14:paraId="447F7D73" w14:textId="77777777" w:rsidR="00C47909" w:rsidRDefault="00C47909" w:rsidP="00071E3C">
      <w:pPr>
        <w:ind w:left="0"/>
      </w:pPr>
    </w:p>
    <w:sectPr w:rsidR="00C47909" w:rsidSect="00906F46">
      <w:pgSz w:w="11906" w:h="16838"/>
      <w:pgMar w:top="1440" w:right="1440" w:bottom="1440" w:left="1440" w:header="708"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22EB" w14:textId="77777777" w:rsidR="00ED5B7D" w:rsidRDefault="00ED5B7D" w:rsidP="00190D44">
      <w:r>
        <w:separator/>
      </w:r>
    </w:p>
  </w:endnote>
  <w:endnote w:type="continuationSeparator" w:id="0">
    <w:p w14:paraId="52EC7231" w14:textId="77777777" w:rsidR="00ED5B7D" w:rsidRDefault="00ED5B7D" w:rsidP="00190D44">
      <w:r>
        <w:continuationSeparator/>
      </w:r>
    </w:p>
  </w:endnote>
  <w:endnote w:type="continuationNotice" w:id="1">
    <w:p w14:paraId="2965C1B4" w14:textId="77777777" w:rsidR="00ED5B7D" w:rsidRDefault="00ED5B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6CE7" w14:textId="77777777" w:rsidR="0085025C" w:rsidRDefault="00850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54DA" w14:textId="77777777" w:rsidR="0085025C" w:rsidRDefault="00850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CF30" w14:textId="77777777" w:rsidR="0085025C" w:rsidRDefault="008502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4C93" w14:textId="4581FF2B" w:rsidR="00CD17D2" w:rsidRPr="00444A32" w:rsidRDefault="00CD17D2" w:rsidP="00190D44">
    <w:pPr>
      <w:pStyle w:val="Header"/>
      <w:ind w:left="0"/>
    </w:pPr>
    <w:r w:rsidRPr="00444A32">
      <w:t>Counter Fraud, Bribery and Corruption Policy V</w:t>
    </w:r>
    <w:r w:rsidR="0085025C">
      <w:t>3.0</w:t>
    </w:r>
    <w:r>
      <w:tab/>
    </w:r>
    <w:r w:rsidRPr="00444A32">
      <w:t xml:space="preserve"> </w:t>
    </w:r>
    <w:sdt>
      <w:sdtPr>
        <w:id w:val="1155501"/>
        <w:docPartObj>
          <w:docPartGallery w:val="Page Numbers (Top of Page)"/>
          <w:docPartUnique/>
        </w:docPartObj>
      </w:sdtPr>
      <w:sdtEndPr/>
      <w:sdtContent>
        <w:r w:rsidRPr="00720407">
          <w:t xml:space="preserve">Page </w:t>
        </w:r>
        <w:r w:rsidRPr="00720407">
          <w:rPr>
            <w:b/>
          </w:rPr>
          <w:fldChar w:fldCharType="begin"/>
        </w:r>
        <w:r w:rsidRPr="00720407">
          <w:rPr>
            <w:b/>
          </w:rPr>
          <w:instrText xml:space="preserve"> PAGE </w:instrText>
        </w:r>
        <w:r w:rsidRPr="00720407">
          <w:rPr>
            <w:b/>
          </w:rPr>
          <w:fldChar w:fldCharType="separate"/>
        </w:r>
        <w:r>
          <w:rPr>
            <w:b/>
          </w:rPr>
          <w:t>4</w:t>
        </w:r>
        <w:r w:rsidRPr="00720407">
          <w:rPr>
            <w:b/>
          </w:rPr>
          <w:fldChar w:fldCharType="end"/>
        </w:r>
        <w:r w:rsidRPr="00720407">
          <w:t xml:space="preserve"> of </w:t>
        </w:r>
        <w:r w:rsidRPr="00720407">
          <w:rPr>
            <w:b/>
          </w:rPr>
          <w:fldChar w:fldCharType="begin"/>
        </w:r>
        <w:r w:rsidRPr="00720407">
          <w:rPr>
            <w:b/>
          </w:rPr>
          <w:instrText xml:space="preserve"> NUMPAGES  </w:instrText>
        </w:r>
        <w:r w:rsidRPr="00720407">
          <w:rPr>
            <w:b/>
          </w:rPr>
          <w:fldChar w:fldCharType="separate"/>
        </w:r>
        <w:r>
          <w:rPr>
            <w:b/>
          </w:rPr>
          <w:t>25</w:t>
        </w:r>
        <w:r w:rsidRPr="00720407">
          <w:rPr>
            <w:b/>
          </w:rPr>
          <w:fldChar w:fldCharType="end"/>
        </w:r>
      </w:sdtContent>
    </w:sdt>
  </w:p>
  <w:p w14:paraId="6084A3F5" w14:textId="77777777" w:rsidR="00CD17D2" w:rsidRDefault="00CD17D2" w:rsidP="0019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264A" w14:textId="77777777" w:rsidR="00ED5B7D" w:rsidRDefault="00ED5B7D" w:rsidP="00190D44">
      <w:r>
        <w:separator/>
      </w:r>
    </w:p>
  </w:footnote>
  <w:footnote w:type="continuationSeparator" w:id="0">
    <w:p w14:paraId="65C4F02C" w14:textId="77777777" w:rsidR="00ED5B7D" w:rsidRDefault="00ED5B7D" w:rsidP="00190D44">
      <w:r>
        <w:continuationSeparator/>
      </w:r>
    </w:p>
  </w:footnote>
  <w:footnote w:type="continuationNotice" w:id="1">
    <w:p w14:paraId="367BAC25" w14:textId="77777777" w:rsidR="00ED5B7D" w:rsidRDefault="00ED5B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03CF" w14:textId="77777777" w:rsidR="0085025C" w:rsidRDefault="00850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8C42" w14:textId="77777777" w:rsidR="0085025C" w:rsidRDefault="00850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87AF" w14:textId="23E432ED" w:rsidR="00CD17D2" w:rsidRDefault="00C85D3C" w:rsidP="00C85D3C">
    <w:pPr>
      <w:pStyle w:val="Header"/>
      <w:ind w:hanging="1007"/>
      <w:jc w:val="both"/>
    </w:pPr>
    <w:r>
      <w:rPr>
        <w:noProof/>
      </w:rPr>
      <w:drawing>
        <wp:inline distT="0" distB="0" distL="0" distR="0" wp14:anchorId="1B65F003" wp14:editId="6FC36BF0">
          <wp:extent cx="6109286" cy="714092"/>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r="-64"/>
                  <a:stretch>
                    <a:fillRect/>
                  </a:stretch>
                </pic:blipFill>
                <pic:spPr bwMode="auto">
                  <a:xfrm>
                    <a:off x="0" y="0"/>
                    <a:ext cx="6145810" cy="718361"/>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C7D" w14:textId="1FBC706A" w:rsidR="00CD17D2" w:rsidRPr="00444A32" w:rsidRDefault="00CD17D2" w:rsidP="00190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820"/>
    <w:multiLevelType w:val="hybridMultilevel"/>
    <w:tmpl w:val="3A98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3374C"/>
    <w:multiLevelType w:val="multilevel"/>
    <w:tmpl w:val="24E25F24"/>
    <w:lvl w:ilvl="0">
      <w:start w:val="1"/>
      <w:numFmt w:val="bullet"/>
      <w:lvlText w:val=""/>
      <w:lvlJc w:val="left"/>
      <w:pPr>
        <w:tabs>
          <w:tab w:val="num" w:pos="1879"/>
        </w:tabs>
        <w:ind w:left="1879" w:hanging="680"/>
      </w:pPr>
      <w:rPr>
        <w:rFonts w:ascii="Symbol" w:hAnsi="Symbol" w:hint="default"/>
        <w:b w:val="0"/>
        <w:i w:val="0"/>
        <w:color w:val="FF0000"/>
        <w:sz w:val="32"/>
      </w:rPr>
    </w:lvl>
    <w:lvl w:ilvl="1">
      <w:start w:val="1"/>
      <w:numFmt w:val="decimal"/>
      <w:lvlText w:val="%1.%2"/>
      <w:lvlJc w:val="left"/>
      <w:pPr>
        <w:tabs>
          <w:tab w:val="num" w:pos="2560"/>
        </w:tabs>
        <w:ind w:left="2560" w:hanging="681"/>
      </w:pPr>
      <w:rPr>
        <w:rFonts w:ascii="Times New Roman" w:hAnsi="Times New Roman" w:hint="default"/>
        <w:b w:val="0"/>
        <w:i w:val="0"/>
        <w:sz w:val="24"/>
      </w:rPr>
    </w:lvl>
    <w:lvl w:ilvl="2">
      <w:start w:val="1"/>
      <w:numFmt w:val="bullet"/>
      <w:lvlText w:val=""/>
      <w:lvlJc w:val="left"/>
      <w:pPr>
        <w:tabs>
          <w:tab w:val="num" w:pos="3467"/>
        </w:tabs>
        <w:ind w:left="3467" w:hanging="907"/>
      </w:pPr>
      <w:rPr>
        <w:rFonts w:ascii="Symbol" w:hAnsi="Symbol" w:hint="default"/>
        <w:b w:val="0"/>
        <w:i w:val="0"/>
        <w:sz w:val="24"/>
      </w:rPr>
    </w:lvl>
    <w:lvl w:ilvl="3">
      <w:start w:val="1"/>
      <w:numFmt w:val="decimal"/>
      <w:lvlText w:val="%1.%2.%3.%4"/>
      <w:lvlJc w:val="left"/>
      <w:pPr>
        <w:tabs>
          <w:tab w:val="num" w:pos="4544"/>
        </w:tabs>
        <w:ind w:left="4544" w:hanging="1077"/>
      </w:pPr>
      <w:rPr>
        <w:rFonts w:ascii="Arial" w:hAnsi="Arial" w:hint="default"/>
        <w:b w:val="0"/>
        <w:i w:val="0"/>
        <w:sz w:val="24"/>
        <w:szCs w:val="24"/>
      </w:rPr>
    </w:lvl>
    <w:lvl w:ilvl="4">
      <w:start w:val="1"/>
      <w:numFmt w:val="decimal"/>
      <w:lvlText w:val="%1.%2.%3.%4.%5"/>
      <w:lvlJc w:val="left"/>
      <w:pPr>
        <w:tabs>
          <w:tab w:val="num" w:pos="5905"/>
        </w:tabs>
        <w:ind w:left="5905" w:hanging="1361"/>
      </w:pPr>
      <w:rPr>
        <w:rFonts w:ascii="Arial" w:hAnsi="Arial" w:hint="default"/>
        <w:b w:val="0"/>
        <w:i w:val="0"/>
        <w:sz w:val="24"/>
        <w:szCs w:val="24"/>
      </w:rPr>
    </w:lvl>
    <w:lvl w:ilvl="5">
      <w:start w:val="1"/>
      <w:numFmt w:val="bullet"/>
      <w:lvlText w:val=""/>
      <w:lvlJc w:val="left"/>
      <w:pPr>
        <w:tabs>
          <w:tab w:val="num" w:pos="6302"/>
        </w:tabs>
        <w:ind w:left="6302" w:hanging="397"/>
      </w:pPr>
      <w:rPr>
        <w:rFonts w:ascii="Wingdings" w:hAnsi="Wingdings" w:hint="default"/>
      </w:rPr>
    </w:lvl>
    <w:lvl w:ilvl="6">
      <w:start w:val="1"/>
      <w:numFmt w:val="decimal"/>
      <w:lvlText w:val="%1.%2.%3.%4.%5.%6.%7"/>
      <w:lvlJc w:val="left"/>
      <w:pPr>
        <w:tabs>
          <w:tab w:val="num" w:pos="2495"/>
        </w:tabs>
        <w:ind w:left="2495" w:hanging="1296"/>
      </w:pPr>
      <w:rPr>
        <w:rFonts w:hint="default"/>
      </w:rPr>
    </w:lvl>
    <w:lvl w:ilvl="7">
      <w:start w:val="1"/>
      <w:numFmt w:val="decimal"/>
      <w:lvlText w:val="%1.%2.%3.%4.%5.%6.%7.%8"/>
      <w:lvlJc w:val="left"/>
      <w:pPr>
        <w:tabs>
          <w:tab w:val="num" w:pos="2639"/>
        </w:tabs>
        <w:ind w:left="2639" w:hanging="1440"/>
      </w:pPr>
      <w:rPr>
        <w:rFonts w:hint="default"/>
      </w:rPr>
    </w:lvl>
    <w:lvl w:ilvl="8">
      <w:start w:val="1"/>
      <w:numFmt w:val="decimal"/>
      <w:lvlText w:val="%1.%2.%3.%4.%5.%6.%7.%8.%9"/>
      <w:lvlJc w:val="left"/>
      <w:pPr>
        <w:tabs>
          <w:tab w:val="num" w:pos="2783"/>
        </w:tabs>
        <w:ind w:left="2783" w:hanging="1584"/>
      </w:pPr>
      <w:rPr>
        <w:rFonts w:hint="default"/>
      </w:rPr>
    </w:lvl>
  </w:abstractNum>
  <w:abstractNum w:abstractNumId="2" w15:restartNumberingAfterBreak="0">
    <w:nsid w:val="08681C2C"/>
    <w:multiLevelType w:val="multilevel"/>
    <w:tmpl w:val="2BD635AA"/>
    <w:lvl w:ilvl="0">
      <w:start w:val="1"/>
      <w:numFmt w:val="decimal"/>
      <w:lvlText w:val="%1."/>
      <w:lvlJc w:val="left"/>
      <w:pPr>
        <w:ind w:left="360" w:hanging="360"/>
      </w:pPr>
      <w:rPr>
        <w:sz w:val="2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C1187"/>
    <w:multiLevelType w:val="hybridMultilevel"/>
    <w:tmpl w:val="1CF8D94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 w15:restartNumberingAfterBreak="0">
    <w:nsid w:val="0B417A96"/>
    <w:multiLevelType w:val="hybridMultilevel"/>
    <w:tmpl w:val="4B8006A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CC108FC"/>
    <w:multiLevelType w:val="hybridMultilevel"/>
    <w:tmpl w:val="A1E0791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D302D1C"/>
    <w:multiLevelType w:val="multilevel"/>
    <w:tmpl w:val="A3769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21714"/>
    <w:multiLevelType w:val="hybridMultilevel"/>
    <w:tmpl w:val="21541C42"/>
    <w:lvl w:ilvl="0" w:tplc="8F0AE3A6">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65505"/>
    <w:multiLevelType w:val="hybridMultilevel"/>
    <w:tmpl w:val="E08032E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16560B14"/>
    <w:multiLevelType w:val="hybridMultilevel"/>
    <w:tmpl w:val="094C13CC"/>
    <w:lvl w:ilvl="0" w:tplc="B5565414">
      <w:start w:val="1"/>
      <w:numFmt w:val="bullet"/>
      <w:lvlText w:val=""/>
      <w:lvlJc w:val="left"/>
      <w:pPr>
        <w:ind w:left="1457" w:hanging="360"/>
      </w:pPr>
      <w:rPr>
        <w:rFonts w:ascii="Symbol" w:hAnsi="Symbol" w:hint="default"/>
        <w:color w:val="auto"/>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1E584537"/>
    <w:multiLevelType w:val="hybridMultilevel"/>
    <w:tmpl w:val="E3BE7C26"/>
    <w:lvl w:ilvl="0" w:tplc="AFCE2086">
      <w:start w:val="1"/>
      <w:numFmt w:val="bullet"/>
      <w:lvlText w:val=""/>
      <w:lvlJc w:val="left"/>
      <w:pPr>
        <w:ind w:left="890" w:hanging="360"/>
      </w:pPr>
      <w:rPr>
        <w:rFonts w:ascii="Symbol" w:hAnsi="Symbol" w:hint="default"/>
        <w:sz w:val="24"/>
        <w:szCs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7E0DDE"/>
    <w:multiLevelType w:val="hybridMultilevel"/>
    <w:tmpl w:val="73922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590768"/>
    <w:multiLevelType w:val="hybridMultilevel"/>
    <w:tmpl w:val="1CA8B3AE"/>
    <w:lvl w:ilvl="0" w:tplc="AD8C8196">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4323B07"/>
    <w:multiLevelType w:val="multilevel"/>
    <w:tmpl w:val="9F0AEA32"/>
    <w:lvl w:ilvl="0">
      <w:start w:val="1"/>
      <w:numFmt w:val="decimal"/>
      <w:pStyle w:val="Heading1"/>
      <w:lvlText w:val="%1"/>
      <w:lvlJc w:val="left"/>
      <w:pPr>
        <w:ind w:left="9363" w:hanging="432"/>
      </w:pPr>
      <w:rPr>
        <w:rFonts w:hint="default"/>
      </w:r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213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66C27FF"/>
    <w:multiLevelType w:val="hybridMultilevel"/>
    <w:tmpl w:val="16FE73D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29F433BD"/>
    <w:multiLevelType w:val="hybridMultilevel"/>
    <w:tmpl w:val="09F2D2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B951EC7"/>
    <w:multiLevelType w:val="multilevel"/>
    <w:tmpl w:val="5966122A"/>
    <w:lvl w:ilvl="0">
      <w:start w:val="1"/>
      <w:numFmt w:val="bullet"/>
      <w:lvlText w:val=""/>
      <w:lvlJc w:val="left"/>
      <w:pPr>
        <w:tabs>
          <w:tab w:val="num" w:pos="680"/>
        </w:tabs>
        <w:ind w:left="680" w:hanging="680"/>
      </w:pPr>
      <w:rPr>
        <w:rFonts w:ascii="Symbol" w:hAnsi="Symbol" w:hint="default"/>
        <w:b w:val="0"/>
        <w:i w:val="0"/>
        <w:sz w:val="32"/>
      </w:rPr>
    </w:lvl>
    <w:lvl w:ilvl="1">
      <w:start w:val="1"/>
      <w:numFmt w:val="decimal"/>
      <w:lvlText w:val="%1.%2"/>
      <w:lvlJc w:val="left"/>
      <w:pPr>
        <w:tabs>
          <w:tab w:val="num" w:pos="1361"/>
        </w:tabs>
        <w:ind w:left="1361" w:hanging="681"/>
      </w:pPr>
      <w:rPr>
        <w:rFonts w:ascii="Times New Roman" w:hAnsi="Times New Roman" w:hint="default"/>
        <w:b w:val="0"/>
        <w:i w:val="0"/>
        <w:sz w:val="24"/>
      </w:rPr>
    </w:lvl>
    <w:lvl w:ilvl="2">
      <w:start w:val="1"/>
      <w:numFmt w:val="bullet"/>
      <w:lvlText w:val=""/>
      <w:lvlJc w:val="left"/>
      <w:pPr>
        <w:tabs>
          <w:tab w:val="num" w:pos="2268"/>
        </w:tabs>
        <w:ind w:left="2268" w:hanging="907"/>
      </w:pPr>
      <w:rPr>
        <w:rFonts w:ascii="Symbol" w:hAnsi="Symbol" w:hint="default"/>
        <w:b w:val="0"/>
        <w:i w:val="0"/>
        <w:sz w:val="24"/>
      </w:rPr>
    </w:lvl>
    <w:lvl w:ilvl="3">
      <w:start w:val="1"/>
      <w:numFmt w:val="decimal"/>
      <w:lvlText w:val="%1.%2.%3.%4"/>
      <w:lvlJc w:val="left"/>
      <w:pPr>
        <w:tabs>
          <w:tab w:val="num" w:pos="3345"/>
        </w:tabs>
        <w:ind w:left="3345" w:hanging="1077"/>
      </w:pPr>
      <w:rPr>
        <w:rFonts w:ascii="Arial" w:hAnsi="Arial" w:hint="default"/>
        <w:b w:val="0"/>
        <w:i w:val="0"/>
        <w:sz w:val="24"/>
        <w:szCs w:val="24"/>
      </w:rPr>
    </w:lvl>
    <w:lvl w:ilvl="4">
      <w:start w:val="1"/>
      <w:numFmt w:val="decimal"/>
      <w:lvlText w:val="%1.%2.%3.%4.%5"/>
      <w:lvlJc w:val="left"/>
      <w:pPr>
        <w:tabs>
          <w:tab w:val="num" w:pos="4706"/>
        </w:tabs>
        <w:ind w:left="4706" w:hanging="1361"/>
      </w:pPr>
      <w:rPr>
        <w:rFonts w:ascii="Arial" w:hAnsi="Arial" w:hint="default"/>
        <w:b w:val="0"/>
        <w:i w:val="0"/>
        <w:sz w:val="24"/>
        <w:szCs w:val="24"/>
      </w:rPr>
    </w:lvl>
    <w:lvl w:ilvl="5">
      <w:start w:val="1"/>
      <w:numFmt w:val="bullet"/>
      <w:lvlText w:val=""/>
      <w:lvlJc w:val="left"/>
      <w:pPr>
        <w:tabs>
          <w:tab w:val="num" w:pos="5103"/>
        </w:tabs>
        <w:ind w:left="5103" w:hanging="397"/>
      </w:pPr>
      <w:rPr>
        <w:rFonts w:ascii="Wingdings" w:hAnsi="Wingding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E32C5"/>
    <w:multiLevelType w:val="hybridMultilevel"/>
    <w:tmpl w:val="D29AF5D4"/>
    <w:lvl w:ilvl="0" w:tplc="76BECA42">
      <w:start w:val="1"/>
      <w:numFmt w:val="bullet"/>
      <w:lvlText w:val=""/>
      <w:lvlJc w:val="left"/>
      <w:pPr>
        <w:ind w:left="720" w:hanging="360"/>
      </w:pPr>
      <w:rPr>
        <w:rFonts w:ascii="Wingdings" w:hAnsi="Wingdings" w:hint="default"/>
        <w:b/>
        <w:bCs/>
        <w:color w:val="00B05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53534"/>
    <w:multiLevelType w:val="hybridMultilevel"/>
    <w:tmpl w:val="706C70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0B71DD"/>
    <w:multiLevelType w:val="hybridMultilevel"/>
    <w:tmpl w:val="9BB4E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52C5F"/>
    <w:multiLevelType w:val="hybridMultilevel"/>
    <w:tmpl w:val="ED1A8C3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2" w15:restartNumberingAfterBreak="0">
    <w:nsid w:val="37795B7A"/>
    <w:multiLevelType w:val="hybridMultilevel"/>
    <w:tmpl w:val="C4880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11351C"/>
    <w:multiLevelType w:val="hybridMultilevel"/>
    <w:tmpl w:val="8766CE7C"/>
    <w:lvl w:ilvl="0" w:tplc="E79620B6">
      <w:start w:val="1"/>
      <w:numFmt w:val="bullet"/>
      <w:lvlText w:val=""/>
      <w:lvlJc w:val="left"/>
      <w:pPr>
        <w:ind w:left="1440" w:hanging="360"/>
      </w:pPr>
      <w:rPr>
        <w:rFonts w:ascii="Symbol" w:hAnsi="Symbol" w:hint="default"/>
      </w:rPr>
    </w:lvl>
    <w:lvl w:ilvl="1" w:tplc="08090019">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4" w15:restartNumberingAfterBreak="0">
    <w:nsid w:val="42754F56"/>
    <w:multiLevelType w:val="hybridMultilevel"/>
    <w:tmpl w:val="BC9A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6947"/>
    <w:multiLevelType w:val="hybridMultilevel"/>
    <w:tmpl w:val="727A0BC8"/>
    <w:lvl w:ilvl="0" w:tplc="FFFFFFFF">
      <w:start w:val="1"/>
      <w:numFmt w:val="bullet"/>
      <w:lvlText w:val=""/>
      <w:lvlJc w:val="left"/>
      <w:pPr>
        <w:ind w:left="1457" w:hanging="360"/>
      </w:pPr>
      <w:rPr>
        <w:rFonts w:ascii="Symbol" w:hAnsi="Symbol" w:hint="default"/>
        <w:color w:val="FF0000"/>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6" w15:restartNumberingAfterBreak="0">
    <w:nsid w:val="476D6B0E"/>
    <w:multiLevelType w:val="hybridMultilevel"/>
    <w:tmpl w:val="8DB86A0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7" w15:restartNumberingAfterBreak="0">
    <w:nsid w:val="478D1FF1"/>
    <w:multiLevelType w:val="hybridMultilevel"/>
    <w:tmpl w:val="B79A35D0"/>
    <w:lvl w:ilvl="0" w:tplc="BCBCFBDE">
      <w:start w:val="1"/>
      <w:numFmt w:val="bullet"/>
      <w:lvlText w:val=""/>
      <w:lvlJc w:val="left"/>
      <w:pPr>
        <w:ind w:left="1068"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946446"/>
    <w:multiLevelType w:val="hybridMultilevel"/>
    <w:tmpl w:val="442C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50356"/>
    <w:multiLevelType w:val="hybridMultilevel"/>
    <w:tmpl w:val="3E26827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4C1926C2"/>
    <w:multiLevelType w:val="hybridMultilevel"/>
    <w:tmpl w:val="0F9649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10040"/>
    <w:multiLevelType w:val="hybridMultilevel"/>
    <w:tmpl w:val="A25060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A2777"/>
    <w:multiLevelType w:val="hybridMultilevel"/>
    <w:tmpl w:val="5C4A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13C3D"/>
    <w:multiLevelType w:val="hybridMultilevel"/>
    <w:tmpl w:val="404C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925EEE"/>
    <w:multiLevelType w:val="hybridMultilevel"/>
    <w:tmpl w:val="103077FC"/>
    <w:lvl w:ilvl="0" w:tplc="8F0AE3A6">
      <w:start w:val="1"/>
      <w:numFmt w:val="bullet"/>
      <w:lvlText w:val=""/>
      <w:lvlJc w:val="left"/>
      <w:pPr>
        <w:ind w:left="890" w:hanging="360"/>
      </w:pPr>
      <w:rPr>
        <w:rFonts w:ascii="Wingdings" w:hAnsi="Wingdings" w:hint="default"/>
        <w:sz w:val="40"/>
        <w:szCs w:val="4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56FA6BBE"/>
    <w:multiLevelType w:val="hybridMultilevel"/>
    <w:tmpl w:val="3408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835D63"/>
    <w:multiLevelType w:val="hybridMultilevel"/>
    <w:tmpl w:val="E8106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4B611F"/>
    <w:multiLevelType w:val="hybridMultilevel"/>
    <w:tmpl w:val="858495BA"/>
    <w:lvl w:ilvl="0" w:tplc="725499BE">
      <w:start w:val="1"/>
      <w:numFmt w:val="bullet"/>
      <w:lvlText w:val=""/>
      <w:lvlJc w:val="left"/>
      <w:pPr>
        <w:ind w:left="1788" w:hanging="360"/>
      </w:pPr>
      <w:rPr>
        <w:rFonts w:ascii="Symbol" w:hAnsi="Symbol" w:hint="default"/>
        <w:color w:val="FF0000"/>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39" w15:restartNumberingAfterBreak="0">
    <w:nsid w:val="62AE78AE"/>
    <w:multiLevelType w:val="hybridMultilevel"/>
    <w:tmpl w:val="94364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3E7385"/>
    <w:multiLevelType w:val="hybridMultilevel"/>
    <w:tmpl w:val="0AFCBC66"/>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1" w15:restartNumberingAfterBreak="0">
    <w:nsid w:val="69757B08"/>
    <w:multiLevelType w:val="hybridMultilevel"/>
    <w:tmpl w:val="80C220F6"/>
    <w:lvl w:ilvl="0" w:tplc="ACEEB782">
      <w:start w:val="1"/>
      <w:numFmt w:val="decimal"/>
      <w:lvlText w:val="%1)"/>
      <w:lvlJc w:val="left"/>
      <w:pPr>
        <w:ind w:left="1080" w:hanging="360"/>
      </w:pPr>
      <w:rPr>
        <w:rFonts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E02CFC"/>
    <w:multiLevelType w:val="hybridMultilevel"/>
    <w:tmpl w:val="62FE1186"/>
    <w:lvl w:ilvl="0" w:tplc="850699A6">
      <w:start w:val="1"/>
      <w:numFmt w:val="bullet"/>
      <w:lvlText w:val=""/>
      <w:lvlJc w:val="left"/>
      <w:pPr>
        <w:ind w:left="1457" w:hanging="360"/>
      </w:pPr>
      <w:rPr>
        <w:rFonts w:ascii="Symbol" w:hAnsi="Symbol" w:hint="default"/>
        <w:color w:val="auto"/>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3" w15:restartNumberingAfterBreak="0">
    <w:nsid w:val="707208F5"/>
    <w:multiLevelType w:val="hybridMultilevel"/>
    <w:tmpl w:val="9800A8AC"/>
    <w:lvl w:ilvl="0" w:tplc="E3E4472C">
      <w:start w:val="1"/>
      <w:numFmt w:val="bullet"/>
      <w:lvlText w:val=""/>
      <w:lvlJc w:val="left"/>
      <w:pPr>
        <w:ind w:left="1800" w:hanging="360"/>
      </w:pPr>
      <w:rPr>
        <w:rFonts w:ascii="Symbol" w:hAnsi="Symbol" w:hint="default"/>
      </w:rPr>
    </w:lvl>
    <w:lvl w:ilvl="1" w:tplc="D4427ADA">
      <w:start w:val="1"/>
      <w:numFmt w:val="bullet"/>
      <w:lvlText w:val="o"/>
      <w:lvlJc w:val="left"/>
      <w:pPr>
        <w:ind w:left="2520" w:hanging="360"/>
      </w:pPr>
      <w:rPr>
        <w:rFonts w:ascii="Courier New" w:hAnsi="Courier New" w:cs="Courier New" w:hint="default"/>
      </w:rPr>
    </w:lvl>
    <w:lvl w:ilvl="2" w:tplc="99E20800" w:tentative="1">
      <w:start w:val="1"/>
      <w:numFmt w:val="bullet"/>
      <w:lvlText w:val=""/>
      <w:lvlJc w:val="left"/>
      <w:pPr>
        <w:ind w:left="3240" w:hanging="360"/>
      </w:pPr>
      <w:rPr>
        <w:rFonts w:ascii="Wingdings" w:hAnsi="Wingdings" w:hint="default"/>
      </w:rPr>
    </w:lvl>
    <w:lvl w:ilvl="3" w:tplc="52B698DA" w:tentative="1">
      <w:start w:val="1"/>
      <w:numFmt w:val="bullet"/>
      <w:lvlText w:val=""/>
      <w:lvlJc w:val="left"/>
      <w:pPr>
        <w:ind w:left="3960" w:hanging="360"/>
      </w:pPr>
      <w:rPr>
        <w:rFonts w:ascii="Symbol" w:hAnsi="Symbol" w:hint="default"/>
      </w:rPr>
    </w:lvl>
    <w:lvl w:ilvl="4" w:tplc="5E74FDE2" w:tentative="1">
      <w:start w:val="1"/>
      <w:numFmt w:val="bullet"/>
      <w:lvlText w:val="o"/>
      <w:lvlJc w:val="left"/>
      <w:pPr>
        <w:ind w:left="4680" w:hanging="360"/>
      </w:pPr>
      <w:rPr>
        <w:rFonts w:ascii="Courier New" w:hAnsi="Courier New" w:cs="Courier New" w:hint="default"/>
      </w:rPr>
    </w:lvl>
    <w:lvl w:ilvl="5" w:tplc="6A3015E8" w:tentative="1">
      <w:start w:val="1"/>
      <w:numFmt w:val="bullet"/>
      <w:lvlText w:val=""/>
      <w:lvlJc w:val="left"/>
      <w:pPr>
        <w:ind w:left="5400" w:hanging="360"/>
      </w:pPr>
      <w:rPr>
        <w:rFonts w:ascii="Wingdings" w:hAnsi="Wingdings" w:hint="default"/>
      </w:rPr>
    </w:lvl>
    <w:lvl w:ilvl="6" w:tplc="C03C359A" w:tentative="1">
      <w:start w:val="1"/>
      <w:numFmt w:val="bullet"/>
      <w:lvlText w:val=""/>
      <w:lvlJc w:val="left"/>
      <w:pPr>
        <w:ind w:left="6120" w:hanging="360"/>
      </w:pPr>
      <w:rPr>
        <w:rFonts w:ascii="Symbol" w:hAnsi="Symbol" w:hint="default"/>
      </w:rPr>
    </w:lvl>
    <w:lvl w:ilvl="7" w:tplc="9D72BA6A" w:tentative="1">
      <w:start w:val="1"/>
      <w:numFmt w:val="bullet"/>
      <w:lvlText w:val="o"/>
      <w:lvlJc w:val="left"/>
      <w:pPr>
        <w:ind w:left="6840" w:hanging="360"/>
      </w:pPr>
      <w:rPr>
        <w:rFonts w:ascii="Courier New" w:hAnsi="Courier New" w:cs="Courier New" w:hint="default"/>
      </w:rPr>
    </w:lvl>
    <w:lvl w:ilvl="8" w:tplc="F586AD42" w:tentative="1">
      <w:start w:val="1"/>
      <w:numFmt w:val="bullet"/>
      <w:lvlText w:val=""/>
      <w:lvlJc w:val="left"/>
      <w:pPr>
        <w:ind w:left="7560" w:hanging="360"/>
      </w:pPr>
      <w:rPr>
        <w:rFonts w:ascii="Wingdings" w:hAnsi="Wingdings" w:hint="default"/>
      </w:rPr>
    </w:lvl>
  </w:abstractNum>
  <w:abstractNum w:abstractNumId="44" w15:restartNumberingAfterBreak="0">
    <w:nsid w:val="72836001"/>
    <w:multiLevelType w:val="hybridMultilevel"/>
    <w:tmpl w:val="8D706CFE"/>
    <w:lvl w:ilvl="0" w:tplc="BCBCFBDE">
      <w:start w:val="1"/>
      <w:numFmt w:val="bullet"/>
      <w:lvlText w:val=""/>
      <w:lvlJc w:val="left"/>
      <w:pPr>
        <w:ind w:left="1068" w:hanging="360"/>
      </w:pPr>
      <w:rPr>
        <w:rFonts w:ascii="Symbol" w:hAnsi="Symbol" w:hint="default"/>
        <w:color w:val="auto"/>
      </w:rPr>
    </w:lvl>
    <w:lvl w:ilvl="1" w:tplc="EFEA7C12">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9513BC"/>
    <w:multiLevelType w:val="hybridMultilevel"/>
    <w:tmpl w:val="6E426A1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6" w15:restartNumberingAfterBreak="0">
    <w:nsid w:val="75713BBB"/>
    <w:multiLevelType w:val="hybridMultilevel"/>
    <w:tmpl w:val="A7C23878"/>
    <w:lvl w:ilvl="0" w:tplc="BCC09588">
      <w:start w:val="1"/>
      <w:numFmt w:val="bullet"/>
      <w:lvlText w:val=""/>
      <w:lvlJc w:val="left"/>
      <w:pPr>
        <w:ind w:left="1457" w:hanging="360"/>
      </w:pPr>
      <w:rPr>
        <w:rFonts w:ascii="Symbol" w:hAnsi="Symbol" w:hint="default"/>
        <w:color w:val="auto"/>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7" w15:restartNumberingAfterBreak="0">
    <w:nsid w:val="78552B42"/>
    <w:multiLevelType w:val="hybridMultilevel"/>
    <w:tmpl w:val="F8EE8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DE57CA3"/>
    <w:multiLevelType w:val="hybridMultilevel"/>
    <w:tmpl w:val="8BBE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755503">
    <w:abstractNumId w:val="13"/>
  </w:num>
  <w:num w:numId="2" w16cid:durableId="1022434738">
    <w:abstractNumId w:val="36"/>
  </w:num>
  <w:num w:numId="3" w16cid:durableId="1286158661">
    <w:abstractNumId w:val="27"/>
  </w:num>
  <w:num w:numId="4" w16cid:durableId="1651210918">
    <w:abstractNumId w:val="33"/>
  </w:num>
  <w:num w:numId="5" w16cid:durableId="189026946">
    <w:abstractNumId w:val="17"/>
  </w:num>
  <w:num w:numId="6" w16cid:durableId="1982156350">
    <w:abstractNumId w:val="13"/>
  </w:num>
  <w:num w:numId="7" w16cid:durableId="1982346224">
    <w:abstractNumId w:val="13"/>
  </w:num>
  <w:num w:numId="8" w16cid:durableId="78404654">
    <w:abstractNumId w:val="2"/>
  </w:num>
  <w:num w:numId="9" w16cid:durableId="685131742">
    <w:abstractNumId w:val="11"/>
  </w:num>
  <w:num w:numId="10" w16cid:durableId="1288854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7040400">
    <w:abstractNumId w:val="1"/>
  </w:num>
  <w:num w:numId="12" w16cid:durableId="321937074">
    <w:abstractNumId w:val="16"/>
  </w:num>
  <w:num w:numId="13" w16cid:durableId="924340873">
    <w:abstractNumId w:val="38"/>
  </w:num>
  <w:num w:numId="14" w16cid:durableId="737635423">
    <w:abstractNumId w:val="23"/>
  </w:num>
  <w:num w:numId="15" w16cid:durableId="698700978">
    <w:abstractNumId w:val="43"/>
  </w:num>
  <w:num w:numId="16" w16cid:durableId="119568579">
    <w:abstractNumId w:val="47"/>
  </w:num>
  <w:num w:numId="17" w16cid:durableId="1802111242">
    <w:abstractNumId w:val="39"/>
  </w:num>
  <w:num w:numId="18" w16cid:durableId="1626307820">
    <w:abstractNumId w:val="32"/>
  </w:num>
  <w:num w:numId="19" w16cid:durableId="222764311">
    <w:abstractNumId w:val="19"/>
  </w:num>
  <w:num w:numId="20" w16cid:durableId="1722552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877721">
    <w:abstractNumId w:val="13"/>
  </w:num>
  <w:num w:numId="22" w16cid:durableId="109394660">
    <w:abstractNumId w:val="44"/>
  </w:num>
  <w:num w:numId="23" w16cid:durableId="19472061">
    <w:abstractNumId w:val="20"/>
  </w:num>
  <w:num w:numId="24" w16cid:durableId="1347514531">
    <w:abstractNumId w:val="0"/>
  </w:num>
  <w:num w:numId="25" w16cid:durableId="1204829171">
    <w:abstractNumId w:val="24"/>
  </w:num>
  <w:num w:numId="26" w16cid:durableId="1829133190">
    <w:abstractNumId w:val="31"/>
  </w:num>
  <w:num w:numId="27" w16cid:durableId="104011102">
    <w:abstractNumId w:val="30"/>
  </w:num>
  <w:num w:numId="28" w16cid:durableId="1354847515">
    <w:abstractNumId w:val="4"/>
  </w:num>
  <w:num w:numId="29" w16cid:durableId="520247848">
    <w:abstractNumId w:val="14"/>
  </w:num>
  <w:num w:numId="30" w16cid:durableId="76250026">
    <w:abstractNumId w:val="41"/>
  </w:num>
  <w:num w:numId="31" w16cid:durableId="1253247404">
    <w:abstractNumId w:val="40"/>
  </w:num>
  <w:num w:numId="32" w16cid:durableId="828249631">
    <w:abstractNumId w:val="21"/>
  </w:num>
  <w:num w:numId="33" w16cid:durableId="1839148307">
    <w:abstractNumId w:val="45"/>
  </w:num>
  <w:num w:numId="34" w16cid:durableId="80760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5776814">
    <w:abstractNumId w:val="29"/>
  </w:num>
  <w:num w:numId="36" w16cid:durableId="994913296">
    <w:abstractNumId w:val="26"/>
  </w:num>
  <w:num w:numId="37" w16cid:durableId="110249393">
    <w:abstractNumId w:val="5"/>
  </w:num>
  <w:num w:numId="38" w16cid:durableId="534778393">
    <w:abstractNumId w:val="18"/>
  </w:num>
  <w:num w:numId="39" w16cid:durableId="777795025">
    <w:abstractNumId w:val="7"/>
  </w:num>
  <w:num w:numId="40" w16cid:durableId="177089744">
    <w:abstractNumId w:val="34"/>
  </w:num>
  <w:num w:numId="41" w16cid:durableId="1344895253">
    <w:abstractNumId w:val="10"/>
  </w:num>
  <w:num w:numId="42" w16cid:durableId="779299893">
    <w:abstractNumId w:val="35"/>
  </w:num>
  <w:num w:numId="43" w16cid:durableId="269624926">
    <w:abstractNumId w:val="9"/>
  </w:num>
  <w:num w:numId="44" w16cid:durableId="1679194337">
    <w:abstractNumId w:val="12"/>
  </w:num>
  <w:num w:numId="45" w16cid:durableId="425658534">
    <w:abstractNumId w:val="46"/>
  </w:num>
  <w:num w:numId="46" w16cid:durableId="1035933666">
    <w:abstractNumId w:val="42"/>
  </w:num>
  <w:num w:numId="47" w16cid:durableId="974871667">
    <w:abstractNumId w:val="48"/>
  </w:num>
  <w:num w:numId="48" w16cid:durableId="1924990080">
    <w:abstractNumId w:val="22"/>
  </w:num>
  <w:num w:numId="49" w16cid:durableId="504252750">
    <w:abstractNumId w:val="3"/>
  </w:num>
  <w:num w:numId="50" w16cid:durableId="778522506">
    <w:abstractNumId w:val="15"/>
  </w:num>
  <w:num w:numId="51" w16cid:durableId="587735953">
    <w:abstractNumId w:val="25"/>
  </w:num>
  <w:num w:numId="52" w16cid:durableId="441919388">
    <w:abstractNumId w:val="6"/>
  </w:num>
  <w:num w:numId="53" w16cid:durableId="314577060">
    <w:abstractNumId w:val="8"/>
  </w:num>
  <w:num w:numId="54" w16cid:durableId="27343940">
    <w:abstractNumId w:val="28"/>
  </w:num>
  <w:num w:numId="55" w16cid:durableId="170289759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56"/>
    <w:rsid w:val="0000193D"/>
    <w:rsid w:val="000108D9"/>
    <w:rsid w:val="0001095E"/>
    <w:rsid w:val="00012305"/>
    <w:rsid w:val="00013E6D"/>
    <w:rsid w:val="000155CB"/>
    <w:rsid w:val="0002037B"/>
    <w:rsid w:val="000246A4"/>
    <w:rsid w:val="000246F2"/>
    <w:rsid w:val="000249A3"/>
    <w:rsid w:val="00024F91"/>
    <w:rsid w:val="00025DAA"/>
    <w:rsid w:val="0002777E"/>
    <w:rsid w:val="0003070D"/>
    <w:rsid w:val="00032153"/>
    <w:rsid w:val="000322DF"/>
    <w:rsid w:val="000358E3"/>
    <w:rsid w:val="000364F5"/>
    <w:rsid w:val="00042ADE"/>
    <w:rsid w:val="00046378"/>
    <w:rsid w:val="00063E5F"/>
    <w:rsid w:val="00067291"/>
    <w:rsid w:val="00071E3C"/>
    <w:rsid w:val="00072AC7"/>
    <w:rsid w:val="00083D69"/>
    <w:rsid w:val="000844F3"/>
    <w:rsid w:val="00084BD0"/>
    <w:rsid w:val="000878E0"/>
    <w:rsid w:val="00092C96"/>
    <w:rsid w:val="000978FC"/>
    <w:rsid w:val="000A125B"/>
    <w:rsid w:val="000A3FFF"/>
    <w:rsid w:val="000A4224"/>
    <w:rsid w:val="000A57E8"/>
    <w:rsid w:val="000B032E"/>
    <w:rsid w:val="000B13C3"/>
    <w:rsid w:val="000B3DF2"/>
    <w:rsid w:val="000B6FD2"/>
    <w:rsid w:val="000C1A08"/>
    <w:rsid w:val="000C2FBA"/>
    <w:rsid w:val="000C445F"/>
    <w:rsid w:val="000C7185"/>
    <w:rsid w:val="000C7C4C"/>
    <w:rsid w:val="000C7EBD"/>
    <w:rsid w:val="000D4E9E"/>
    <w:rsid w:val="000D5EAB"/>
    <w:rsid w:val="000D6DC7"/>
    <w:rsid w:val="000E0235"/>
    <w:rsid w:val="000E165D"/>
    <w:rsid w:val="000E3A1C"/>
    <w:rsid w:val="000E7A83"/>
    <w:rsid w:val="000F2E77"/>
    <w:rsid w:val="000F3BF6"/>
    <w:rsid w:val="000F6080"/>
    <w:rsid w:val="00100E16"/>
    <w:rsid w:val="00107A48"/>
    <w:rsid w:val="0011052C"/>
    <w:rsid w:val="00114AE5"/>
    <w:rsid w:val="001158B7"/>
    <w:rsid w:val="0012088C"/>
    <w:rsid w:val="00120D06"/>
    <w:rsid w:val="00122C0D"/>
    <w:rsid w:val="001240B4"/>
    <w:rsid w:val="001267D5"/>
    <w:rsid w:val="00132214"/>
    <w:rsid w:val="00132ECB"/>
    <w:rsid w:val="00133AAF"/>
    <w:rsid w:val="001356EB"/>
    <w:rsid w:val="00142B6D"/>
    <w:rsid w:val="00146C71"/>
    <w:rsid w:val="00150E3B"/>
    <w:rsid w:val="00154A06"/>
    <w:rsid w:val="0015692A"/>
    <w:rsid w:val="0016493C"/>
    <w:rsid w:val="00165692"/>
    <w:rsid w:val="00165BF5"/>
    <w:rsid w:val="00166E70"/>
    <w:rsid w:val="00167E1A"/>
    <w:rsid w:val="001727A8"/>
    <w:rsid w:val="00176288"/>
    <w:rsid w:val="00183AA3"/>
    <w:rsid w:val="00190A6B"/>
    <w:rsid w:val="00190D44"/>
    <w:rsid w:val="001920A3"/>
    <w:rsid w:val="001936A3"/>
    <w:rsid w:val="00196D81"/>
    <w:rsid w:val="001B34F5"/>
    <w:rsid w:val="001B3948"/>
    <w:rsid w:val="001B5A54"/>
    <w:rsid w:val="001C3ED5"/>
    <w:rsid w:val="001D051B"/>
    <w:rsid w:val="001D4CB8"/>
    <w:rsid w:val="001D5A06"/>
    <w:rsid w:val="001D73FA"/>
    <w:rsid w:val="001F1201"/>
    <w:rsid w:val="001F2A31"/>
    <w:rsid w:val="001F5379"/>
    <w:rsid w:val="00203DFA"/>
    <w:rsid w:val="00206AD3"/>
    <w:rsid w:val="002076DB"/>
    <w:rsid w:val="002163E6"/>
    <w:rsid w:val="0021670E"/>
    <w:rsid w:val="002170DF"/>
    <w:rsid w:val="00217904"/>
    <w:rsid w:val="002225B3"/>
    <w:rsid w:val="002227F4"/>
    <w:rsid w:val="00222C64"/>
    <w:rsid w:val="0022425D"/>
    <w:rsid w:val="00226043"/>
    <w:rsid w:val="00241256"/>
    <w:rsid w:val="002413B6"/>
    <w:rsid w:val="002415D8"/>
    <w:rsid w:val="00241FFF"/>
    <w:rsid w:val="00247B6A"/>
    <w:rsid w:val="002550C2"/>
    <w:rsid w:val="002550C4"/>
    <w:rsid w:val="00255983"/>
    <w:rsid w:val="00256131"/>
    <w:rsid w:val="00256FC6"/>
    <w:rsid w:val="00260608"/>
    <w:rsid w:val="002616B8"/>
    <w:rsid w:val="00264F9C"/>
    <w:rsid w:val="002674FD"/>
    <w:rsid w:val="00274D3A"/>
    <w:rsid w:val="00275E58"/>
    <w:rsid w:val="00277596"/>
    <w:rsid w:val="00283BFF"/>
    <w:rsid w:val="00284A66"/>
    <w:rsid w:val="0029002A"/>
    <w:rsid w:val="00291AB9"/>
    <w:rsid w:val="002923AC"/>
    <w:rsid w:val="002A0A34"/>
    <w:rsid w:val="002A2033"/>
    <w:rsid w:val="002A41E7"/>
    <w:rsid w:val="002B02C9"/>
    <w:rsid w:val="002B10F3"/>
    <w:rsid w:val="002B26A4"/>
    <w:rsid w:val="002B2984"/>
    <w:rsid w:val="002B2A29"/>
    <w:rsid w:val="002B60EE"/>
    <w:rsid w:val="002C5401"/>
    <w:rsid w:val="002C6EB9"/>
    <w:rsid w:val="002D2E77"/>
    <w:rsid w:val="002D3CB5"/>
    <w:rsid w:val="002E049E"/>
    <w:rsid w:val="002E141F"/>
    <w:rsid w:val="002E1AA4"/>
    <w:rsid w:val="002E5C17"/>
    <w:rsid w:val="002F0E2F"/>
    <w:rsid w:val="002F3567"/>
    <w:rsid w:val="002F4D27"/>
    <w:rsid w:val="002F4F00"/>
    <w:rsid w:val="003065E8"/>
    <w:rsid w:val="003121B5"/>
    <w:rsid w:val="0031703A"/>
    <w:rsid w:val="003173BD"/>
    <w:rsid w:val="00320516"/>
    <w:rsid w:val="00321D0B"/>
    <w:rsid w:val="00340065"/>
    <w:rsid w:val="00340F11"/>
    <w:rsid w:val="00342EB3"/>
    <w:rsid w:val="0034319C"/>
    <w:rsid w:val="00357901"/>
    <w:rsid w:val="00367BF6"/>
    <w:rsid w:val="003711DB"/>
    <w:rsid w:val="003727C4"/>
    <w:rsid w:val="00373458"/>
    <w:rsid w:val="00376C5D"/>
    <w:rsid w:val="00386B81"/>
    <w:rsid w:val="003A00A1"/>
    <w:rsid w:val="003B29F5"/>
    <w:rsid w:val="003B74E2"/>
    <w:rsid w:val="003C06A0"/>
    <w:rsid w:val="003C0BAE"/>
    <w:rsid w:val="003C0DC0"/>
    <w:rsid w:val="003C1382"/>
    <w:rsid w:val="003C22DB"/>
    <w:rsid w:val="003C270A"/>
    <w:rsid w:val="003C3198"/>
    <w:rsid w:val="003C3EBC"/>
    <w:rsid w:val="003D44BB"/>
    <w:rsid w:val="003D5E1F"/>
    <w:rsid w:val="003D6227"/>
    <w:rsid w:val="003E276B"/>
    <w:rsid w:val="003E4112"/>
    <w:rsid w:val="003F5258"/>
    <w:rsid w:val="00401065"/>
    <w:rsid w:val="00401341"/>
    <w:rsid w:val="0040537A"/>
    <w:rsid w:val="00412022"/>
    <w:rsid w:val="0041777C"/>
    <w:rsid w:val="00420C69"/>
    <w:rsid w:val="00420DD9"/>
    <w:rsid w:val="00427D22"/>
    <w:rsid w:val="00436CB7"/>
    <w:rsid w:val="00442597"/>
    <w:rsid w:val="00442A2F"/>
    <w:rsid w:val="00444A32"/>
    <w:rsid w:val="00446379"/>
    <w:rsid w:val="00447FD1"/>
    <w:rsid w:val="004566C8"/>
    <w:rsid w:val="0046198C"/>
    <w:rsid w:val="0046201F"/>
    <w:rsid w:val="00463C2E"/>
    <w:rsid w:val="0047072C"/>
    <w:rsid w:val="004713AA"/>
    <w:rsid w:val="0048367E"/>
    <w:rsid w:val="004909FB"/>
    <w:rsid w:val="00496A40"/>
    <w:rsid w:val="00497D3C"/>
    <w:rsid w:val="00497D7A"/>
    <w:rsid w:val="004A1040"/>
    <w:rsid w:val="004C34F5"/>
    <w:rsid w:val="004C708E"/>
    <w:rsid w:val="004D07C8"/>
    <w:rsid w:val="004D2D41"/>
    <w:rsid w:val="004D7EF6"/>
    <w:rsid w:val="004E343A"/>
    <w:rsid w:val="004E635C"/>
    <w:rsid w:val="004F3009"/>
    <w:rsid w:val="004F514F"/>
    <w:rsid w:val="004F6CB3"/>
    <w:rsid w:val="004F758A"/>
    <w:rsid w:val="004F797B"/>
    <w:rsid w:val="0050079A"/>
    <w:rsid w:val="00502DD6"/>
    <w:rsid w:val="00514361"/>
    <w:rsid w:val="00516FC1"/>
    <w:rsid w:val="005231C6"/>
    <w:rsid w:val="005241EC"/>
    <w:rsid w:val="00526ED8"/>
    <w:rsid w:val="00526F4F"/>
    <w:rsid w:val="005279B4"/>
    <w:rsid w:val="005316FD"/>
    <w:rsid w:val="00535065"/>
    <w:rsid w:val="0053746C"/>
    <w:rsid w:val="00540FDB"/>
    <w:rsid w:val="0054689B"/>
    <w:rsid w:val="00547408"/>
    <w:rsid w:val="005502A8"/>
    <w:rsid w:val="005538AB"/>
    <w:rsid w:val="0055524F"/>
    <w:rsid w:val="0055564F"/>
    <w:rsid w:val="00555B5A"/>
    <w:rsid w:val="00561A69"/>
    <w:rsid w:val="00566214"/>
    <w:rsid w:val="00570371"/>
    <w:rsid w:val="005719FC"/>
    <w:rsid w:val="00571A05"/>
    <w:rsid w:val="00572461"/>
    <w:rsid w:val="0058334A"/>
    <w:rsid w:val="00584185"/>
    <w:rsid w:val="00584E53"/>
    <w:rsid w:val="00587D9A"/>
    <w:rsid w:val="005A033F"/>
    <w:rsid w:val="005A59B0"/>
    <w:rsid w:val="005B1350"/>
    <w:rsid w:val="005B2C57"/>
    <w:rsid w:val="005C3EF9"/>
    <w:rsid w:val="005C4F0E"/>
    <w:rsid w:val="005C6561"/>
    <w:rsid w:val="005C7328"/>
    <w:rsid w:val="005D3CE2"/>
    <w:rsid w:val="005D4BB3"/>
    <w:rsid w:val="005E2FFB"/>
    <w:rsid w:val="005E5C99"/>
    <w:rsid w:val="005E69D4"/>
    <w:rsid w:val="005F24BC"/>
    <w:rsid w:val="00600931"/>
    <w:rsid w:val="00601A86"/>
    <w:rsid w:val="00604359"/>
    <w:rsid w:val="00605F8D"/>
    <w:rsid w:val="006155F4"/>
    <w:rsid w:val="00621273"/>
    <w:rsid w:val="00624358"/>
    <w:rsid w:val="00625A77"/>
    <w:rsid w:val="00626AF9"/>
    <w:rsid w:val="00627C7A"/>
    <w:rsid w:val="006335E3"/>
    <w:rsid w:val="006336F1"/>
    <w:rsid w:val="00635948"/>
    <w:rsid w:val="006400BD"/>
    <w:rsid w:val="0064219A"/>
    <w:rsid w:val="006434C6"/>
    <w:rsid w:val="006507D3"/>
    <w:rsid w:val="006601F0"/>
    <w:rsid w:val="006671BB"/>
    <w:rsid w:val="006755FE"/>
    <w:rsid w:val="006822B3"/>
    <w:rsid w:val="00693793"/>
    <w:rsid w:val="006A0DCE"/>
    <w:rsid w:val="006A1898"/>
    <w:rsid w:val="006A385F"/>
    <w:rsid w:val="006A6AD0"/>
    <w:rsid w:val="006B138B"/>
    <w:rsid w:val="006B3F2E"/>
    <w:rsid w:val="006D07CC"/>
    <w:rsid w:val="006D334F"/>
    <w:rsid w:val="006F27B9"/>
    <w:rsid w:val="006F3EBD"/>
    <w:rsid w:val="006F73F2"/>
    <w:rsid w:val="0070091D"/>
    <w:rsid w:val="00706485"/>
    <w:rsid w:val="0071003B"/>
    <w:rsid w:val="007144A1"/>
    <w:rsid w:val="007148DC"/>
    <w:rsid w:val="007156DF"/>
    <w:rsid w:val="0071577D"/>
    <w:rsid w:val="00715ADA"/>
    <w:rsid w:val="007163AF"/>
    <w:rsid w:val="00720407"/>
    <w:rsid w:val="007218A9"/>
    <w:rsid w:val="00724B65"/>
    <w:rsid w:val="00732CE2"/>
    <w:rsid w:val="00732ED7"/>
    <w:rsid w:val="00735D3F"/>
    <w:rsid w:val="007368AE"/>
    <w:rsid w:val="00737011"/>
    <w:rsid w:val="00737279"/>
    <w:rsid w:val="00737691"/>
    <w:rsid w:val="00737B6D"/>
    <w:rsid w:val="0074015D"/>
    <w:rsid w:val="00742745"/>
    <w:rsid w:val="00744660"/>
    <w:rsid w:val="007478BD"/>
    <w:rsid w:val="00747F49"/>
    <w:rsid w:val="007522D0"/>
    <w:rsid w:val="00755AD4"/>
    <w:rsid w:val="00762651"/>
    <w:rsid w:val="00763457"/>
    <w:rsid w:val="00763518"/>
    <w:rsid w:val="00773C90"/>
    <w:rsid w:val="007A16C0"/>
    <w:rsid w:val="007A1E3E"/>
    <w:rsid w:val="007A4BEA"/>
    <w:rsid w:val="007A73F3"/>
    <w:rsid w:val="007B715A"/>
    <w:rsid w:val="007D0E55"/>
    <w:rsid w:val="007D3F2C"/>
    <w:rsid w:val="007E0617"/>
    <w:rsid w:val="007E0A83"/>
    <w:rsid w:val="007F2CB0"/>
    <w:rsid w:val="007F778E"/>
    <w:rsid w:val="00801AD3"/>
    <w:rsid w:val="00803846"/>
    <w:rsid w:val="008065C8"/>
    <w:rsid w:val="00807A3B"/>
    <w:rsid w:val="00811C1E"/>
    <w:rsid w:val="00811E44"/>
    <w:rsid w:val="008129AC"/>
    <w:rsid w:val="00816D6D"/>
    <w:rsid w:val="00821CF5"/>
    <w:rsid w:val="008271CC"/>
    <w:rsid w:val="0083356C"/>
    <w:rsid w:val="008406D1"/>
    <w:rsid w:val="0085025C"/>
    <w:rsid w:val="00852F6E"/>
    <w:rsid w:val="008610CC"/>
    <w:rsid w:val="0086358D"/>
    <w:rsid w:val="008705F9"/>
    <w:rsid w:val="00876D4D"/>
    <w:rsid w:val="00882117"/>
    <w:rsid w:val="008864AF"/>
    <w:rsid w:val="00886BA3"/>
    <w:rsid w:val="00886E7F"/>
    <w:rsid w:val="00890DB1"/>
    <w:rsid w:val="00895798"/>
    <w:rsid w:val="008A1BE4"/>
    <w:rsid w:val="008A1D5A"/>
    <w:rsid w:val="008A67B4"/>
    <w:rsid w:val="008B27F6"/>
    <w:rsid w:val="008C4499"/>
    <w:rsid w:val="008C4B93"/>
    <w:rsid w:val="008D15E5"/>
    <w:rsid w:val="008D45F5"/>
    <w:rsid w:val="008E2043"/>
    <w:rsid w:val="008E2389"/>
    <w:rsid w:val="008E63EA"/>
    <w:rsid w:val="008E6D3E"/>
    <w:rsid w:val="008E7980"/>
    <w:rsid w:val="008F4C04"/>
    <w:rsid w:val="008F67D3"/>
    <w:rsid w:val="008F6950"/>
    <w:rsid w:val="00901C47"/>
    <w:rsid w:val="00903EA1"/>
    <w:rsid w:val="00906F46"/>
    <w:rsid w:val="0090725E"/>
    <w:rsid w:val="0091029E"/>
    <w:rsid w:val="0091636D"/>
    <w:rsid w:val="00916F00"/>
    <w:rsid w:val="009201C6"/>
    <w:rsid w:val="00920F12"/>
    <w:rsid w:val="00923265"/>
    <w:rsid w:val="0093020D"/>
    <w:rsid w:val="00932007"/>
    <w:rsid w:val="00943154"/>
    <w:rsid w:val="00943BC5"/>
    <w:rsid w:val="009460C8"/>
    <w:rsid w:val="0095457A"/>
    <w:rsid w:val="0095460B"/>
    <w:rsid w:val="00956595"/>
    <w:rsid w:val="00961C7A"/>
    <w:rsid w:val="00964C50"/>
    <w:rsid w:val="0096507B"/>
    <w:rsid w:val="00967111"/>
    <w:rsid w:val="0097313A"/>
    <w:rsid w:val="00973505"/>
    <w:rsid w:val="0097385C"/>
    <w:rsid w:val="0098013D"/>
    <w:rsid w:val="009813E6"/>
    <w:rsid w:val="0098161E"/>
    <w:rsid w:val="00982CF6"/>
    <w:rsid w:val="00987E66"/>
    <w:rsid w:val="00992DBA"/>
    <w:rsid w:val="0099490B"/>
    <w:rsid w:val="00997959"/>
    <w:rsid w:val="009A0643"/>
    <w:rsid w:val="009A2FA2"/>
    <w:rsid w:val="009A37DF"/>
    <w:rsid w:val="009A39A8"/>
    <w:rsid w:val="009A5E82"/>
    <w:rsid w:val="009B1E51"/>
    <w:rsid w:val="009B519E"/>
    <w:rsid w:val="009B5345"/>
    <w:rsid w:val="009C0A9F"/>
    <w:rsid w:val="009C5DD8"/>
    <w:rsid w:val="009C6E50"/>
    <w:rsid w:val="009D1EA3"/>
    <w:rsid w:val="009D4654"/>
    <w:rsid w:val="009D565A"/>
    <w:rsid w:val="009E1E6B"/>
    <w:rsid w:val="009E47E9"/>
    <w:rsid w:val="009F4528"/>
    <w:rsid w:val="009F65BC"/>
    <w:rsid w:val="00A020D6"/>
    <w:rsid w:val="00A04FF0"/>
    <w:rsid w:val="00A06A94"/>
    <w:rsid w:val="00A10127"/>
    <w:rsid w:val="00A10E74"/>
    <w:rsid w:val="00A123F9"/>
    <w:rsid w:val="00A137D5"/>
    <w:rsid w:val="00A144EB"/>
    <w:rsid w:val="00A1665E"/>
    <w:rsid w:val="00A178F0"/>
    <w:rsid w:val="00A2382D"/>
    <w:rsid w:val="00A33756"/>
    <w:rsid w:val="00A4000C"/>
    <w:rsid w:val="00A412D7"/>
    <w:rsid w:val="00A42E0C"/>
    <w:rsid w:val="00A4404D"/>
    <w:rsid w:val="00A52E60"/>
    <w:rsid w:val="00A55103"/>
    <w:rsid w:val="00A57C07"/>
    <w:rsid w:val="00A6345F"/>
    <w:rsid w:val="00A6545A"/>
    <w:rsid w:val="00A6553B"/>
    <w:rsid w:val="00A65F90"/>
    <w:rsid w:val="00A664C4"/>
    <w:rsid w:val="00A7271D"/>
    <w:rsid w:val="00A7294D"/>
    <w:rsid w:val="00A73925"/>
    <w:rsid w:val="00A756CC"/>
    <w:rsid w:val="00A820F2"/>
    <w:rsid w:val="00A837E8"/>
    <w:rsid w:val="00A845FA"/>
    <w:rsid w:val="00A91C7A"/>
    <w:rsid w:val="00A94469"/>
    <w:rsid w:val="00A9476F"/>
    <w:rsid w:val="00A95E7A"/>
    <w:rsid w:val="00AB3323"/>
    <w:rsid w:val="00AC0648"/>
    <w:rsid w:val="00AC33A2"/>
    <w:rsid w:val="00AD1412"/>
    <w:rsid w:val="00AD33DE"/>
    <w:rsid w:val="00AD36A4"/>
    <w:rsid w:val="00AD79DB"/>
    <w:rsid w:val="00AE162B"/>
    <w:rsid w:val="00AE3699"/>
    <w:rsid w:val="00AF3262"/>
    <w:rsid w:val="00AF4500"/>
    <w:rsid w:val="00AF5611"/>
    <w:rsid w:val="00B01CF5"/>
    <w:rsid w:val="00B032CA"/>
    <w:rsid w:val="00B04CA2"/>
    <w:rsid w:val="00B04DAB"/>
    <w:rsid w:val="00B051B4"/>
    <w:rsid w:val="00B065F8"/>
    <w:rsid w:val="00B06DDA"/>
    <w:rsid w:val="00B1095D"/>
    <w:rsid w:val="00B1116D"/>
    <w:rsid w:val="00B1202D"/>
    <w:rsid w:val="00B150AC"/>
    <w:rsid w:val="00B172A5"/>
    <w:rsid w:val="00B21E54"/>
    <w:rsid w:val="00B2542D"/>
    <w:rsid w:val="00B276A8"/>
    <w:rsid w:val="00B306B0"/>
    <w:rsid w:val="00B30C7E"/>
    <w:rsid w:val="00B31B75"/>
    <w:rsid w:val="00B31DC7"/>
    <w:rsid w:val="00B33BD9"/>
    <w:rsid w:val="00B434EE"/>
    <w:rsid w:val="00B434FB"/>
    <w:rsid w:val="00B45EF0"/>
    <w:rsid w:val="00B5070E"/>
    <w:rsid w:val="00B56080"/>
    <w:rsid w:val="00B565DA"/>
    <w:rsid w:val="00B70448"/>
    <w:rsid w:val="00B814B9"/>
    <w:rsid w:val="00B8524E"/>
    <w:rsid w:val="00B91124"/>
    <w:rsid w:val="00B91255"/>
    <w:rsid w:val="00B92623"/>
    <w:rsid w:val="00B92BA4"/>
    <w:rsid w:val="00B947B3"/>
    <w:rsid w:val="00B95773"/>
    <w:rsid w:val="00B96DD9"/>
    <w:rsid w:val="00B97149"/>
    <w:rsid w:val="00BA05DA"/>
    <w:rsid w:val="00BA1166"/>
    <w:rsid w:val="00BA401D"/>
    <w:rsid w:val="00BA468C"/>
    <w:rsid w:val="00BA703D"/>
    <w:rsid w:val="00BB4938"/>
    <w:rsid w:val="00BB6E17"/>
    <w:rsid w:val="00BC3A8E"/>
    <w:rsid w:val="00BC5FD0"/>
    <w:rsid w:val="00BC6FD3"/>
    <w:rsid w:val="00BD5D4A"/>
    <w:rsid w:val="00BD699A"/>
    <w:rsid w:val="00BD79F0"/>
    <w:rsid w:val="00BD79FE"/>
    <w:rsid w:val="00BE2A30"/>
    <w:rsid w:val="00BE456F"/>
    <w:rsid w:val="00BE634D"/>
    <w:rsid w:val="00BF458D"/>
    <w:rsid w:val="00C02763"/>
    <w:rsid w:val="00C02836"/>
    <w:rsid w:val="00C04355"/>
    <w:rsid w:val="00C10673"/>
    <w:rsid w:val="00C156B2"/>
    <w:rsid w:val="00C158EE"/>
    <w:rsid w:val="00C23D75"/>
    <w:rsid w:val="00C24AE5"/>
    <w:rsid w:val="00C26DC1"/>
    <w:rsid w:val="00C35037"/>
    <w:rsid w:val="00C35F0F"/>
    <w:rsid w:val="00C416FC"/>
    <w:rsid w:val="00C418EE"/>
    <w:rsid w:val="00C46A50"/>
    <w:rsid w:val="00C4712C"/>
    <w:rsid w:val="00C47909"/>
    <w:rsid w:val="00C54EE6"/>
    <w:rsid w:val="00C56510"/>
    <w:rsid w:val="00C57530"/>
    <w:rsid w:val="00C600E0"/>
    <w:rsid w:val="00C603F6"/>
    <w:rsid w:val="00C615B8"/>
    <w:rsid w:val="00C67AA3"/>
    <w:rsid w:val="00C71223"/>
    <w:rsid w:val="00C71A07"/>
    <w:rsid w:val="00C73F12"/>
    <w:rsid w:val="00C742CD"/>
    <w:rsid w:val="00C75A1C"/>
    <w:rsid w:val="00C8194F"/>
    <w:rsid w:val="00C81FAC"/>
    <w:rsid w:val="00C82422"/>
    <w:rsid w:val="00C83436"/>
    <w:rsid w:val="00C835FB"/>
    <w:rsid w:val="00C8574B"/>
    <w:rsid w:val="00C85D3C"/>
    <w:rsid w:val="00C94861"/>
    <w:rsid w:val="00C97A86"/>
    <w:rsid w:val="00CA598A"/>
    <w:rsid w:val="00CA5BFF"/>
    <w:rsid w:val="00CC12EE"/>
    <w:rsid w:val="00CC6534"/>
    <w:rsid w:val="00CC683C"/>
    <w:rsid w:val="00CD1007"/>
    <w:rsid w:val="00CD17D2"/>
    <w:rsid w:val="00CD5281"/>
    <w:rsid w:val="00CD652D"/>
    <w:rsid w:val="00CD7309"/>
    <w:rsid w:val="00CD7317"/>
    <w:rsid w:val="00CE67CE"/>
    <w:rsid w:val="00CF077F"/>
    <w:rsid w:val="00CF0BB0"/>
    <w:rsid w:val="00CF3A08"/>
    <w:rsid w:val="00CF6454"/>
    <w:rsid w:val="00D0265E"/>
    <w:rsid w:val="00D05CE9"/>
    <w:rsid w:val="00D063DB"/>
    <w:rsid w:val="00D07414"/>
    <w:rsid w:val="00D1147D"/>
    <w:rsid w:val="00D1293A"/>
    <w:rsid w:val="00D142B2"/>
    <w:rsid w:val="00D15B6A"/>
    <w:rsid w:val="00D17E82"/>
    <w:rsid w:val="00D21132"/>
    <w:rsid w:val="00D2244F"/>
    <w:rsid w:val="00D22CE0"/>
    <w:rsid w:val="00D23DC0"/>
    <w:rsid w:val="00D336E5"/>
    <w:rsid w:val="00D352B5"/>
    <w:rsid w:val="00D408D7"/>
    <w:rsid w:val="00D4259F"/>
    <w:rsid w:val="00D42A9A"/>
    <w:rsid w:val="00D44658"/>
    <w:rsid w:val="00D46533"/>
    <w:rsid w:val="00D46538"/>
    <w:rsid w:val="00D4699F"/>
    <w:rsid w:val="00D5411F"/>
    <w:rsid w:val="00D61975"/>
    <w:rsid w:val="00D66A3E"/>
    <w:rsid w:val="00D717D4"/>
    <w:rsid w:val="00D75999"/>
    <w:rsid w:val="00D76548"/>
    <w:rsid w:val="00D80183"/>
    <w:rsid w:val="00D81B3C"/>
    <w:rsid w:val="00D848F8"/>
    <w:rsid w:val="00D9001B"/>
    <w:rsid w:val="00D93E63"/>
    <w:rsid w:val="00D96AEF"/>
    <w:rsid w:val="00DA095D"/>
    <w:rsid w:val="00DA10EB"/>
    <w:rsid w:val="00DA11C9"/>
    <w:rsid w:val="00DA3E99"/>
    <w:rsid w:val="00DB292C"/>
    <w:rsid w:val="00DB400E"/>
    <w:rsid w:val="00DB5FBC"/>
    <w:rsid w:val="00DC13C1"/>
    <w:rsid w:val="00DC68B9"/>
    <w:rsid w:val="00DC7409"/>
    <w:rsid w:val="00DD0872"/>
    <w:rsid w:val="00DD1D0A"/>
    <w:rsid w:val="00DD3ED5"/>
    <w:rsid w:val="00DD580B"/>
    <w:rsid w:val="00DE5CA4"/>
    <w:rsid w:val="00DE62BA"/>
    <w:rsid w:val="00DE7650"/>
    <w:rsid w:val="00DF47E5"/>
    <w:rsid w:val="00DF50C7"/>
    <w:rsid w:val="00DF65BD"/>
    <w:rsid w:val="00E002C1"/>
    <w:rsid w:val="00E00C01"/>
    <w:rsid w:val="00E0387E"/>
    <w:rsid w:val="00E04657"/>
    <w:rsid w:val="00E06DB8"/>
    <w:rsid w:val="00E07F8A"/>
    <w:rsid w:val="00E121C2"/>
    <w:rsid w:val="00E12611"/>
    <w:rsid w:val="00E128C4"/>
    <w:rsid w:val="00E3136F"/>
    <w:rsid w:val="00E31B14"/>
    <w:rsid w:val="00E348F1"/>
    <w:rsid w:val="00E36206"/>
    <w:rsid w:val="00E42F08"/>
    <w:rsid w:val="00E44FF6"/>
    <w:rsid w:val="00E45D54"/>
    <w:rsid w:val="00E533C1"/>
    <w:rsid w:val="00E54C31"/>
    <w:rsid w:val="00E606B6"/>
    <w:rsid w:val="00E705A5"/>
    <w:rsid w:val="00E72F31"/>
    <w:rsid w:val="00E73550"/>
    <w:rsid w:val="00E820A2"/>
    <w:rsid w:val="00E8367A"/>
    <w:rsid w:val="00E8629D"/>
    <w:rsid w:val="00E93DFB"/>
    <w:rsid w:val="00E945B2"/>
    <w:rsid w:val="00E94DA1"/>
    <w:rsid w:val="00E94DB9"/>
    <w:rsid w:val="00E95484"/>
    <w:rsid w:val="00E96F0F"/>
    <w:rsid w:val="00EB2193"/>
    <w:rsid w:val="00EB2704"/>
    <w:rsid w:val="00EB5A51"/>
    <w:rsid w:val="00EB6AB3"/>
    <w:rsid w:val="00EC18E0"/>
    <w:rsid w:val="00EC24DE"/>
    <w:rsid w:val="00EC26A0"/>
    <w:rsid w:val="00EC2E1F"/>
    <w:rsid w:val="00ED016E"/>
    <w:rsid w:val="00ED1A91"/>
    <w:rsid w:val="00ED253D"/>
    <w:rsid w:val="00ED4EF1"/>
    <w:rsid w:val="00ED5691"/>
    <w:rsid w:val="00ED5B7D"/>
    <w:rsid w:val="00EF49F4"/>
    <w:rsid w:val="00EF5C4E"/>
    <w:rsid w:val="00F12749"/>
    <w:rsid w:val="00F26F57"/>
    <w:rsid w:val="00F3042B"/>
    <w:rsid w:val="00F316F6"/>
    <w:rsid w:val="00F34028"/>
    <w:rsid w:val="00F34568"/>
    <w:rsid w:val="00F37528"/>
    <w:rsid w:val="00F40CE2"/>
    <w:rsid w:val="00F43630"/>
    <w:rsid w:val="00F44809"/>
    <w:rsid w:val="00F45E5C"/>
    <w:rsid w:val="00F46445"/>
    <w:rsid w:val="00F52AA7"/>
    <w:rsid w:val="00F575F7"/>
    <w:rsid w:val="00F57B75"/>
    <w:rsid w:val="00F610F9"/>
    <w:rsid w:val="00F7384A"/>
    <w:rsid w:val="00F740E6"/>
    <w:rsid w:val="00F753FF"/>
    <w:rsid w:val="00F84F6F"/>
    <w:rsid w:val="00F86C52"/>
    <w:rsid w:val="00F86D15"/>
    <w:rsid w:val="00F92A63"/>
    <w:rsid w:val="00F92F0B"/>
    <w:rsid w:val="00F96290"/>
    <w:rsid w:val="00FA2033"/>
    <w:rsid w:val="00FA26CE"/>
    <w:rsid w:val="00FA3011"/>
    <w:rsid w:val="00FA4B82"/>
    <w:rsid w:val="00FB25C4"/>
    <w:rsid w:val="00FB4B8B"/>
    <w:rsid w:val="00FB648E"/>
    <w:rsid w:val="00FC618D"/>
    <w:rsid w:val="00FD462F"/>
    <w:rsid w:val="00FE1D48"/>
    <w:rsid w:val="00FE43C6"/>
    <w:rsid w:val="00FE4843"/>
    <w:rsid w:val="00FE4E97"/>
    <w:rsid w:val="00FE5287"/>
    <w:rsid w:val="00FE6A76"/>
    <w:rsid w:val="00FF19A3"/>
    <w:rsid w:val="00FF2C07"/>
    <w:rsid w:val="00FF31AF"/>
    <w:rsid w:val="00FF7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0556"/>
  <w15:docId w15:val="{68AFA3AA-0AD2-4306-85E0-B1FC5A8F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44"/>
    <w:pPr>
      <w:spacing w:before="120" w:after="120" w:line="240" w:lineRule="auto"/>
      <w:ind w:left="737"/>
    </w:pPr>
    <w:rPr>
      <w:rFonts w:ascii="Arial" w:hAnsi="Arial"/>
      <w:sz w:val="24"/>
      <w:szCs w:val="24"/>
    </w:rPr>
  </w:style>
  <w:style w:type="paragraph" w:styleId="Heading1">
    <w:name w:val="heading 1"/>
    <w:basedOn w:val="Normal"/>
    <w:next w:val="Normal"/>
    <w:link w:val="Heading1Char"/>
    <w:uiPriority w:val="9"/>
    <w:qFormat/>
    <w:rsid w:val="00012305"/>
    <w:pPr>
      <w:widowControl w:val="0"/>
      <w:numPr>
        <w:numId w:val="1"/>
      </w:numPr>
      <w:spacing w:before="360" w:after="240"/>
      <w:ind w:left="737" w:hanging="737"/>
      <w:outlineLvl w:val="0"/>
    </w:pPr>
    <w:rPr>
      <w:rFonts w:eastAsiaTheme="majorEastAsia" w:cstheme="majorBidi"/>
      <w:b/>
      <w:bCs/>
      <w:color w:val="0070C0"/>
      <w:sz w:val="32"/>
      <w:szCs w:val="32"/>
    </w:rPr>
  </w:style>
  <w:style w:type="paragraph" w:styleId="Heading2">
    <w:name w:val="heading 2"/>
    <w:basedOn w:val="Normal"/>
    <w:next w:val="Normal"/>
    <w:link w:val="Heading2Char"/>
    <w:uiPriority w:val="9"/>
    <w:unhideWhenUsed/>
    <w:qFormat/>
    <w:rsid w:val="00F86C52"/>
    <w:pPr>
      <w:keepNext/>
      <w:keepLines/>
      <w:numPr>
        <w:ilvl w:val="1"/>
        <w:numId w:val="1"/>
      </w:numPr>
      <w:spacing w:before="200"/>
      <w:ind w:left="737" w:hanging="737"/>
      <w:outlineLvl w:val="1"/>
    </w:pPr>
    <w:rPr>
      <w:rFonts w:eastAsiaTheme="majorEastAsia" w:cstheme="majorBidi"/>
      <w:bCs/>
    </w:rPr>
  </w:style>
  <w:style w:type="paragraph" w:styleId="Heading3">
    <w:name w:val="heading 3"/>
    <w:basedOn w:val="Style1"/>
    <w:next w:val="Normal"/>
    <w:link w:val="Heading3Char"/>
    <w:uiPriority w:val="9"/>
    <w:unhideWhenUsed/>
    <w:qFormat/>
    <w:rsid w:val="009A39A8"/>
    <w:pPr>
      <w:keepNext w:val="0"/>
      <w:keepLines w:val="0"/>
      <w:widowControl w:val="0"/>
      <w:numPr>
        <w:ilvl w:val="2"/>
      </w:numPr>
      <w:ind w:left="737" w:hanging="737"/>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05"/>
    <w:rPr>
      <w:rFonts w:ascii="Arial" w:eastAsiaTheme="majorEastAsia" w:hAnsi="Arial" w:cstheme="majorBidi"/>
      <w:b/>
      <w:bCs/>
      <w:color w:val="0070C0"/>
      <w:sz w:val="32"/>
      <w:szCs w:val="32"/>
    </w:rPr>
  </w:style>
  <w:style w:type="character" w:customStyle="1" w:styleId="Heading2Char">
    <w:name w:val="Heading 2 Char"/>
    <w:basedOn w:val="DefaultParagraphFont"/>
    <w:link w:val="Heading2"/>
    <w:uiPriority w:val="9"/>
    <w:rsid w:val="00F86C52"/>
    <w:rPr>
      <w:rFonts w:ascii="Arial" w:eastAsiaTheme="majorEastAsia" w:hAnsi="Arial" w:cstheme="majorBidi"/>
      <w:bCs/>
      <w:sz w:val="24"/>
      <w:szCs w:val="24"/>
    </w:rPr>
  </w:style>
  <w:style w:type="character" w:customStyle="1" w:styleId="Heading3Char">
    <w:name w:val="Heading 3 Char"/>
    <w:basedOn w:val="DefaultParagraphFont"/>
    <w:link w:val="Heading3"/>
    <w:uiPriority w:val="9"/>
    <w:rsid w:val="009A39A8"/>
    <w:rPr>
      <w:rFonts w:ascii="Arial" w:eastAsiaTheme="majorEastAsia" w:hAnsi="Arial" w:cstheme="majorBidi"/>
      <w:bCs/>
      <w:sz w:val="24"/>
      <w:szCs w:val="24"/>
    </w:rPr>
  </w:style>
  <w:style w:type="table" w:styleId="TableGrid">
    <w:name w:val="Table Grid"/>
    <w:basedOn w:val="TableNormal"/>
    <w:rsid w:val="00A33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756"/>
    <w:pPr>
      <w:tabs>
        <w:tab w:val="center" w:pos="4513"/>
        <w:tab w:val="right" w:pos="9026"/>
      </w:tabs>
      <w:spacing w:after="0"/>
    </w:pPr>
  </w:style>
  <w:style w:type="character" w:customStyle="1" w:styleId="HeaderChar">
    <w:name w:val="Header Char"/>
    <w:basedOn w:val="DefaultParagraphFont"/>
    <w:link w:val="Header"/>
    <w:uiPriority w:val="99"/>
    <w:rsid w:val="00A33756"/>
  </w:style>
  <w:style w:type="paragraph" w:styleId="Footer">
    <w:name w:val="footer"/>
    <w:basedOn w:val="Normal"/>
    <w:link w:val="FooterChar"/>
    <w:uiPriority w:val="99"/>
    <w:unhideWhenUsed/>
    <w:rsid w:val="00A33756"/>
    <w:pPr>
      <w:tabs>
        <w:tab w:val="center" w:pos="4513"/>
        <w:tab w:val="right" w:pos="9026"/>
      </w:tabs>
      <w:spacing w:after="0"/>
    </w:pPr>
  </w:style>
  <w:style w:type="character" w:customStyle="1" w:styleId="FooterChar">
    <w:name w:val="Footer Char"/>
    <w:basedOn w:val="DefaultParagraphFont"/>
    <w:link w:val="Footer"/>
    <w:uiPriority w:val="99"/>
    <w:rsid w:val="00A33756"/>
  </w:style>
  <w:style w:type="paragraph" w:customStyle="1" w:styleId="Style1">
    <w:name w:val="Style1"/>
    <w:basedOn w:val="Heading2"/>
    <w:qFormat/>
    <w:rsid w:val="00A33756"/>
    <w:rPr>
      <w:b/>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34"/>
    <w:qFormat/>
    <w:rsid w:val="00A33756"/>
    <w:pPr>
      <w:ind w:left="720"/>
      <w:contextualSpacing/>
    </w:pPr>
  </w:style>
  <w:style w:type="paragraph" w:customStyle="1" w:styleId="Bullet">
    <w:name w:val="Bullet"/>
    <w:basedOn w:val="Normal"/>
    <w:rsid w:val="00A33756"/>
    <w:pPr>
      <w:numPr>
        <w:numId w:val="2"/>
      </w:numPr>
      <w:spacing w:after="0"/>
    </w:pPr>
    <w:rPr>
      <w:rFonts w:ascii="Times New Roman" w:eastAsia="Times New Roman" w:hAnsi="Times New Roman" w:cs="Times New Roman"/>
    </w:rPr>
  </w:style>
  <w:style w:type="paragraph" w:styleId="TOC1">
    <w:name w:val="toc 1"/>
    <w:basedOn w:val="Normal"/>
    <w:next w:val="Normal"/>
    <w:autoRedefine/>
    <w:uiPriority w:val="39"/>
    <w:unhideWhenUsed/>
    <w:rsid w:val="00D15B6A"/>
    <w:pPr>
      <w:tabs>
        <w:tab w:val="left" w:pos="1320"/>
        <w:tab w:val="right" w:leader="dot" w:pos="9016"/>
      </w:tabs>
    </w:pPr>
    <w:rPr>
      <w:b/>
      <w:bCs/>
      <w:caps/>
      <w:sz w:val="20"/>
      <w:szCs w:val="20"/>
    </w:rPr>
  </w:style>
  <w:style w:type="paragraph" w:styleId="TOC2">
    <w:name w:val="toc 2"/>
    <w:basedOn w:val="Normal"/>
    <w:next w:val="Normal"/>
    <w:autoRedefine/>
    <w:uiPriority w:val="39"/>
    <w:unhideWhenUsed/>
    <w:rsid w:val="00A33756"/>
    <w:pPr>
      <w:tabs>
        <w:tab w:val="left" w:pos="1276"/>
        <w:tab w:val="right" w:leader="dot" w:pos="9016"/>
      </w:tabs>
      <w:spacing w:after="0"/>
      <w:ind w:left="426"/>
    </w:pPr>
    <w:rPr>
      <w:smallCaps/>
      <w:sz w:val="20"/>
      <w:szCs w:val="20"/>
    </w:rPr>
  </w:style>
  <w:style w:type="paragraph" w:customStyle="1" w:styleId="FPMredflyer">
    <w:name w:val="FPM red flyer"/>
    <w:basedOn w:val="Normal"/>
    <w:rsid w:val="00A33756"/>
    <w:pPr>
      <w:spacing w:after="0"/>
      <w:jc w:val="center"/>
    </w:pPr>
    <w:rPr>
      <w:rFonts w:ascii="Tahoma" w:eastAsia="Times New Roman" w:hAnsi="Tahoma" w:cs="Tahoma"/>
      <w:b/>
      <w:bCs/>
      <w:color w:val="FF0000"/>
    </w:rPr>
  </w:style>
  <w:style w:type="paragraph" w:styleId="BalloonText">
    <w:name w:val="Balloon Text"/>
    <w:basedOn w:val="Normal"/>
    <w:link w:val="BalloonTextChar"/>
    <w:uiPriority w:val="99"/>
    <w:semiHidden/>
    <w:unhideWhenUsed/>
    <w:rsid w:val="00A337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56"/>
    <w:rPr>
      <w:rFonts w:ascii="Tahoma" w:hAnsi="Tahoma" w:cs="Tahoma"/>
      <w:sz w:val="16"/>
      <w:szCs w:val="16"/>
    </w:rPr>
  </w:style>
  <w:style w:type="paragraph" w:styleId="Quote">
    <w:name w:val="Quote"/>
    <w:basedOn w:val="Normal"/>
    <w:next w:val="Normal"/>
    <w:link w:val="QuoteChar"/>
    <w:uiPriority w:val="29"/>
    <w:qFormat/>
    <w:rsid w:val="00A9476F"/>
    <w:rPr>
      <w:i/>
      <w:iCs/>
      <w:color w:val="000000" w:themeColor="text1"/>
    </w:rPr>
  </w:style>
  <w:style w:type="character" w:customStyle="1" w:styleId="QuoteChar">
    <w:name w:val="Quote Char"/>
    <w:basedOn w:val="DefaultParagraphFont"/>
    <w:link w:val="Quote"/>
    <w:uiPriority w:val="29"/>
    <w:rsid w:val="00A9476F"/>
    <w:rPr>
      <w:i/>
      <w:iCs/>
      <w:color w:val="000000" w:themeColor="text1"/>
    </w:rPr>
  </w:style>
  <w:style w:type="character" w:styleId="CommentReference">
    <w:name w:val="annotation reference"/>
    <w:basedOn w:val="DefaultParagraphFont"/>
    <w:uiPriority w:val="99"/>
    <w:semiHidden/>
    <w:unhideWhenUsed/>
    <w:rsid w:val="00C4712C"/>
    <w:rPr>
      <w:sz w:val="16"/>
      <w:szCs w:val="16"/>
    </w:rPr>
  </w:style>
  <w:style w:type="paragraph" w:styleId="CommentText">
    <w:name w:val="annotation text"/>
    <w:basedOn w:val="Normal"/>
    <w:link w:val="CommentTextChar"/>
    <w:unhideWhenUsed/>
    <w:rsid w:val="00C4712C"/>
    <w:rPr>
      <w:sz w:val="20"/>
      <w:szCs w:val="20"/>
    </w:rPr>
  </w:style>
  <w:style w:type="character" w:customStyle="1" w:styleId="CommentTextChar">
    <w:name w:val="Comment Text Char"/>
    <w:basedOn w:val="DefaultParagraphFont"/>
    <w:link w:val="CommentText"/>
    <w:rsid w:val="00C471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712C"/>
    <w:rPr>
      <w:b/>
      <w:bCs/>
    </w:rPr>
  </w:style>
  <w:style w:type="character" w:customStyle="1" w:styleId="CommentSubjectChar">
    <w:name w:val="Comment Subject Char"/>
    <w:basedOn w:val="CommentTextChar"/>
    <w:link w:val="CommentSubject"/>
    <w:uiPriority w:val="99"/>
    <w:semiHidden/>
    <w:rsid w:val="00C4712C"/>
    <w:rPr>
      <w:rFonts w:ascii="Arial" w:hAnsi="Arial"/>
      <w:b/>
      <w:bCs/>
      <w:sz w:val="20"/>
      <w:szCs w:val="20"/>
    </w:rPr>
  </w:style>
  <w:style w:type="paragraph" w:styleId="Revision">
    <w:name w:val="Revision"/>
    <w:hidden/>
    <w:uiPriority w:val="99"/>
    <w:semiHidden/>
    <w:rsid w:val="000E7A83"/>
    <w:pPr>
      <w:spacing w:after="0" w:line="240" w:lineRule="auto"/>
    </w:pPr>
    <w:rPr>
      <w:rFonts w:ascii="Arial" w:hAnsi="Arial"/>
    </w:rPr>
  </w:style>
  <w:style w:type="paragraph" w:customStyle="1" w:styleId="legclearfix1">
    <w:name w:val="legclearfix1"/>
    <w:basedOn w:val="Normal"/>
    <w:rsid w:val="00EC26A0"/>
    <w:pPr>
      <w:shd w:val="clear" w:color="auto" w:fill="FFFFFF"/>
    </w:pPr>
    <w:rPr>
      <w:rFonts w:eastAsia="Times New Roman" w:cs="Arial"/>
      <w:color w:val="000000"/>
      <w:sz w:val="19"/>
      <w:szCs w:val="19"/>
    </w:rPr>
  </w:style>
  <w:style w:type="character" w:customStyle="1" w:styleId="legds2">
    <w:name w:val="legds2"/>
    <w:basedOn w:val="DefaultParagraphFont"/>
    <w:rsid w:val="00EC26A0"/>
    <w:rPr>
      <w:vanish w:val="0"/>
      <w:webHidden w:val="0"/>
      <w:specVanish w:val="0"/>
    </w:rPr>
  </w:style>
  <w:style w:type="paragraph" w:customStyle="1" w:styleId="legrhs1">
    <w:name w:val="legrhs1"/>
    <w:basedOn w:val="Normal"/>
    <w:rsid w:val="00EC26A0"/>
    <w:pPr>
      <w:shd w:val="clear" w:color="auto" w:fill="FFFFFF"/>
      <w:jc w:val="both"/>
    </w:pPr>
    <w:rPr>
      <w:rFonts w:eastAsia="Times New Roman" w:cs="Arial"/>
      <w:color w:val="000000"/>
      <w:sz w:val="19"/>
      <w:szCs w:val="19"/>
    </w:rPr>
  </w:style>
  <w:style w:type="character" w:styleId="Hyperlink">
    <w:name w:val="Hyperlink"/>
    <w:basedOn w:val="DefaultParagraphFont"/>
    <w:uiPriority w:val="99"/>
    <w:unhideWhenUsed/>
    <w:rsid w:val="00226043"/>
    <w:rPr>
      <w:color w:val="0000FF" w:themeColor="hyperlink"/>
      <w:u w:val="single"/>
    </w:rPr>
  </w:style>
  <w:style w:type="character" w:styleId="UnresolvedMention">
    <w:name w:val="Unresolved Mention"/>
    <w:basedOn w:val="DefaultParagraphFont"/>
    <w:uiPriority w:val="99"/>
    <w:semiHidden/>
    <w:unhideWhenUsed/>
    <w:rsid w:val="00226043"/>
    <w:rPr>
      <w:color w:val="605E5C"/>
      <w:shd w:val="clear" w:color="auto" w:fill="E1DFDD"/>
    </w:rPr>
  </w:style>
  <w:style w:type="character" w:styleId="FollowedHyperlink">
    <w:name w:val="FollowedHyperlink"/>
    <w:basedOn w:val="DefaultParagraphFont"/>
    <w:uiPriority w:val="99"/>
    <w:semiHidden/>
    <w:unhideWhenUsed/>
    <w:rsid w:val="008A1BE4"/>
    <w:rPr>
      <w:color w:val="800080" w:themeColor="followedHyperlink"/>
      <w:u w:val="single"/>
    </w:rPr>
  </w:style>
  <w:style w:type="table" w:customStyle="1" w:styleId="TableGrid1">
    <w:name w:val="Table Grid1"/>
    <w:basedOn w:val="TableNormal"/>
    <w:next w:val="TableGrid"/>
    <w:uiPriority w:val="59"/>
    <w:rsid w:val="00444A32"/>
    <w:pPr>
      <w:spacing w:after="0" w:line="240" w:lineRule="auto"/>
    </w:pPr>
    <w:rPr>
      <w:rFonts w:eastAsia="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4A32"/>
    <w:pPr>
      <w:spacing w:after="0" w:line="240" w:lineRule="auto"/>
    </w:pPr>
    <w:rPr>
      <w:rFonts w:eastAsia="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1230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305"/>
    <w:rPr>
      <w:rFonts w:asciiTheme="majorHAnsi" w:eastAsiaTheme="majorEastAsia" w:hAnsiTheme="majorHAnsi" w:cstheme="majorBidi"/>
      <w:spacing w:val="-10"/>
      <w:kern w:val="28"/>
      <w:sz w:val="56"/>
      <w:szCs w:val="56"/>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34"/>
    <w:locked/>
    <w:rsid w:val="0097313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6884">
      <w:bodyDiv w:val="1"/>
      <w:marLeft w:val="0"/>
      <w:marRight w:val="0"/>
      <w:marTop w:val="0"/>
      <w:marBottom w:val="0"/>
      <w:divBdr>
        <w:top w:val="none" w:sz="0" w:space="0" w:color="auto"/>
        <w:left w:val="none" w:sz="0" w:space="0" w:color="auto"/>
        <w:bottom w:val="none" w:sz="0" w:space="0" w:color="auto"/>
        <w:right w:val="none" w:sz="0" w:space="0" w:color="auto"/>
      </w:divBdr>
    </w:div>
    <w:div w:id="17370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cfa.nhs.uk/resources/downloads/documents/corporate-publications/NHSCFA_Strategy_2020-23.pdf"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cfa.nhs.uk%2Ffraud-prevention%2Ffailure-to-prevent%2Ffailure-to-prevent-fraud-offence&amp;data=05%7C02%7Channah.wenlock%40tiaa.co.uk%7Cf353ed3a41654a503eed08dddf152441%7C21ae3b23c8ee4702a3dd5dc234e36a7e%7C0%7C0%7C638912004105175281%7CUnknown%7CTWFpbGZsb3d8eyJFbXB0eU1hcGkiOnRydWUsIlYiOiIwLjAuMDAwMCIsIlAiOiJXaW4zMiIsIkFOIjoiTWFpbCIsIldUIjoyfQ%3D%3D%7C0%7C%7C%7C&amp;sdata=5Dqblfr0Wi%2BV3cYh3g2B9kkbk4IrPT8na8%2BDLBsklp4%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midandsouthessex.ics.nhs.uk/publications/?publications_category=icb-policies&amp;page_no=6" TargetMode="External"/><Relationship Id="rId33" Type="http://schemas.openxmlformats.org/officeDocument/2006/relationships/hyperlink" Target="https://www.midandsouthessex.ics.nhs.uk/publications/?publications_category=icb-policies&amp;page_no=6"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idandsouthessex.ics.nhs.uk/publications/?publications_category=icb-policies&amp;page_no=6"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idandsouthessex.ics.nhs.uk/publications/?publications_category=icb-policies&amp;page_no=6" TargetMode="External"/><Relationship Id="rId32" Type="http://schemas.openxmlformats.org/officeDocument/2006/relationships/hyperlink" Target="https://cfa.nhs.uk/reportfraud"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idandsouthessex.ics.nhs.uk/publications/?publications_category=icb-policies&amp;page_no=6" TargetMode="External"/><Relationship Id="rId28" Type="http://schemas.openxmlformats.org/officeDocument/2006/relationships/hyperlink" Target="https://www.legislation.gov.uk/ukpga/2010/23/contents" TargetMode="External"/><Relationship Id="rId10" Type="http://schemas.openxmlformats.org/officeDocument/2006/relationships/endnotes" Target="endnotes.xml"/><Relationship Id="rId19" Type="http://schemas.openxmlformats.org/officeDocument/2006/relationships/hyperlink" Target="https://www.midandsouthessex.ics.nhs.uk/publications/?publications_category=icb-policies&amp;page_no=6" TargetMode="External"/><Relationship Id="rId31" Type="http://schemas.openxmlformats.org/officeDocument/2006/relationships/hyperlink" Target="mailto:jennifer.kearton@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idandsouthessex.ics.nhs.uk/publications/?publications_category=icb-policies&amp;page_no=6" TargetMode="External"/><Relationship Id="rId27" Type="http://schemas.openxmlformats.org/officeDocument/2006/relationships/hyperlink" Target="https://www.legislation.gov.uk/ukpga/2006/35/contents" TargetMode="External"/><Relationship Id="rId30" Type="http://schemas.openxmlformats.org/officeDocument/2006/relationships/hyperlink" Target="mailto:hannah.wenlock@nhs.ne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c630f-7b21-41af-8e66-c00e7f0a0ae0" xsi:nil="true"/>
    <lcf76f155ced4ddcb4097134ff3c332f xmlns="50a69fdf-07a1-4535-917f-f731e83d1ce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2A4E2-6900-4F1B-AD3D-AD28717121D1}">
  <ds:schemaRefs>
    <ds:schemaRef ds:uri="http://schemas.microsoft.com/sharepoint/v3/contenttype/forms"/>
  </ds:schemaRefs>
</ds:datastoreItem>
</file>

<file path=customXml/itemProps2.xml><?xml version="1.0" encoding="utf-8"?>
<ds:datastoreItem xmlns:ds="http://schemas.openxmlformats.org/officeDocument/2006/customXml" ds:itemID="{061CE30A-569E-4B99-9717-E7C59FD5BA11}">
  <ds:schemaRefs>
    <ds:schemaRef ds:uri="http://schemas.microsoft.com/office/2006/metadata/properties"/>
    <ds:schemaRef ds:uri="http://schemas.microsoft.com/office/infopath/2007/PartnerControls"/>
    <ds:schemaRef ds:uri="9f7c630f-7b21-41af-8e66-c00e7f0a0ae0"/>
    <ds:schemaRef ds:uri="50a69fdf-07a1-4535-917f-f731e83d1ce8"/>
    <ds:schemaRef ds:uri="http://schemas.microsoft.com/sharepoint/v3"/>
  </ds:schemaRefs>
</ds:datastoreItem>
</file>

<file path=customXml/itemProps3.xml><?xml version="1.0" encoding="utf-8"?>
<ds:datastoreItem xmlns:ds="http://schemas.openxmlformats.org/officeDocument/2006/customXml" ds:itemID="{E3E42CFC-FC9D-4AFA-AD5F-E82963C0977C}">
  <ds:schemaRefs>
    <ds:schemaRef ds:uri="http://schemas.openxmlformats.org/officeDocument/2006/bibliography"/>
  </ds:schemaRefs>
</ds:datastoreItem>
</file>

<file path=customXml/itemProps4.xml><?xml version="1.0" encoding="utf-8"?>
<ds:datastoreItem xmlns:ds="http://schemas.openxmlformats.org/officeDocument/2006/customXml" ds:itemID="{C42E8287-DB17-466D-916C-EFE970E3E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30</TotalTime>
  <Pages>25</Pages>
  <Words>7460</Words>
  <Characters>42525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South West Essex NHS</Company>
  <LinksUpToDate>false</LinksUpToDate>
  <CharactersWithSpaces>49886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dc:creator>
  <cp:lastModifiedBy>CHASNEY, Helen (NHS MID AND SOUTH ESSEX ICB - 07G)</cp:lastModifiedBy>
  <cp:revision>39</cp:revision>
  <dcterms:created xsi:type="dcterms:W3CDTF">2025-09-03T13:20:00Z</dcterms:created>
  <dcterms:modified xsi:type="dcterms:W3CDTF">2025-10-10T08:27:00Z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a745c6-cdb5-4dce-8279-51c21c4822c2_Enabled">
    <vt:lpwstr>True</vt:lpwstr>
  </property>
  <property fmtid="{D5CDD505-2E9C-101B-9397-08002B2CF9AE}" pid="3" name="MSIP_Label_c2a745c6-cdb5-4dce-8279-51c21c4822c2_SiteId">
    <vt:lpwstr>32522f32-5eb7-4973-bbc2-5033d71ac83f</vt:lpwstr>
  </property>
  <property fmtid="{D5CDD505-2E9C-101B-9397-08002B2CF9AE}" pid="4" name="MSIP_Label_c2a745c6-cdb5-4dce-8279-51c21c4822c2_Owner">
    <vt:lpwstr>eleni.gill@wmas.nhs.uk</vt:lpwstr>
  </property>
  <property fmtid="{D5CDD505-2E9C-101B-9397-08002B2CF9AE}" pid="5" name="MSIP_Label_c2a745c6-cdb5-4dce-8279-51c21c4822c2_SetDate">
    <vt:lpwstr>2022-01-10T09:24:58.9432891Z</vt:lpwstr>
  </property>
  <property fmtid="{D5CDD505-2E9C-101B-9397-08002B2CF9AE}" pid="6" name="MSIP_Label_c2a745c6-cdb5-4dce-8279-51c21c4822c2_Name">
    <vt:lpwstr>OFFICIAL</vt:lpwstr>
  </property>
  <property fmtid="{D5CDD505-2E9C-101B-9397-08002B2CF9AE}" pid="7" name="MSIP_Label_c2a745c6-cdb5-4dce-8279-51c21c4822c2_Application">
    <vt:lpwstr>Microsoft Azure Information Protection</vt:lpwstr>
  </property>
  <property fmtid="{D5CDD505-2E9C-101B-9397-08002B2CF9AE}" pid="8" name="MSIP_Label_c2a745c6-cdb5-4dce-8279-51c21c4822c2_ActionId">
    <vt:lpwstr>f2bde1a3-7700-480f-aa79-189908368e13</vt:lpwstr>
  </property>
  <property fmtid="{D5CDD505-2E9C-101B-9397-08002B2CF9AE}" pid="9" name="MSIP_Label_c2a745c6-cdb5-4dce-8279-51c21c4822c2_Extended_MSFT_Method">
    <vt:lpwstr>Automatic</vt:lpwstr>
  </property>
  <property fmtid="{D5CDD505-2E9C-101B-9397-08002B2CF9AE}" pid="10" name="Sensitivity">
    <vt:lpwstr>OFFICIAL</vt:lpwstr>
  </property>
  <property fmtid="{D5CDD505-2E9C-101B-9397-08002B2CF9AE}" pid="11" name="ContentTypeId">
    <vt:lpwstr>0x0101002E5D983C6DD6CA4FB798FFE5ED97F751</vt:lpwstr>
  </property>
  <property fmtid="{D5CDD505-2E9C-101B-9397-08002B2CF9AE}" pid="12" name="MediaServiceImageTags">
    <vt:lpwstr/>
  </property>
</Properties>
</file>