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30EC" w14:textId="77777777" w:rsidR="004D300E" w:rsidRDefault="004D300E" w:rsidP="003A663C">
      <w:pPr>
        <w:pStyle w:val="Title"/>
      </w:pPr>
      <w:bookmarkStart w:id="0" w:name="_Toc85717490"/>
    </w:p>
    <w:p w14:paraId="25AEC667" w14:textId="77777777" w:rsidR="004D300E" w:rsidRDefault="004D300E" w:rsidP="003A663C">
      <w:pPr>
        <w:pStyle w:val="Title"/>
      </w:pPr>
    </w:p>
    <w:p w14:paraId="7F27B5D1" w14:textId="77777777" w:rsidR="004D300E" w:rsidRDefault="004D300E" w:rsidP="003A663C">
      <w:pPr>
        <w:pStyle w:val="Title"/>
      </w:pPr>
    </w:p>
    <w:p w14:paraId="14ACB7D8" w14:textId="3CFE3443" w:rsidR="003A663C" w:rsidRPr="003A663C" w:rsidRDefault="009C523D" w:rsidP="003A663C">
      <w:pPr>
        <w:pStyle w:val="Title"/>
      </w:pPr>
      <w:r>
        <w:br/>
      </w:r>
      <w:r>
        <w:br/>
      </w:r>
      <w:r>
        <w:br/>
      </w:r>
      <w:r>
        <w:br/>
      </w:r>
      <w:r>
        <w:br/>
      </w:r>
      <w:bookmarkStart w:id="1" w:name="_Toc88478171"/>
      <w:bookmarkEnd w:id="0"/>
      <w:r w:rsidR="00032505">
        <w:t xml:space="preserve">Creditors and </w:t>
      </w:r>
      <w:r w:rsidR="00451B8E">
        <w:t>Purchase</w:t>
      </w:r>
      <w:r w:rsidR="002D1C4B">
        <w:t xml:space="preserve"> Policy</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0" w:type="auto"/>
        <w:tblLook w:val="04A0" w:firstRow="1" w:lastRow="0" w:firstColumn="1" w:lastColumn="0" w:noHBand="0" w:noVBand="1"/>
      </w:tblPr>
      <w:tblGrid>
        <w:gridCol w:w="4508"/>
        <w:gridCol w:w="4508"/>
      </w:tblGrid>
      <w:tr w:rsidR="00E50F4C" w:rsidRPr="00497BF9" w14:paraId="4D34AEF8" w14:textId="77777777" w:rsidTr="00E50F4C">
        <w:trPr>
          <w:tblHeader/>
        </w:trPr>
        <w:tc>
          <w:tcPr>
            <w:tcW w:w="4508" w:type="dxa"/>
            <w:shd w:val="clear" w:color="auto" w:fill="003087" w:themeFill="accent1"/>
          </w:tcPr>
          <w:p w14:paraId="4B944D61" w14:textId="47907250" w:rsidR="00E50F4C" w:rsidRPr="00497BF9" w:rsidRDefault="00E50F4C" w:rsidP="00497BF9">
            <w:pPr>
              <w:spacing w:before="0" w:after="0"/>
              <w:ind w:left="0"/>
              <w:rPr>
                <w:rFonts w:ascii="Arial" w:eastAsia="Arial" w:hAnsi="Arial"/>
                <w:b/>
                <w:bCs/>
                <w:color w:val="FFFFFF" w:themeColor="background1"/>
              </w:rPr>
            </w:pPr>
            <w:r w:rsidRPr="00497BF9">
              <w:rPr>
                <w:rFonts w:ascii="Arial" w:eastAsia="Arial" w:hAnsi="Arial"/>
                <w:b/>
                <w:bCs/>
                <w:color w:val="FFFFFF" w:themeColor="background1"/>
              </w:rPr>
              <w:t>Document Control Information</w:t>
            </w:r>
          </w:p>
        </w:tc>
        <w:tc>
          <w:tcPr>
            <w:tcW w:w="4508" w:type="dxa"/>
          </w:tcPr>
          <w:p w14:paraId="1369642C" w14:textId="1793F754" w:rsidR="00E50F4C" w:rsidRPr="00497BF9" w:rsidRDefault="00E50F4C" w:rsidP="00497BF9">
            <w:pPr>
              <w:spacing w:before="0" w:after="0"/>
              <w:ind w:left="0"/>
              <w:rPr>
                <w:b/>
                <w:bCs/>
              </w:rPr>
            </w:pPr>
            <w:r w:rsidRPr="00497BF9">
              <w:rPr>
                <w:b/>
                <w:bCs/>
              </w:rPr>
              <w:t>Details</w:t>
            </w:r>
          </w:p>
        </w:tc>
      </w:tr>
      <w:tr w:rsidR="00B303FD" w14:paraId="72522B01" w14:textId="77777777" w:rsidTr="009C2BC5">
        <w:tc>
          <w:tcPr>
            <w:tcW w:w="4508" w:type="dxa"/>
            <w:shd w:val="clear" w:color="auto" w:fill="003087" w:themeFill="accent1"/>
          </w:tcPr>
          <w:p w14:paraId="4DB7EF42" w14:textId="29ECC7A5" w:rsidR="00B303FD" w:rsidRDefault="009C2BC5" w:rsidP="00497BF9">
            <w:pPr>
              <w:spacing w:before="0" w:after="0"/>
              <w:ind w:left="0"/>
            </w:pPr>
            <w:r>
              <w:rPr>
                <w:rFonts w:ascii="Arial" w:eastAsia="Arial" w:hAnsi="Arial"/>
                <w:color w:val="FFFFFF" w:themeColor="background1"/>
              </w:rPr>
              <w:t>Policy Name</w:t>
            </w:r>
          </w:p>
        </w:tc>
        <w:tc>
          <w:tcPr>
            <w:tcW w:w="4508" w:type="dxa"/>
          </w:tcPr>
          <w:p w14:paraId="24628341" w14:textId="713A40CC" w:rsidR="00B303FD" w:rsidRDefault="00DD43BE" w:rsidP="00497BF9">
            <w:pPr>
              <w:spacing w:before="0" w:after="0"/>
              <w:ind w:left="0"/>
            </w:pPr>
            <w:r>
              <w:t>Creditors and Purchase</w:t>
            </w:r>
            <w:r w:rsidR="00D63DCA">
              <w:t xml:space="preserve"> Policy</w:t>
            </w:r>
          </w:p>
        </w:tc>
      </w:tr>
      <w:tr w:rsidR="00B303FD" w14:paraId="67F85A89" w14:textId="77777777" w:rsidTr="009C2BC5">
        <w:tc>
          <w:tcPr>
            <w:tcW w:w="4508" w:type="dxa"/>
            <w:shd w:val="clear" w:color="auto" w:fill="003087" w:themeFill="accent1"/>
          </w:tcPr>
          <w:p w14:paraId="5548AFC3" w14:textId="2FEDD52B" w:rsidR="00B303FD" w:rsidRPr="009C2BC5" w:rsidRDefault="009C2BC5" w:rsidP="00497BF9">
            <w:pPr>
              <w:spacing w:before="0" w:after="0"/>
              <w:ind w:left="0"/>
              <w:rPr>
                <w:color w:val="FFFFFF" w:themeColor="background1"/>
              </w:rPr>
            </w:pPr>
            <w:r w:rsidRPr="009C2BC5">
              <w:rPr>
                <w:color w:val="FFFFFF" w:themeColor="background1"/>
              </w:rPr>
              <w:t>Policy Number</w:t>
            </w:r>
          </w:p>
        </w:tc>
        <w:tc>
          <w:tcPr>
            <w:tcW w:w="4508" w:type="dxa"/>
          </w:tcPr>
          <w:p w14:paraId="608BA2FB" w14:textId="157CC25D" w:rsidR="00B303FD" w:rsidRDefault="00837E7E" w:rsidP="00497BF9">
            <w:pPr>
              <w:spacing w:before="0" w:after="0"/>
              <w:ind w:left="0"/>
            </w:pPr>
            <w:r>
              <w:t>MSEICB007</w:t>
            </w:r>
          </w:p>
        </w:tc>
      </w:tr>
      <w:tr w:rsidR="00B303FD" w14:paraId="10214A79" w14:textId="77777777" w:rsidTr="009C2BC5">
        <w:tc>
          <w:tcPr>
            <w:tcW w:w="4508" w:type="dxa"/>
            <w:shd w:val="clear" w:color="auto" w:fill="003087" w:themeFill="accent1"/>
          </w:tcPr>
          <w:p w14:paraId="3DB6346D" w14:textId="4B8C29ED" w:rsidR="00B303FD" w:rsidRPr="009C2BC5" w:rsidRDefault="00430DC6" w:rsidP="00497BF9">
            <w:pPr>
              <w:spacing w:before="0" w:after="0"/>
              <w:ind w:left="0"/>
              <w:rPr>
                <w:color w:val="FFFFFF" w:themeColor="background1"/>
              </w:rPr>
            </w:pPr>
            <w:r>
              <w:rPr>
                <w:color w:val="FFFFFF" w:themeColor="background1"/>
              </w:rPr>
              <w:t>Version</w:t>
            </w:r>
          </w:p>
        </w:tc>
        <w:tc>
          <w:tcPr>
            <w:tcW w:w="4508" w:type="dxa"/>
          </w:tcPr>
          <w:p w14:paraId="120620B4" w14:textId="337A31EF" w:rsidR="00B303FD" w:rsidRDefault="00730D2A" w:rsidP="00497BF9">
            <w:pPr>
              <w:spacing w:before="0" w:after="0"/>
              <w:ind w:left="0"/>
            </w:pPr>
            <w:r>
              <w:t>2.0</w:t>
            </w:r>
          </w:p>
        </w:tc>
      </w:tr>
      <w:tr w:rsidR="00B303FD" w14:paraId="04512574" w14:textId="77777777" w:rsidTr="009C2BC5">
        <w:tc>
          <w:tcPr>
            <w:tcW w:w="4508" w:type="dxa"/>
            <w:shd w:val="clear" w:color="auto" w:fill="003087" w:themeFill="accent1"/>
          </w:tcPr>
          <w:p w14:paraId="6832B675" w14:textId="540BF0A4" w:rsidR="00B303FD" w:rsidRPr="009C2BC5" w:rsidRDefault="00834A93" w:rsidP="00497BF9">
            <w:pPr>
              <w:spacing w:before="0" w:after="0"/>
              <w:ind w:left="0"/>
              <w:rPr>
                <w:color w:val="FFFFFF" w:themeColor="background1"/>
              </w:rPr>
            </w:pPr>
            <w:r>
              <w:rPr>
                <w:color w:val="FFFFFF" w:themeColor="background1"/>
              </w:rPr>
              <w:t>Status</w:t>
            </w:r>
          </w:p>
        </w:tc>
        <w:tc>
          <w:tcPr>
            <w:tcW w:w="4508" w:type="dxa"/>
          </w:tcPr>
          <w:p w14:paraId="7C8E90AD" w14:textId="29FB6027" w:rsidR="00B303FD" w:rsidRDefault="00730D2A" w:rsidP="00497BF9">
            <w:pPr>
              <w:spacing w:before="0" w:after="0"/>
              <w:ind w:left="0"/>
            </w:pPr>
            <w:r>
              <w:t>Approved final version</w:t>
            </w:r>
          </w:p>
        </w:tc>
      </w:tr>
      <w:tr w:rsidR="00B303FD" w14:paraId="4245E4FC" w14:textId="77777777" w:rsidTr="009C2BC5">
        <w:tc>
          <w:tcPr>
            <w:tcW w:w="4508" w:type="dxa"/>
            <w:shd w:val="clear" w:color="auto" w:fill="003087" w:themeFill="accent1"/>
          </w:tcPr>
          <w:p w14:paraId="38167622" w14:textId="5FFE1BB3" w:rsidR="00B303FD" w:rsidRPr="009C2BC5" w:rsidRDefault="008235E7" w:rsidP="00497BF9">
            <w:pPr>
              <w:spacing w:before="0" w:after="0"/>
              <w:ind w:left="0"/>
              <w:rPr>
                <w:color w:val="FFFFFF" w:themeColor="background1"/>
              </w:rPr>
            </w:pPr>
            <w:r>
              <w:rPr>
                <w:color w:val="FFFFFF" w:themeColor="background1"/>
              </w:rPr>
              <w:t>Author / Lead</w:t>
            </w:r>
          </w:p>
        </w:tc>
        <w:tc>
          <w:tcPr>
            <w:tcW w:w="4508" w:type="dxa"/>
          </w:tcPr>
          <w:p w14:paraId="50BEC985" w14:textId="4349D73A" w:rsidR="00B303FD" w:rsidRDefault="00624F37" w:rsidP="00497BF9">
            <w:pPr>
              <w:spacing w:before="0" w:after="0"/>
              <w:ind w:left="0"/>
            </w:pPr>
            <w:r w:rsidRPr="00F92936">
              <w:t>Deputy Director of Finance Primary Care &amp; Financial Services</w:t>
            </w:r>
          </w:p>
        </w:tc>
      </w:tr>
      <w:tr w:rsidR="00B303FD" w14:paraId="3A951DDD" w14:textId="77777777" w:rsidTr="009C2BC5">
        <w:tc>
          <w:tcPr>
            <w:tcW w:w="4508" w:type="dxa"/>
            <w:shd w:val="clear" w:color="auto" w:fill="003087" w:themeFill="accent1"/>
          </w:tcPr>
          <w:p w14:paraId="0E6E6015" w14:textId="05DB4D20" w:rsidR="00B303FD" w:rsidRPr="009C2BC5" w:rsidRDefault="00E277DF" w:rsidP="00497BF9">
            <w:pPr>
              <w:spacing w:before="0" w:after="0"/>
              <w:ind w:left="0"/>
              <w:rPr>
                <w:color w:val="FFFFFF" w:themeColor="background1"/>
              </w:rPr>
            </w:pPr>
            <w:r>
              <w:rPr>
                <w:color w:val="FFFFFF" w:themeColor="background1"/>
              </w:rPr>
              <w:t>Responsible Executive Director</w:t>
            </w:r>
          </w:p>
        </w:tc>
        <w:tc>
          <w:tcPr>
            <w:tcW w:w="4508" w:type="dxa"/>
          </w:tcPr>
          <w:p w14:paraId="3B68B283" w14:textId="268C2C93" w:rsidR="00B303FD" w:rsidRDefault="00547414" w:rsidP="00497BF9">
            <w:pPr>
              <w:spacing w:before="0" w:after="0"/>
              <w:ind w:left="0"/>
            </w:pPr>
            <w:r w:rsidRPr="00547414">
              <w:t>Executive Chief Finance Officer</w:t>
            </w:r>
          </w:p>
        </w:tc>
      </w:tr>
      <w:tr w:rsidR="00B303FD" w14:paraId="34E34245" w14:textId="77777777" w:rsidTr="009C2BC5">
        <w:tc>
          <w:tcPr>
            <w:tcW w:w="4508" w:type="dxa"/>
            <w:shd w:val="clear" w:color="auto" w:fill="003087" w:themeFill="accent1"/>
          </w:tcPr>
          <w:p w14:paraId="05A76BB3" w14:textId="43ABDE69" w:rsidR="00337A9E" w:rsidRPr="009C2BC5" w:rsidRDefault="00337A9E" w:rsidP="00497BF9">
            <w:pPr>
              <w:spacing w:before="0" w:after="0"/>
              <w:ind w:left="0"/>
              <w:rPr>
                <w:color w:val="FFFFFF" w:themeColor="background1"/>
              </w:rPr>
            </w:pPr>
            <w:r>
              <w:rPr>
                <w:color w:val="FFFFFF" w:themeColor="background1"/>
              </w:rPr>
              <w:t>Responsible Commi</w:t>
            </w:r>
            <w:r w:rsidR="00374C45">
              <w:rPr>
                <w:color w:val="FFFFFF" w:themeColor="background1"/>
              </w:rPr>
              <w:t>ttee</w:t>
            </w:r>
          </w:p>
        </w:tc>
        <w:tc>
          <w:tcPr>
            <w:tcW w:w="4508" w:type="dxa"/>
          </w:tcPr>
          <w:p w14:paraId="02DB5F4A" w14:textId="69E29635" w:rsidR="00B303FD" w:rsidRDefault="001A129D" w:rsidP="00497BF9">
            <w:pPr>
              <w:spacing w:before="0" w:after="0"/>
              <w:ind w:left="0"/>
            </w:pPr>
            <w:r>
              <w:t>Audit Committee</w:t>
            </w:r>
          </w:p>
        </w:tc>
      </w:tr>
      <w:tr w:rsidR="00B303FD" w14:paraId="2135B8B0" w14:textId="77777777" w:rsidTr="009C2BC5">
        <w:tc>
          <w:tcPr>
            <w:tcW w:w="4508" w:type="dxa"/>
            <w:shd w:val="clear" w:color="auto" w:fill="003087" w:themeFill="accent1"/>
          </w:tcPr>
          <w:p w14:paraId="0D72273D" w14:textId="44B83ADD" w:rsidR="00B303FD" w:rsidRPr="009C2BC5" w:rsidRDefault="007A2B3E" w:rsidP="00497BF9">
            <w:pPr>
              <w:spacing w:before="0" w:after="0"/>
              <w:ind w:left="0"/>
              <w:rPr>
                <w:color w:val="FFFFFF" w:themeColor="background1"/>
              </w:rPr>
            </w:pPr>
            <w:r>
              <w:rPr>
                <w:color w:val="FFFFFF" w:themeColor="background1"/>
              </w:rPr>
              <w:t>Date Ratified by Responsible Committee</w:t>
            </w:r>
          </w:p>
        </w:tc>
        <w:tc>
          <w:tcPr>
            <w:tcW w:w="4508" w:type="dxa"/>
          </w:tcPr>
          <w:p w14:paraId="6F58154A" w14:textId="6A96C410" w:rsidR="00B303FD" w:rsidRDefault="00A63C4C" w:rsidP="00497BF9">
            <w:pPr>
              <w:spacing w:before="0" w:after="0"/>
              <w:ind w:left="0"/>
            </w:pPr>
            <w:r>
              <w:t>23 July 2024</w:t>
            </w:r>
          </w:p>
        </w:tc>
      </w:tr>
      <w:tr w:rsidR="00B303FD" w14:paraId="3ED5EF8B" w14:textId="77777777" w:rsidTr="009C2BC5">
        <w:tc>
          <w:tcPr>
            <w:tcW w:w="4508" w:type="dxa"/>
            <w:shd w:val="clear" w:color="auto" w:fill="003087" w:themeFill="accent1"/>
          </w:tcPr>
          <w:p w14:paraId="24FAF4B5" w14:textId="776C0597" w:rsidR="00B303FD" w:rsidRPr="009C2BC5" w:rsidRDefault="009305D7" w:rsidP="00497BF9">
            <w:pPr>
              <w:spacing w:before="0" w:after="0"/>
              <w:ind w:left="0"/>
              <w:rPr>
                <w:color w:val="FFFFFF" w:themeColor="background1"/>
              </w:rPr>
            </w:pPr>
            <w:r>
              <w:rPr>
                <w:color w:val="FFFFFF" w:themeColor="background1"/>
              </w:rPr>
              <w:t>Date Approved by Board</w:t>
            </w:r>
          </w:p>
        </w:tc>
        <w:tc>
          <w:tcPr>
            <w:tcW w:w="4508" w:type="dxa"/>
          </w:tcPr>
          <w:p w14:paraId="4A8A8325" w14:textId="39970E12" w:rsidR="00B303FD" w:rsidRDefault="00452242" w:rsidP="00497BF9">
            <w:pPr>
              <w:spacing w:before="0" w:after="0"/>
              <w:ind w:left="0"/>
            </w:pPr>
            <w:r>
              <w:t>September 2026</w:t>
            </w:r>
          </w:p>
        </w:tc>
      </w:tr>
      <w:tr w:rsidR="00B303FD" w14:paraId="5C1E2689" w14:textId="77777777" w:rsidTr="009C2BC5">
        <w:tc>
          <w:tcPr>
            <w:tcW w:w="4508" w:type="dxa"/>
            <w:shd w:val="clear" w:color="auto" w:fill="003087" w:themeFill="accent1"/>
          </w:tcPr>
          <w:p w14:paraId="30537DD1" w14:textId="07A32432" w:rsidR="00B303FD" w:rsidRPr="009C2BC5" w:rsidRDefault="005F32B5" w:rsidP="00497BF9">
            <w:pPr>
              <w:spacing w:before="0" w:after="0"/>
              <w:ind w:left="0"/>
              <w:rPr>
                <w:color w:val="FFFFFF" w:themeColor="background1"/>
              </w:rPr>
            </w:pPr>
            <w:r>
              <w:rPr>
                <w:color w:val="FFFFFF" w:themeColor="background1"/>
              </w:rPr>
              <w:t>Next Review Date</w:t>
            </w:r>
          </w:p>
        </w:tc>
        <w:tc>
          <w:tcPr>
            <w:tcW w:w="4508" w:type="dxa"/>
          </w:tcPr>
          <w:p w14:paraId="0E0E77FF" w14:textId="2B979610" w:rsidR="00B303FD" w:rsidRDefault="004D300E" w:rsidP="00497BF9">
            <w:pPr>
              <w:spacing w:before="0" w:after="0"/>
              <w:ind w:left="0"/>
            </w:pPr>
            <w:r>
              <w:t>July 202</w:t>
            </w:r>
            <w:r w:rsidR="00624F37">
              <w:t>6</w:t>
            </w:r>
          </w:p>
        </w:tc>
      </w:tr>
      <w:tr w:rsidR="00F95DC7" w14:paraId="0BA71870" w14:textId="77777777" w:rsidTr="009C2BC5">
        <w:tc>
          <w:tcPr>
            <w:tcW w:w="4508" w:type="dxa"/>
            <w:shd w:val="clear" w:color="auto" w:fill="003087" w:themeFill="accent1"/>
          </w:tcPr>
          <w:p w14:paraId="7A4153F7" w14:textId="3D5544A7" w:rsidR="00F95DC7" w:rsidRDefault="00241631" w:rsidP="00497BF9">
            <w:pPr>
              <w:spacing w:before="0" w:after="0"/>
              <w:ind w:left="0"/>
              <w:rPr>
                <w:color w:val="FFFFFF" w:themeColor="background1"/>
              </w:rPr>
            </w:pPr>
            <w:r>
              <w:rPr>
                <w:color w:val="FFFFFF" w:themeColor="background1"/>
              </w:rPr>
              <w:t>Target Audience</w:t>
            </w:r>
          </w:p>
        </w:tc>
        <w:tc>
          <w:tcPr>
            <w:tcW w:w="4508" w:type="dxa"/>
          </w:tcPr>
          <w:p w14:paraId="4F8DF64C" w14:textId="77777777" w:rsidR="00197744" w:rsidRPr="00190D44" w:rsidRDefault="00197744" w:rsidP="00497BF9">
            <w:pPr>
              <w:pStyle w:val="ListParagraph"/>
              <w:numPr>
                <w:ilvl w:val="0"/>
                <w:numId w:val="32"/>
              </w:numPr>
              <w:spacing w:before="0" w:after="0"/>
              <w:ind w:left="0"/>
            </w:pPr>
            <w:bookmarkStart w:id="2" w:name="_Hlk95224276"/>
            <w:r w:rsidRPr="00190D44">
              <w:t>MSE ICB staff (including temporary/ bank/agency staff)</w:t>
            </w:r>
          </w:p>
          <w:p w14:paraId="142E9708" w14:textId="77777777" w:rsidR="00197744" w:rsidRPr="00190D44" w:rsidRDefault="00197744" w:rsidP="00497BF9">
            <w:pPr>
              <w:pStyle w:val="ListParagraph"/>
              <w:numPr>
                <w:ilvl w:val="0"/>
                <w:numId w:val="32"/>
              </w:numPr>
              <w:spacing w:before="0" w:after="0"/>
              <w:ind w:left="0"/>
            </w:pPr>
            <w:r w:rsidRPr="00190D44">
              <w:t xml:space="preserve">Contractors engaged by the MSE ICB </w:t>
            </w:r>
          </w:p>
          <w:p w14:paraId="373F1F78" w14:textId="5A64C414" w:rsidR="00F95DC7" w:rsidRDefault="00197744" w:rsidP="00497BF9">
            <w:pPr>
              <w:spacing w:before="0" w:after="0"/>
              <w:ind w:left="0"/>
            </w:pPr>
            <w:r w:rsidRPr="00190D44">
              <w:t>Staff from other MSE ICS Partnership organisations working on behalf of the ICB</w:t>
            </w:r>
            <w:bookmarkEnd w:id="2"/>
          </w:p>
        </w:tc>
      </w:tr>
      <w:tr w:rsidR="00F95DC7" w14:paraId="277117D8" w14:textId="77777777" w:rsidTr="009C2BC5">
        <w:tc>
          <w:tcPr>
            <w:tcW w:w="4508" w:type="dxa"/>
            <w:shd w:val="clear" w:color="auto" w:fill="003087" w:themeFill="accent1"/>
          </w:tcPr>
          <w:p w14:paraId="73046DC4" w14:textId="30D53234" w:rsidR="00F95DC7" w:rsidRDefault="00F90F4A" w:rsidP="00497BF9">
            <w:pPr>
              <w:spacing w:before="0" w:after="0"/>
              <w:ind w:left="0"/>
              <w:rPr>
                <w:color w:val="FFFFFF" w:themeColor="background1"/>
              </w:rPr>
            </w:pPr>
            <w:r>
              <w:rPr>
                <w:color w:val="FFFFFF" w:themeColor="background1"/>
              </w:rPr>
              <w:t xml:space="preserve">Stakeholders Engaged in </w:t>
            </w:r>
            <w:r w:rsidR="008D2F7C">
              <w:rPr>
                <w:color w:val="FFFFFF" w:themeColor="background1"/>
              </w:rPr>
              <w:t>Development of Policy</w:t>
            </w:r>
            <w:r w:rsidR="00C93A6F">
              <w:rPr>
                <w:color w:val="FFFFFF" w:themeColor="background1"/>
              </w:rPr>
              <w:t xml:space="preserve"> (internal and external)</w:t>
            </w:r>
          </w:p>
        </w:tc>
        <w:tc>
          <w:tcPr>
            <w:tcW w:w="4508" w:type="dxa"/>
          </w:tcPr>
          <w:p w14:paraId="3A631459" w14:textId="143DE7CB" w:rsidR="00624F37" w:rsidRDefault="00A63C4C" w:rsidP="00624F37">
            <w:pPr>
              <w:spacing w:before="0" w:after="0"/>
              <w:ind w:left="0"/>
            </w:pPr>
            <w:r w:rsidRPr="00F92936">
              <w:t>Director of Finance – Primary Care, Financial Services &amp; Infrastructure</w:t>
            </w:r>
            <w:r>
              <w:t>,</w:t>
            </w:r>
            <w:r w:rsidRPr="00F92936">
              <w:t xml:space="preserve"> </w:t>
            </w:r>
            <w:r w:rsidR="00624F37" w:rsidRPr="00F92936">
              <w:t>Deputy Director of Finance Primary Care &amp; Financial Services</w:t>
            </w:r>
            <w:r w:rsidR="00624F37">
              <w:t>,</w:t>
            </w:r>
          </w:p>
          <w:p w14:paraId="06105CCC" w14:textId="34516FB3" w:rsidR="00624F37" w:rsidRDefault="00624F37" w:rsidP="00624F37">
            <w:pPr>
              <w:spacing w:before="0" w:after="0"/>
              <w:ind w:left="0"/>
            </w:pPr>
            <w:r>
              <w:t xml:space="preserve">Head of </w:t>
            </w:r>
            <w:r w:rsidR="00C27449">
              <w:t>Financial Services</w:t>
            </w:r>
            <w:r>
              <w:t>,</w:t>
            </w:r>
          </w:p>
          <w:p w14:paraId="3CC4B602" w14:textId="77777777" w:rsidR="00624F37" w:rsidRDefault="00624F37" w:rsidP="00624F37">
            <w:pPr>
              <w:spacing w:before="0" w:after="0"/>
              <w:ind w:left="0"/>
            </w:pPr>
            <w:r>
              <w:t>Senior Financial Accountant,</w:t>
            </w:r>
          </w:p>
          <w:p w14:paraId="53C5FD24" w14:textId="4598A3D7" w:rsidR="00A63C4C" w:rsidRDefault="00A63C4C" w:rsidP="00624F37">
            <w:pPr>
              <w:spacing w:before="0" w:after="0"/>
              <w:ind w:left="0"/>
            </w:pPr>
            <w:r>
              <w:t>ICB Audit Committee</w:t>
            </w:r>
          </w:p>
          <w:p w14:paraId="0BF3EA53" w14:textId="01465CF5" w:rsidR="00624F37" w:rsidRDefault="00624F37" w:rsidP="00624F37">
            <w:pPr>
              <w:spacing w:before="0" w:after="0"/>
              <w:ind w:left="0"/>
            </w:pPr>
          </w:p>
        </w:tc>
      </w:tr>
      <w:tr w:rsidR="00F95DC7" w14:paraId="63ABF045" w14:textId="77777777" w:rsidTr="009C2BC5">
        <w:tc>
          <w:tcPr>
            <w:tcW w:w="4508" w:type="dxa"/>
            <w:shd w:val="clear" w:color="auto" w:fill="003087" w:themeFill="accent1"/>
          </w:tcPr>
          <w:p w14:paraId="31A21A70" w14:textId="31FD7092" w:rsidR="00F95DC7" w:rsidRDefault="00100EDD" w:rsidP="00497BF9">
            <w:pPr>
              <w:spacing w:before="0" w:after="0"/>
              <w:ind w:left="0"/>
              <w:rPr>
                <w:color w:val="FFFFFF" w:themeColor="background1"/>
              </w:rPr>
            </w:pPr>
            <w:r>
              <w:rPr>
                <w:color w:val="FFFFFF" w:themeColor="background1"/>
              </w:rPr>
              <w:t>Impact Assessments Undertaken</w:t>
            </w:r>
          </w:p>
        </w:tc>
        <w:tc>
          <w:tcPr>
            <w:tcW w:w="4508" w:type="dxa"/>
          </w:tcPr>
          <w:p w14:paraId="32DD023F" w14:textId="1E4167FE" w:rsidR="00F95DC7" w:rsidRDefault="007A0E4E" w:rsidP="00497BF9">
            <w:pPr>
              <w:spacing w:before="0" w:after="0"/>
              <w:ind w:left="0"/>
            </w:pPr>
            <w:r>
              <w:t xml:space="preserve">Equality &amp; Health Inequalities </w:t>
            </w:r>
            <w:r w:rsidR="0076002E">
              <w:t>Impact Assessment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5"/>
        <w:gridCol w:w="1073"/>
        <w:gridCol w:w="3009"/>
        <w:gridCol w:w="3839"/>
      </w:tblGrid>
      <w:tr w:rsidR="00FD2B5D" w:rsidRPr="00497BF9" w14:paraId="4CEEE9FB" w14:textId="77777777" w:rsidTr="00497BF9">
        <w:trPr>
          <w:trHeight w:val="489"/>
          <w:tblHeader/>
        </w:trPr>
        <w:tc>
          <w:tcPr>
            <w:tcW w:w="1095" w:type="dxa"/>
            <w:shd w:val="clear" w:color="auto" w:fill="003087" w:themeFill="accent1"/>
            <w:vAlign w:val="center"/>
          </w:tcPr>
          <w:p w14:paraId="3104FAF0" w14:textId="77777777" w:rsidR="00FD2B5D" w:rsidRPr="00497BF9" w:rsidRDefault="00FD2B5D" w:rsidP="00546A28">
            <w:pPr>
              <w:pStyle w:val="NoSpacing"/>
              <w:rPr>
                <w:b/>
                <w:bCs/>
                <w:color w:val="FFFFFF" w:themeColor="background1"/>
              </w:rPr>
            </w:pPr>
            <w:r w:rsidRPr="00497BF9">
              <w:rPr>
                <w:b/>
                <w:bCs/>
                <w:color w:val="FFFFFF" w:themeColor="background1"/>
              </w:rPr>
              <w:t>Version</w:t>
            </w:r>
          </w:p>
        </w:tc>
        <w:tc>
          <w:tcPr>
            <w:tcW w:w="1073" w:type="dxa"/>
            <w:shd w:val="clear" w:color="auto" w:fill="003087" w:themeFill="accent1"/>
            <w:vAlign w:val="center"/>
          </w:tcPr>
          <w:p w14:paraId="271B93F8" w14:textId="77777777" w:rsidR="00FD2B5D" w:rsidRPr="00497BF9" w:rsidRDefault="00FD2B5D" w:rsidP="00546A28">
            <w:pPr>
              <w:pStyle w:val="NoSpacing"/>
              <w:rPr>
                <w:b/>
                <w:bCs/>
                <w:color w:val="FFFFFF" w:themeColor="background1"/>
              </w:rPr>
            </w:pPr>
            <w:r w:rsidRPr="00497BF9">
              <w:rPr>
                <w:b/>
                <w:bCs/>
                <w:color w:val="FFFFFF" w:themeColor="background1"/>
              </w:rPr>
              <w:t>Date</w:t>
            </w:r>
          </w:p>
        </w:tc>
        <w:tc>
          <w:tcPr>
            <w:tcW w:w="3009" w:type="dxa"/>
            <w:shd w:val="clear" w:color="auto" w:fill="003087" w:themeFill="accent1"/>
            <w:vAlign w:val="center"/>
          </w:tcPr>
          <w:p w14:paraId="68084F35" w14:textId="77777777" w:rsidR="00FD2B5D" w:rsidRPr="00497BF9" w:rsidRDefault="00FD2B5D" w:rsidP="00546A28">
            <w:pPr>
              <w:pStyle w:val="NoSpacing"/>
              <w:rPr>
                <w:b/>
                <w:bCs/>
                <w:color w:val="FFFFFF" w:themeColor="background1"/>
              </w:rPr>
            </w:pPr>
            <w:r w:rsidRPr="00497BF9">
              <w:rPr>
                <w:b/>
                <w:bCs/>
                <w:color w:val="FFFFFF" w:themeColor="background1"/>
              </w:rPr>
              <w:t>Author (Name and Title)</w:t>
            </w:r>
          </w:p>
        </w:tc>
        <w:tc>
          <w:tcPr>
            <w:tcW w:w="3839" w:type="dxa"/>
            <w:shd w:val="clear" w:color="auto" w:fill="003087" w:themeFill="accent1"/>
            <w:vAlign w:val="center"/>
          </w:tcPr>
          <w:p w14:paraId="21D39459" w14:textId="77777777" w:rsidR="00FD2B5D" w:rsidRPr="00497BF9" w:rsidRDefault="00FD2B5D" w:rsidP="00546A28">
            <w:pPr>
              <w:pStyle w:val="NoSpacing"/>
              <w:rPr>
                <w:b/>
                <w:bCs/>
                <w:color w:val="FFFFFF" w:themeColor="background1"/>
              </w:rPr>
            </w:pPr>
            <w:r w:rsidRPr="00497BF9">
              <w:rPr>
                <w:b/>
                <w:bCs/>
                <w:color w:val="FFFFFF" w:themeColor="background1"/>
              </w:rPr>
              <w:t>Summary of amendments made</w:t>
            </w:r>
          </w:p>
        </w:tc>
      </w:tr>
      <w:tr w:rsidR="00FD2B5D" w14:paraId="3D78C677" w14:textId="77777777" w:rsidTr="003D4A52">
        <w:trPr>
          <w:trHeight w:val="424"/>
        </w:trPr>
        <w:tc>
          <w:tcPr>
            <w:tcW w:w="1095" w:type="dxa"/>
            <w:vAlign w:val="center"/>
          </w:tcPr>
          <w:p w14:paraId="04931F40" w14:textId="676FBE89" w:rsidR="00FD2B5D" w:rsidRDefault="00C93877" w:rsidP="00546A28">
            <w:pPr>
              <w:pStyle w:val="NoSpacing"/>
            </w:pPr>
            <w:r>
              <w:t>0.1</w:t>
            </w:r>
          </w:p>
        </w:tc>
        <w:tc>
          <w:tcPr>
            <w:tcW w:w="1073" w:type="dxa"/>
            <w:vAlign w:val="center"/>
          </w:tcPr>
          <w:p w14:paraId="1B227E4B" w14:textId="40E39D65" w:rsidR="00FD2B5D" w:rsidRDefault="00DD43BE" w:rsidP="00546A28">
            <w:pPr>
              <w:pStyle w:val="NoSpacing"/>
            </w:pPr>
            <w:r>
              <w:t>26</w:t>
            </w:r>
            <w:r w:rsidR="000D2EF4">
              <w:t>.04.22</w:t>
            </w:r>
          </w:p>
        </w:tc>
        <w:tc>
          <w:tcPr>
            <w:tcW w:w="3009" w:type="dxa"/>
            <w:vAlign w:val="center"/>
          </w:tcPr>
          <w:p w14:paraId="1553C4E3" w14:textId="548730AC" w:rsidR="00FD2B5D" w:rsidRDefault="00646D90" w:rsidP="00546A28">
            <w:pPr>
              <w:pStyle w:val="NoSpacing"/>
            </w:pPr>
            <w:r>
              <w:t>Ruth Blake, Interim Manager – ICB Transition</w:t>
            </w:r>
          </w:p>
        </w:tc>
        <w:tc>
          <w:tcPr>
            <w:tcW w:w="3839" w:type="dxa"/>
            <w:vAlign w:val="center"/>
          </w:tcPr>
          <w:p w14:paraId="49B4F070" w14:textId="41CA6B4E" w:rsidR="00FD2B5D" w:rsidRDefault="00243626" w:rsidP="00546A28">
            <w:pPr>
              <w:pStyle w:val="NoSpacing"/>
            </w:pPr>
            <w:r>
              <w:t>Draft ICB Policy</w:t>
            </w:r>
          </w:p>
        </w:tc>
      </w:tr>
      <w:tr w:rsidR="003D4A52" w14:paraId="5743EC0C" w14:textId="77777777" w:rsidTr="003D4A52">
        <w:trPr>
          <w:trHeight w:val="402"/>
        </w:trPr>
        <w:tc>
          <w:tcPr>
            <w:tcW w:w="1095" w:type="dxa"/>
            <w:vAlign w:val="center"/>
          </w:tcPr>
          <w:p w14:paraId="5D628B89" w14:textId="1FADD2D4" w:rsidR="003D4A52" w:rsidRDefault="003D4A52" w:rsidP="003D4A52">
            <w:pPr>
              <w:pStyle w:val="NoSpacing"/>
            </w:pPr>
            <w:r>
              <w:t>0.2</w:t>
            </w:r>
          </w:p>
        </w:tc>
        <w:tc>
          <w:tcPr>
            <w:tcW w:w="1073" w:type="dxa"/>
            <w:vAlign w:val="center"/>
          </w:tcPr>
          <w:p w14:paraId="288FEB7A" w14:textId="6CE49515" w:rsidR="003D4A52" w:rsidRDefault="00591977" w:rsidP="003D4A52">
            <w:pPr>
              <w:pStyle w:val="NoSpacing"/>
            </w:pPr>
            <w:r>
              <w:t>10</w:t>
            </w:r>
            <w:r w:rsidR="003D4A52">
              <w:t>.05.22</w:t>
            </w:r>
          </w:p>
        </w:tc>
        <w:tc>
          <w:tcPr>
            <w:tcW w:w="3009" w:type="dxa"/>
            <w:vAlign w:val="center"/>
          </w:tcPr>
          <w:p w14:paraId="34495F98" w14:textId="5B7B81F0" w:rsidR="003D4A52" w:rsidRDefault="003D4A52" w:rsidP="003D4A52">
            <w:pPr>
              <w:pStyle w:val="NoSpacing"/>
            </w:pPr>
            <w:r>
              <w:t>Ruth Blake, Interim Manager – ICB Transition</w:t>
            </w:r>
          </w:p>
        </w:tc>
        <w:tc>
          <w:tcPr>
            <w:tcW w:w="3839" w:type="dxa"/>
            <w:vAlign w:val="center"/>
          </w:tcPr>
          <w:p w14:paraId="7DE50D80" w14:textId="043DFDB6" w:rsidR="003D4A52" w:rsidRDefault="003D4A52" w:rsidP="003D4A52">
            <w:pPr>
              <w:pStyle w:val="NoSpacing"/>
            </w:pPr>
            <w:r>
              <w:t xml:space="preserve">RB updates to Policy following discussion with transition group and further completion of definitions, </w:t>
            </w:r>
            <w:proofErr w:type="gramStart"/>
            <w:r>
              <w:t>compliance</w:t>
            </w:r>
            <w:proofErr w:type="gramEnd"/>
            <w:r>
              <w:t xml:space="preserve"> and reference sections</w:t>
            </w:r>
            <w:r w:rsidR="008E462E">
              <w:t>. Incorporates comments from initial review by Colin Larby, Internal Audit</w:t>
            </w:r>
          </w:p>
        </w:tc>
      </w:tr>
      <w:tr w:rsidR="003D4A52" w14:paraId="2385A697" w14:textId="77777777" w:rsidTr="003D4A52">
        <w:trPr>
          <w:trHeight w:val="423"/>
        </w:trPr>
        <w:tc>
          <w:tcPr>
            <w:tcW w:w="1095" w:type="dxa"/>
            <w:vAlign w:val="center"/>
          </w:tcPr>
          <w:p w14:paraId="63C36EA2" w14:textId="6F195826" w:rsidR="003D4A52" w:rsidRDefault="008D15E9" w:rsidP="003D4A52">
            <w:pPr>
              <w:pStyle w:val="NoSpacing"/>
            </w:pPr>
            <w:r>
              <w:t>0.3</w:t>
            </w:r>
          </w:p>
        </w:tc>
        <w:tc>
          <w:tcPr>
            <w:tcW w:w="1073" w:type="dxa"/>
            <w:vAlign w:val="center"/>
          </w:tcPr>
          <w:p w14:paraId="5B783ABB" w14:textId="3C7A74F9" w:rsidR="003D4A52" w:rsidRDefault="008D15E9" w:rsidP="003D4A52">
            <w:pPr>
              <w:pStyle w:val="NoSpacing"/>
            </w:pPr>
            <w:r>
              <w:t>18.05.22</w:t>
            </w:r>
          </w:p>
        </w:tc>
        <w:tc>
          <w:tcPr>
            <w:tcW w:w="3009" w:type="dxa"/>
            <w:vAlign w:val="center"/>
          </w:tcPr>
          <w:p w14:paraId="2E71F7C5" w14:textId="3084B4DB" w:rsidR="003D4A52" w:rsidRDefault="008D15E9" w:rsidP="003D4A52">
            <w:pPr>
              <w:pStyle w:val="NoSpacing"/>
            </w:pPr>
            <w:r>
              <w:t>Ruth Blake, Interim Manager – ICB Transition</w:t>
            </w:r>
          </w:p>
        </w:tc>
        <w:tc>
          <w:tcPr>
            <w:tcW w:w="3839" w:type="dxa"/>
            <w:vAlign w:val="center"/>
          </w:tcPr>
          <w:p w14:paraId="653B0041" w14:textId="7BDEF48D" w:rsidR="003D4A52" w:rsidRDefault="00E5096E" w:rsidP="003D4A52">
            <w:pPr>
              <w:pStyle w:val="NoSpacing"/>
            </w:pPr>
            <w:r>
              <w:t xml:space="preserve">RB updates to Policy following input from various finance team members </w:t>
            </w:r>
            <w:r>
              <w:lastRenderedPageBreak/>
              <w:t>and remove track changes for Audit Committee review</w:t>
            </w:r>
          </w:p>
        </w:tc>
      </w:tr>
      <w:tr w:rsidR="003D4A52" w14:paraId="60CB267F" w14:textId="77777777" w:rsidTr="003D4A52">
        <w:trPr>
          <w:trHeight w:val="423"/>
        </w:trPr>
        <w:tc>
          <w:tcPr>
            <w:tcW w:w="1095" w:type="dxa"/>
            <w:vAlign w:val="center"/>
          </w:tcPr>
          <w:p w14:paraId="5954B4B0" w14:textId="675AF023" w:rsidR="003D4A52" w:rsidRDefault="004105AF" w:rsidP="003D4A52">
            <w:pPr>
              <w:pStyle w:val="NoSpacing"/>
            </w:pPr>
            <w:r>
              <w:lastRenderedPageBreak/>
              <w:t>0.4</w:t>
            </w:r>
          </w:p>
        </w:tc>
        <w:tc>
          <w:tcPr>
            <w:tcW w:w="1073" w:type="dxa"/>
            <w:vAlign w:val="center"/>
          </w:tcPr>
          <w:p w14:paraId="21A4A8DE" w14:textId="1F688D87" w:rsidR="003D4A52" w:rsidRDefault="004105AF" w:rsidP="003D4A52">
            <w:pPr>
              <w:pStyle w:val="NoSpacing"/>
            </w:pPr>
            <w:r>
              <w:t>17.06.22</w:t>
            </w:r>
          </w:p>
        </w:tc>
        <w:tc>
          <w:tcPr>
            <w:tcW w:w="3009" w:type="dxa"/>
            <w:vAlign w:val="center"/>
          </w:tcPr>
          <w:p w14:paraId="44EF19D3" w14:textId="5BA106C9" w:rsidR="003D4A52" w:rsidRDefault="004105AF" w:rsidP="003D4A52">
            <w:pPr>
              <w:pStyle w:val="NoSpacing"/>
            </w:pPr>
            <w:r>
              <w:t xml:space="preserve">Ashley King, Finance Director – Primary Care &amp; Strategic </w:t>
            </w:r>
            <w:proofErr w:type="spellStart"/>
            <w:r>
              <w:t>Programmes</w:t>
            </w:r>
            <w:proofErr w:type="spellEnd"/>
          </w:p>
        </w:tc>
        <w:tc>
          <w:tcPr>
            <w:tcW w:w="3839" w:type="dxa"/>
            <w:vAlign w:val="center"/>
          </w:tcPr>
          <w:p w14:paraId="23BE90F1" w14:textId="56A067A8" w:rsidR="003D4A52" w:rsidRDefault="004105AF" w:rsidP="003D4A52">
            <w:pPr>
              <w:pStyle w:val="NoSpacing"/>
            </w:pPr>
            <w:r>
              <w:t>Single change to format of contents table post audit committee comment</w:t>
            </w:r>
          </w:p>
        </w:tc>
      </w:tr>
      <w:tr w:rsidR="00837E7E" w14:paraId="6122946F" w14:textId="77777777" w:rsidTr="003D4A52">
        <w:trPr>
          <w:trHeight w:val="423"/>
        </w:trPr>
        <w:tc>
          <w:tcPr>
            <w:tcW w:w="1095" w:type="dxa"/>
            <w:vAlign w:val="center"/>
          </w:tcPr>
          <w:p w14:paraId="6C90B1C6" w14:textId="3EEFEC87" w:rsidR="00837E7E" w:rsidRDefault="00837E7E" w:rsidP="00837E7E">
            <w:pPr>
              <w:pStyle w:val="NoSpacing"/>
            </w:pPr>
            <w:r>
              <w:t>1.0</w:t>
            </w:r>
          </w:p>
        </w:tc>
        <w:tc>
          <w:tcPr>
            <w:tcW w:w="1073" w:type="dxa"/>
            <w:vAlign w:val="center"/>
          </w:tcPr>
          <w:p w14:paraId="0600D864" w14:textId="1551D9CD" w:rsidR="00837E7E" w:rsidRDefault="00837E7E" w:rsidP="00837E7E">
            <w:pPr>
              <w:pStyle w:val="NoSpacing"/>
            </w:pPr>
            <w:r>
              <w:t>06.07.22</w:t>
            </w:r>
          </w:p>
        </w:tc>
        <w:tc>
          <w:tcPr>
            <w:tcW w:w="3009" w:type="dxa"/>
            <w:vAlign w:val="center"/>
          </w:tcPr>
          <w:p w14:paraId="697A37B0" w14:textId="001D5063" w:rsidR="00837E7E" w:rsidRDefault="00837E7E" w:rsidP="00837E7E">
            <w:pPr>
              <w:pStyle w:val="NoSpacing"/>
            </w:pPr>
            <w:r>
              <w:t xml:space="preserve">David </w:t>
            </w:r>
            <w:proofErr w:type="spellStart"/>
            <w:r>
              <w:t>Triggs</w:t>
            </w:r>
            <w:proofErr w:type="spellEnd"/>
            <w:r>
              <w:t>, Governance Lead</w:t>
            </w:r>
          </w:p>
        </w:tc>
        <w:tc>
          <w:tcPr>
            <w:tcW w:w="3839" w:type="dxa"/>
            <w:vAlign w:val="center"/>
          </w:tcPr>
          <w:p w14:paraId="10B74018" w14:textId="7FA1A14E" w:rsidR="00837E7E" w:rsidRDefault="00837E7E" w:rsidP="00837E7E">
            <w:pPr>
              <w:pStyle w:val="NoSpacing"/>
            </w:pPr>
            <w:r>
              <w:t>Final checks</w:t>
            </w:r>
          </w:p>
        </w:tc>
      </w:tr>
      <w:tr w:rsidR="00624F37" w14:paraId="41393701" w14:textId="77777777" w:rsidTr="003D4A52">
        <w:trPr>
          <w:trHeight w:val="423"/>
        </w:trPr>
        <w:tc>
          <w:tcPr>
            <w:tcW w:w="1095" w:type="dxa"/>
            <w:vAlign w:val="center"/>
          </w:tcPr>
          <w:p w14:paraId="06A55D9D" w14:textId="784C1983" w:rsidR="00624F37" w:rsidRDefault="00624F37" w:rsidP="00624F37">
            <w:pPr>
              <w:pStyle w:val="NoSpacing"/>
            </w:pPr>
            <w:r>
              <w:t>1.1</w:t>
            </w:r>
          </w:p>
        </w:tc>
        <w:tc>
          <w:tcPr>
            <w:tcW w:w="1073" w:type="dxa"/>
            <w:vAlign w:val="center"/>
          </w:tcPr>
          <w:p w14:paraId="11050A1C" w14:textId="048A4672" w:rsidR="00624F37" w:rsidRDefault="00624F37" w:rsidP="00624F37">
            <w:pPr>
              <w:pStyle w:val="NoSpacing"/>
            </w:pPr>
            <w:r>
              <w:t>03.07.24</w:t>
            </w:r>
          </w:p>
        </w:tc>
        <w:tc>
          <w:tcPr>
            <w:tcW w:w="3009" w:type="dxa"/>
            <w:vAlign w:val="center"/>
          </w:tcPr>
          <w:p w14:paraId="09617EE2" w14:textId="5345A9CA" w:rsidR="00624F37" w:rsidRDefault="00624F37" w:rsidP="00624F37">
            <w:pPr>
              <w:pStyle w:val="NoSpacing"/>
            </w:pPr>
            <w:r>
              <w:t>Natalie Brodie</w:t>
            </w:r>
            <w:r w:rsidR="00A63C4C">
              <w:t xml:space="preserve">, </w:t>
            </w:r>
            <w:r w:rsidR="00A63C4C" w:rsidRPr="00F92936">
              <w:t>Director of Finance Primary Care &amp; Financial Services</w:t>
            </w:r>
          </w:p>
        </w:tc>
        <w:tc>
          <w:tcPr>
            <w:tcW w:w="3839" w:type="dxa"/>
            <w:vAlign w:val="center"/>
          </w:tcPr>
          <w:p w14:paraId="7C4D6C1B" w14:textId="0535371E" w:rsidR="00624F37" w:rsidRDefault="00624F37" w:rsidP="00624F37">
            <w:pPr>
              <w:pStyle w:val="NoSpacing"/>
            </w:pPr>
            <w:r>
              <w:t>Review and update policy</w:t>
            </w:r>
          </w:p>
        </w:tc>
      </w:tr>
      <w:tr w:rsidR="00624F37" w14:paraId="52A28005" w14:textId="77777777" w:rsidTr="003D4A52">
        <w:trPr>
          <w:trHeight w:val="423"/>
        </w:trPr>
        <w:tc>
          <w:tcPr>
            <w:tcW w:w="1095" w:type="dxa"/>
            <w:vAlign w:val="center"/>
          </w:tcPr>
          <w:p w14:paraId="4AFFEA1E" w14:textId="2E794E30" w:rsidR="00624F37" w:rsidRDefault="00624F37" w:rsidP="00624F37">
            <w:pPr>
              <w:pStyle w:val="NoSpacing"/>
            </w:pPr>
            <w:r>
              <w:t>1.2</w:t>
            </w:r>
          </w:p>
        </w:tc>
        <w:tc>
          <w:tcPr>
            <w:tcW w:w="1073" w:type="dxa"/>
            <w:vAlign w:val="center"/>
          </w:tcPr>
          <w:p w14:paraId="56C5690C" w14:textId="18B5E3A4" w:rsidR="00624F37" w:rsidRDefault="00707045" w:rsidP="00624F37">
            <w:pPr>
              <w:pStyle w:val="NoSpacing"/>
            </w:pPr>
            <w:r>
              <w:t>09/07/24</w:t>
            </w:r>
          </w:p>
        </w:tc>
        <w:tc>
          <w:tcPr>
            <w:tcW w:w="3009" w:type="dxa"/>
            <w:vAlign w:val="center"/>
          </w:tcPr>
          <w:p w14:paraId="6E5BDDA1" w14:textId="2C60405E" w:rsidR="00624F37" w:rsidRDefault="00707045" w:rsidP="00624F37">
            <w:pPr>
              <w:pStyle w:val="NoSpacing"/>
            </w:pPr>
            <w:r>
              <w:t>Sara O’Connor, Senior Manager Corporate Services</w:t>
            </w:r>
          </w:p>
        </w:tc>
        <w:tc>
          <w:tcPr>
            <w:tcW w:w="3839" w:type="dxa"/>
            <w:vAlign w:val="center"/>
          </w:tcPr>
          <w:p w14:paraId="55525562" w14:textId="006D4B6D" w:rsidR="00624F37" w:rsidRDefault="00707045" w:rsidP="00624F37">
            <w:pPr>
              <w:pStyle w:val="NoSpacing"/>
            </w:pPr>
            <w:r>
              <w:t>Amended Director of Resources to Executive Chief Finance Officer.</w:t>
            </w:r>
          </w:p>
        </w:tc>
      </w:tr>
      <w:tr w:rsidR="0004106D" w14:paraId="592F0D79" w14:textId="77777777" w:rsidTr="003D4A52">
        <w:trPr>
          <w:trHeight w:val="423"/>
        </w:trPr>
        <w:tc>
          <w:tcPr>
            <w:tcW w:w="1095" w:type="dxa"/>
            <w:vAlign w:val="center"/>
          </w:tcPr>
          <w:p w14:paraId="2864EC74" w14:textId="51B0FD3A" w:rsidR="0004106D" w:rsidRDefault="0004106D" w:rsidP="00624F37">
            <w:pPr>
              <w:pStyle w:val="NoSpacing"/>
            </w:pPr>
            <w:r>
              <w:t xml:space="preserve">2.0 </w:t>
            </w:r>
          </w:p>
        </w:tc>
        <w:tc>
          <w:tcPr>
            <w:tcW w:w="1073" w:type="dxa"/>
            <w:vAlign w:val="center"/>
          </w:tcPr>
          <w:p w14:paraId="42CFE6F9" w14:textId="009A544C" w:rsidR="0004106D" w:rsidRDefault="0004106D" w:rsidP="00624F37">
            <w:pPr>
              <w:pStyle w:val="NoSpacing"/>
            </w:pPr>
            <w:r>
              <w:t>23/07/24</w:t>
            </w:r>
          </w:p>
        </w:tc>
        <w:tc>
          <w:tcPr>
            <w:tcW w:w="3009" w:type="dxa"/>
            <w:vAlign w:val="center"/>
          </w:tcPr>
          <w:p w14:paraId="3CDCA737" w14:textId="50EECA0F" w:rsidR="0004106D" w:rsidRDefault="0004106D" w:rsidP="00624F37">
            <w:pPr>
              <w:pStyle w:val="NoSpacing"/>
            </w:pPr>
            <w:r>
              <w:t xml:space="preserve">Helen </w:t>
            </w:r>
            <w:proofErr w:type="spellStart"/>
            <w:r>
              <w:t>Chasney,</w:t>
            </w:r>
            <w:proofErr w:type="spellEnd"/>
            <w:r>
              <w:t xml:space="preserve"> Corporate Services &amp; </w:t>
            </w:r>
            <w:r w:rsidR="0012603A">
              <w:t>Governance Support Officer</w:t>
            </w:r>
          </w:p>
        </w:tc>
        <w:tc>
          <w:tcPr>
            <w:tcW w:w="3839" w:type="dxa"/>
            <w:vAlign w:val="center"/>
          </w:tcPr>
          <w:p w14:paraId="7807AAC4" w14:textId="18AFAE68" w:rsidR="0004106D" w:rsidRDefault="0012603A" w:rsidP="00624F37">
            <w:pPr>
              <w:pStyle w:val="NoSpacing"/>
            </w:pPr>
            <w:r>
              <w:t>Approved final version – Audit Committee, 23 July 2024</w:t>
            </w:r>
            <w:r w:rsidR="003D4285">
              <w:t>.</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45408809" w14:textId="19F7E01C" w:rsidR="00497BF9"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196202" w:history="1">
        <w:r w:rsidR="00497BF9" w:rsidRPr="004206F4">
          <w:rPr>
            <w:rStyle w:val="Hyperlink"/>
            <w:noProof/>
          </w:rPr>
          <w:t>1.</w:t>
        </w:r>
        <w:r w:rsidR="00497BF9">
          <w:rPr>
            <w:rFonts w:eastAsiaTheme="minorEastAsia"/>
            <w:b w:val="0"/>
            <w:noProof/>
            <w:color w:val="auto"/>
            <w:sz w:val="22"/>
            <w:szCs w:val="22"/>
            <w:lang w:eastAsia="en-GB"/>
          </w:rPr>
          <w:tab/>
        </w:r>
        <w:r w:rsidR="00497BF9" w:rsidRPr="004206F4">
          <w:rPr>
            <w:rStyle w:val="Hyperlink"/>
            <w:noProof/>
          </w:rPr>
          <w:t>Introduction</w:t>
        </w:r>
        <w:r w:rsidR="00497BF9">
          <w:rPr>
            <w:noProof/>
            <w:webHidden/>
          </w:rPr>
          <w:tab/>
        </w:r>
        <w:r w:rsidR="00497BF9">
          <w:rPr>
            <w:noProof/>
            <w:webHidden/>
          </w:rPr>
          <w:fldChar w:fldCharType="begin"/>
        </w:r>
        <w:r w:rsidR="00497BF9">
          <w:rPr>
            <w:noProof/>
            <w:webHidden/>
          </w:rPr>
          <w:instrText xml:space="preserve"> PAGEREF _Toc111196202 \h </w:instrText>
        </w:r>
        <w:r w:rsidR="00497BF9">
          <w:rPr>
            <w:noProof/>
            <w:webHidden/>
          </w:rPr>
        </w:r>
        <w:r w:rsidR="00497BF9">
          <w:rPr>
            <w:noProof/>
            <w:webHidden/>
          </w:rPr>
          <w:fldChar w:fldCharType="separate"/>
        </w:r>
        <w:r w:rsidR="00497BF9">
          <w:rPr>
            <w:noProof/>
            <w:webHidden/>
          </w:rPr>
          <w:t>4</w:t>
        </w:r>
        <w:r w:rsidR="00497BF9">
          <w:rPr>
            <w:noProof/>
            <w:webHidden/>
          </w:rPr>
          <w:fldChar w:fldCharType="end"/>
        </w:r>
      </w:hyperlink>
    </w:p>
    <w:p w14:paraId="57AF9783" w14:textId="735864E7" w:rsidR="00497BF9" w:rsidRDefault="0067527A">
      <w:pPr>
        <w:pStyle w:val="TOC1"/>
        <w:rPr>
          <w:rFonts w:eastAsiaTheme="minorEastAsia"/>
          <w:b w:val="0"/>
          <w:noProof/>
          <w:color w:val="auto"/>
          <w:sz w:val="22"/>
          <w:szCs w:val="22"/>
          <w:lang w:eastAsia="en-GB"/>
        </w:rPr>
      </w:pPr>
      <w:hyperlink w:anchor="_Toc111196203" w:history="1">
        <w:r w:rsidR="00497BF9" w:rsidRPr="004206F4">
          <w:rPr>
            <w:rStyle w:val="Hyperlink"/>
            <w:noProof/>
          </w:rPr>
          <w:t>2.</w:t>
        </w:r>
        <w:r w:rsidR="00497BF9">
          <w:rPr>
            <w:rFonts w:eastAsiaTheme="minorEastAsia"/>
            <w:b w:val="0"/>
            <w:noProof/>
            <w:color w:val="auto"/>
            <w:sz w:val="22"/>
            <w:szCs w:val="22"/>
            <w:lang w:eastAsia="en-GB"/>
          </w:rPr>
          <w:tab/>
        </w:r>
        <w:r w:rsidR="00497BF9" w:rsidRPr="004206F4">
          <w:rPr>
            <w:rStyle w:val="Hyperlink"/>
            <w:noProof/>
          </w:rPr>
          <w:t>Purpose / Policy Statement</w:t>
        </w:r>
        <w:r w:rsidR="00497BF9">
          <w:rPr>
            <w:noProof/>
            <w:webHidden/>
          </w:rPr>
          <w:tab/>
        </w:r>
        <w:r w:rsidR="00497BF9">
          <w:rPr>
            <w:noProof/>
            <w:webHidden/>
          </w:rPr>
          <w:fldChar w:fldCharType="begin"/>
        </w:r>
        <w:r w:rsidR="00497BF9">
          <w:rPr>
            <w:noProof/>
            <w:webHidden/>
          </w:rPr>
          <w:instrText xml:space="preserve"> PAGEREF _Toc111196203 \h </w:instrText>
        </w:r>
        <w:r w:rsidR="00497BF9">
          <w:rPr>
            <w:noProof/>
            <w:webHidden/>
          </w:rPr>
        </w:r>
        <w:r w:rsidR="00497BF9">
          <w:rPr>
            <w:noProof/>
            <w:webHidden/>
          </w:rPr>
          <w:fldChar w:fldCharType="separate"/>
        </w:r>
        <w:r w:rsidR="00497BF9">
          <w:rPr>
            <w:noProof/>
            <w:webHidden/>
          </w:rPr>
          <w:t>4</w:t>
        </w:r>
        <w:r w:rsidR="00497BF9">
          <w:rPr>
            <w:noProof/>
            <w:webHidden/>
          </w:rPr>
          <w:fldChar w:fldCharType="end"/>
        </w:r>
      </w:hyperlink>
    </w:p>
    <w:p w14:paraId="0654590E" w14:textId="4B9D401B" w:rsidR="00497BF9" w:rsidRDefault="0067527A">
      <w:pPr>
        <w:pStyle w:val="TOC1"/>
        <w:rPr>
          <w:rFonts w:eastAsiaTheme="minorEastAsia"/>
          <w:b w:val="0"/>
          <w:noProof/>
          <w:color w:val="auto"/>
          <w:sz w:val="22"/>
          <w:szCs w:val="22"/>
          <w:lang w:eastAsia="en-GB"/>
        </w:rPr>
      </w:pPr>
      <w:hyperlink w:anchor="_Toc111196204" w:history="1">
        <w:r w:rsidR="00497BF9" w:rsidRPr="004206F4">
          <w:rPr>
            <w:rStyle w:val="Hyperlink"/>
            <w:noProof/>
          </w:rPr>
          <w:t>3.</w:t>
        </w:r>
        <w:r w:rsidR="00497BF9">
          <w:rPr>
            <w:rFonts w:eastAsiaTheme="minorEastAsia"/>
            <w:b w:val="0"/>
            <w:noProof/>
            <w:color w:val="auto"/>
            <w:sz w:val="22"/>
            <w:szCs w:val="22"/>
            <w:lang w:eastAsia="en-GB"/>
          </w:rPr>
          <w:tab/>
        </w:r>
        <w:r w:rsidR="00497BF9" w:rsidRPr="004206F4">
          <w:rPr>
            <w:rStyle w:val="Hyperlink"/>
            <w:noProof/>
          </w:rPr>
          <w:t>Remit</w:t>
        </w:r>
        <w:r w:rsidR="00497BF9">
          <w:rPr>
            <w:noProof/>
            <w:webHidden/>
          </w:rPr>
          <w:tab/>
        </w:r>
        <w:r w:rsidR="00497BF9">
          <w:rPr>
            <w:noProof/>
            <w:webHidden/>
          </w:rPr>
          <w:fldChar w:fldCharType="begin"/>
        </w:r>
        <w:r w:rsidR="00497BF9">
          <w:rPr>
            <w:noProof/>
            <w:webHidden/>
          </w:rPr>
          <w:instrText xml:space="preserve"> PAGEREF _Toc111196204 \h </w:instrText>
        </w:r>
        <w:r w:rsidR="00497BF9">
          <w:rPr>
            <w:noProof/>
            <w:webHidden/>
          </w:rPr>
        </w:r>
        <w:r w:rsidR="00497BF9">
          <w:rPr>
            <w:noProof/>
            <w:webHidden/>
          </w:rPr>
          <w:fldChar w:fldCharType="separate"/>
        </w:r>
        <w:r w:rsidR="00497BF9">
          <w:rPr>
            <w:noProof/>
            <w:webHidden/>
          </w:rPr>
          <w:t>4</w:t>
        </w:r>
        <w:r w:rsidR="00497BF9">
          <w:rPr>
            <w:noProof/>
            <w:webHidden/>
          </w:rPr>
          <w:fldChar w:fldCharType="end"/>
        </w:r>
      </w:hyperlink>
    </w:p>
    <w:p w14:paraId="6CE9271B" w14:textId="5E60B016" w:rsidR="00497BF9" w:rsidRDefault="0067527A">
      <w:pPr>
        <w:pStyle w:val="TOC1"/>
        <w:rPr>
          <w:rFonts w:eastAsiaTheme="minorEastAsia"/>
          <w:b w:val="0"/>
          <w:noProof/>
          <w:color w:val="auto"/>
          <w:sz w:val="22"/>
          <w:szCs w:val="22"/>
          <w:lang w:eastAsia="en-GB"/>
        </w:rPr>
      </w:pPr>
      <w:hyperlink w:anchor="_Toc111196205" w:history="1">
        <w:r w:rsidR="00497BF9" w:rsidRPr="004206F4">
          <w:rPr>
            <w:rStyle w:val="Hyperlink"/>
            <w:noProof/>
          </w:rPr>
          <w:t>4.</w:t>
        </w:r>
        <w:r w:rsidR="00497BF9">
          <w:rPr>
            <w:rFonts w:eastAsiaTheme="minorEastAsia"/>
            <w:b w:val="0"/>
            <w:noProof/>
            <w:color w:val="auto"/>
            <w:sz w:val="22"/>
            <w:szCs w:val="22"/>
            <w:lang w:eastAsia="en-GB"/>
          </w:rPr>
          <w:tab/>
        </w:r>
        <w:r w:rsidR="00497BF9" w:rsidRPr="004206F4">
          <w:rPr>
            <w:rStyle w:val="Hyperlink"/>
            <w:noProof/>
          </w:rPr>
          <w:t>Definitions</w:t>
        </w:r>
        <w:r w:rsidR="00497BF9">
          <w:rPr>
            <w:noProof/>
            <w:webHidden/>
          </w:rPr>
          <w:tab/>
        </w:r>
        <w:r w:rsidR="00497BF9">
          <w:rPr>
            <w:noProof/>
            <w:webHidden/>
          </w:rPr>
          <w:fldChar w:fldCharType="begin"/>
        </w:r>
        <w:r w:rsidR="00497BF9">
          <w:rPr>
            <w:noProof/>
            <w:webHidden/>
          </w:rPr>
          <w:instrText xml:space="preserve"> PAGEREF _Toc111196205 \h </w:instrText>
        </w:r>
        <w:r w:rsidR="00497BF9">
          <w:rPr>
            <w:noProof/>
            <w:webHidden/>
          </w:rPr>
        </w:r>
        <w:r w:rsidR="00497BF9">
          <w:rPr>
            <w:noProof/>
            <w:webHidden/>
          </w:rPr>
          <w:fldChar w:fldCharType="separate"/>
        </w:r>
        <w:r w:rsidR="00497BF9">
          <w:rPr>
            <w:noProof/>
            <w:webHidden/>
          </w:rPr>
          <w:t>4</w:t>
        </w:r>
        <w:r w:rsidR="00497BF9">
          <w:rPr>
            <w:noProof/>
            <w:webHidden/>
          </w:rPr>
          <w:fldChar w:fldCharType="end"/>
        </w:r>
      </w:hyperlink>
    </w:p>
    <w:p w14:paraId="478E196A" w14:textId="19F74259" w:rsidR="00497BF9" w:rsidRDefault="0067527A">
      <w:pPr>
        <w:pStyle w:val="TOC1"/>
        <w:rPr>
          <w:rFonts w:eastAsiaTheme="minorEastAsia"/>
          <w:b w:val="0"/>
          <w:noProof/>
          <w:color w:val="auto"/>
          <w:sz w:val="22"/>
          <w:szCs w:val="22"/>
          <w:lang w:eastAsia="en-GB"/>
        </w:rPr>
      </w:pPr>
      <w:hyperlink w:anchor="_Toc111196206" w:history="1">
        <w:r w:rsidR="00497BF9" w:rsidRPr="004206F4">
          <w:rPr>
            <w:rStyle w:val="Hyperlink"/>
            <w:noProof/>
          </w:rPr>
          <w:t>5.</w:t>
        </w:r>
        <w:r w:rsidR="00497BF9">
          <w:rPr>
            <w:rFonts w:eastAsiaTheme="minorEastAsia"/>
            <w:b w:val="0"/>
            <w:noProof/>
            <w:color w:val="auto"/>
            <w:sz w:val="22"/>
            <w:szCs w:val="22"/>
            <w:lang w:eastAsia="en-GB"/>
          </w:rPr>
          <w:tab/>
        </w:r>
        <w:r w:rsidR="00497BF9" w:rsidRPr="004206F4">
          <w:rPr>
            <w:rStyle w:val="Hyperlink"/>
            <w:noProof/>
          </w:rPr>
          <w:t>Roles and Responsibilities</w:t>
        </w:r>
        <w:r w:rsidR="00497BF9">
          <w:rPr>
            <w:noProof/>
            <w:webHidden/>
          </w:rPr>
          <w:tab/>
        </w:r>
        <w:r w:rsidR="00497BF9">
          <w:rPr>
            <w:noProof/>
            <w:webHidden/>
          </w:rPr>
          <w:fldChar w:fldCharType="begin"/>
        </w:r>
        <w:r w:rsidR="00497BF9">
          <w:rPr>
            <w:noProof/>
            <w:webHidden/>
          </w:rPr>
          <w:instrText xml:space="preserve"> PAGEREF _Toc111196206 \h </w:instrText>
        </w:r>
        <w:r w:rsidR="00497BF9">
          <w:rPr>
            <w:noProof/>
            <w:webHidden/>
          </w:rPr>
        </w:r>
        <w:r w:rsidR="00497BF9">
          <w:rPr>
            <w:noProof/>
            <w:webHidden/>
          </w:rPr>
          <w:fldChar w:fldCharType="separate"/>
        </w:r>
        <w:r w:rsidR="00497BF9">
          <w:rPr>
            <w:noProof/>
            <w:webHidden/>
          </w:rPr>
          <w:t>5</w:t>
        </w:r>
        <w:r w:rsidR="00497BF9">
          <w:rPr>
            <w:noProof/>
            <w:webHidden/>
          </w:rPr>
          <w:fldChar w:fldCharType="end"/>
        </w:r>
      </w:hyperlink>
    </w:p>
    <w:p w14:paraId="3171D2D9" w14:textId="7AA0FF6A" w:rsidR="00497BF9" w:rsidRDefault="0067527A" w:rsidP="00220D4A">
      <w:pPr>
        <w:pStyle w:val="TOC2"/>
        <w:rPr>
          <w:rFonts w:eastAsiaTheme="minorEastAsia"/>
          <w:noProof/>
          <w:color w:val="auto"/>
          <w:sz w:val="22"/>
          <w:szCs w:val="22"/>
          <w:lang w:eastAsia="en-GB"/>
        </w:rPr>
      </w:pPr>
      <w:hyperlink w:anchor="_Toc111196207" w:history="1">
        <w:r w:rsidR="00497BF9" w:rsidRPr="004206F4">
          <w:rPr>
            <w:rStyle w:val="Hyperlink"/>
            <w:bCs/>
            <w:noProof/>
          </w:rPr>
          <w:t>5.1.</w:t>
        </w:r>
        <w:r w:rsidR="00497BF9">
          <w:rPr>
            <w:rFonts w:eastAsiaTheme="minorEastAsia"/>
            <w:noProof/>
            <w:color w:val="auto"/>
            <w:sz w:val="22"/>
            <w:szCs w:val="22"/>
            <w:lang w:eastAsia="en-GB"/>
          </w:rPr>
          <w:tab/>
        </w:r>
        <w:r w:rsidR="00497BF9" w:rsidRPr="004206F4">
          <w:rPr>
            <w:rStyle w:val="Hyperlink"/>
            <w:noProof/>
          </w:rPr>
          <w:t xml:space="preserve">Finance and </w:t>
        </w:r>
        <w:r w:rsidR="00DE74A3">
          <w:rPr>
            <w:rStyle w:val="Hyperlink"/>
            <w:noProof/>
          </w:rPr>
          <w:t>Performance</w:t>
        </w:r>
        <w:r w:rsidR="00497BF9" w:rsidRPr="004206F4">
          <w:rPr>
            <w:rStyle w:val="Hyperlink"/>
            <w:noProof/>
          </w:rPr>
          <w:t xml:space="preserve"> Committee</w:t>
        </w:r>
        <w:r w:rsidR="00497BF9">
          <w:rPr>
            <w:noProof/>
            <w:webHidden/>
          </w:rPr>
          <w:tab/>
        </w:r>
        <w:r w:rsidR="00497BF9">
          <w:rPr>
            <w:noProof/>
            <w:webHidden/>
          </w:rPr>
          <w:fldChar w:fldCharType="begin"/>
        </w:r>
        <w:r w:rsidR="00497BF9">
          <w:rPr>
            <w:noProof/>
            <w:webHidden/>
          </w:rPr>
          <w:instrText xml:space="preserve"> PAGEREF _Toc111196207 \h </w:instrText>
        </w:r>
        <w:r w:rsidR="00497BF9">
          <w:rPr>
            <w:noProof/>
            <w:webHidden/>
          </w:rPr>
        </w:r>
        <w:r w:rsidR="00497BF9">
          <w:rPr>
            <w:noProof/>
            <w:webHidden/>
          </w:rPr>
          <w:fldChar w:fldCharType="separate"/>
        </w:r>
        <w:r w:rsidR="00497BF9">
          <w:rPr>
            <w:noProof/>
            <w:webHidden/>
          </w:rPr>
          <w:t>5</w:t>
        </w:r>
        <w:r w:rsidR="00497BF9">
          <w:rPr>
            <w:noProof/>
            <w:webHidden/>
          </w:rPr>
          <w:fldChar w:fldCharType="end"/>
        </w:r>
      </w:hyperlink>
    </w:p>
    <w:p w14:paraId="76B2926A" w14:textId="55650C3B" w:rsidR="00497BF9" w:rsidRDefault="0067527A" w:rsidP="00220D4A">
      <w:pPr>
        <w:pStyle w:val="TOC2"/>
        <w:rPr>
          <w:rFonts w:eastAsiaTheme="minorEastAsia"/>
          <w:noProof/>
          <w:color w:val="auto"/>
          <w:sz w:val="22"/>
          <w:szCs w:val="22"/>
          <w:lang w:eastAsia="en-GB"/>
        </w:rPr>
      </w:pPr>
      <w:hyperlink w:anchor="_Toc111196208" w:history="1">
        <w:r w:rsidR="00497BF9" w:rsidRPr="004206F4">
          <w:rPr>
            <w:rStyle w:val="Hyperlink"/>
            <w:bCs/>
            <w:noProof/>
          </w:rPr>
          <w:t>5.2.</w:t>
        </w:r>
        <w:r w:rsidR="00497BF9">
          <w:rPr>
            <w:rFonts w:eastAsiaTheme="minorEastAsia"/>
            <w:noProof/>
            <w:color w:val="auto"/>
            <w:sz w:val="22"/>
            <w:szCs w:val="22"/>
            <w:lang w:eastAsia="en-GB"/>
          </w:rPr>
          <w:tab/>
        </w:r>
        <w:r w:rsidR="00497BF9" w:rsidRPr="004206F4">
          <w:rPr>
            <w:rStyle w:val="Hyperlink"/>
            <w:noProof/>
          </w:rPr>
          <w:t>Director of Resources</w:t>
        </w:r>
        <w:r w:rsidR="00497BF9">
          <w:rPr>
            <w:noProof/>
            <w:webHidden/>
          </w:rPr>
          <w:tab/>
        </w:r>
        <w:r w:rsidR="00497BF9">
          <w:rPr>
            <w:noProof/>
            <w:webHidden/>
          </w:rPr>
          <w:fldChar w:fldCharType="begin"/>
        </w:r>
        <w:r w:rsidR="00497BF9">
          <w:rPr>
            <w:noProof/>
            <w:webHidden/>
          </w:rPr>
          <w:instrText xml:space="preserve"> PAGEREF _Toc111196208 \h </w:instrText>
        </w:r>
        <w:r w:rsidR="00497BF9">
          <w:rPr>
            <w:noProof/>
            <w:webHidden/>
          </w:rPr>
        </w:r>
        <w:r w:rsidR="00497BF9">
          <w:rPr>
            <w:noProof/>
            <w:webHidden/>
          </w:rPr>
          <w:fldChar w:fldCharType="separate"/>
        </w:r>
        <w:r w:rsidR="00497BF9">
          <w:rPr>
            <w:noProof/>
            <w:webHidden/>
          </w:rPr>
          <w:t>6</w:t>
        </w:r>
        <w:r w:rsidR="00497BF9">
          <w:rPr>
            <w:noProof/>
            <w:webHidden/>
          </w:rPr>
          <w:fldChar w:fldCharType="end"/>
        </w:r>
      </w:hyperlink>
    </w:p>
    <w:p w14:paraId="3BA7E691" w14:textId="0B35C181" w:rsidR="00497BF9" w:rsidRDefault="0067527A" w:rsidP="00220D4A">
      <w:pPr>
        <w:pStyle w:val="TOC2"/>
        <w:rPr>
          <w:rFonts w:eastAsiaTheme="minorEastAsia"/>
          <w:noProof/>
          <w:color w:val="auto"/>
          <w:sz w:val="22"/>
          <w:szCs w:val="22"/>
          <w:lang w:eastAsia="en-GB"/>
        </w:rPr>
      </w:pPr>
      <w:hyperlink w:anchor="_Toc111196209" w:history="1">
        <w:r w:rsidR="00497BF9" w:rsidRPr="004206F4">
          <w:rPr>
            <w:rStyle w:val="Hyperlink"/>
            <w:bCs/>
            <w:noProof/>
          </w:rPr>
          <w:t>5.3.</w:t>
        </w:r>
        <w:r w:rsidR="00497BF9">
          <w:rPr>
            <w:rFonts w:eastAsiaTheme="minorEastAsia"/>
            <w:noProof/>
            <w:color w:val="auto"/>
            <w:sz w:val="22"/>
            <w:szCs w:val="22"/>
            <w:lang w:eastAsia="en-GB"/>
          </w:rPr>
          <w:tab/>
        </w:r>
        <w:r w:rsidR="00497BF9" w:rsidRPr="004206F4">
          <w:rPr>
            <w:rStyle w:val="Hyperlink"/>
            <w:noProof/>
          </w:rPr>
          <w:t>Financial Services Team</w:t>
        </w:r>
        <w:r w:rsidR="00497BF9">
          <w:rPr>
            <w:noProof/>
            <w:webHidden/>
          </w:rPr>
          <w:tab/>
        </w:r>
        <w:r w:rsidR="00497BF9">
          <w:rPr>
            <w:noProof/>
            <w:webHidden/>
          </w:rPr>
          <w:fldChar w:fldCharType="begin"/>
        </w:r>
        <w:r w:rsidR="00497BF9">
          <w:rPr>
            <w:noProof/>
            <w:webHidden/>
          </w:rPr>
          <w:instrText xml:space="preserve"> PAGEREF _Toc111196209 \h </w:instrText>
        </w:r>
        <w:r w:rsidR="00497BF9">
          <w:rPr>
            <w:noProof/>
            <w:webHidden/>
          </w:rPr>
        </w:r>
        <w:r w:rsidR="00497BF9">
          <w:rPr>
            <w:noProof/>
            <w:webHidden/>
          </w:rPr>
          <w:fldChar w:fldCharType="separate"/>
        </w:r>
        <w:r w:rsidR="00497BF9">
          <w:rPr>
            <w:noProof/>
            <w:webHidden/>
          </w:rPr>
          <w:t>6</w:t>
        </w:r>
        <w:r w:rsidR="00497BF9">
          <w:rPr>
            <w:noProof/>
            <w:webHidden/>
          </w:rPr>
          <w:fldChar w:fldCharType="end"/>
        </w:r>
      </w:hyperlink>
    </w:p>
    <w:p w14:paraId="33451E78" w14:textId="694321B7" w:rsidR="00497BF9" w:rsidRDefault="0067527A" w:rsidP="00220D4A">
      <w:pPr>
        <w:pStyle w:val="TOC2"/>
        <w:rPr>
          <w:rFonts w:eastAsiaTheme="minorEastAsia"/>
          <w:noProof/>
          <w:color w:val="auto"/>
          <w:sz w:val="22"/>
          <w:szCs w:val="22"/>
          <w:lang w:eastAsia="en-GB"/>
        </w:rPr>
      </w:pPr>
      <w:hyperlink w:anchor="_Toc111196210" w:history="1">
        <w:r w:rsidR="00497BF9" w:rsidRPr="004206F4">
          <w:rPr>
            <w:rStyle w:val="Hyperlink"/>
            <w:bCs/>
            <w:noProof/>
          </w:rPr>
          <w:t>5.4.</w:t>
        </w:r>
        <w:r w:rsidR="00497BF9">
          <w:rPr>
            <w:rFonts w:eastAsiaTheme="minorEastAsia"/>
            <w:noProof/>
            <w:color w:val="auto"/>
            <w:sz w:val="22"/>
            <w:szCs w:val="22"/>
            <w:lang w:eastAsia="en-GB"/>
          </w:rPr>
          <w:tab/>
        </w:r>
        <w:r w:rsidR="00497BF9" w:rsidRPr="004206F4">
          <w:rPr>
            <w:rStyle w:val="Hyperlink"/>
            <w:noProof/>
          </w:rPr>
          <w:t>Finance Business Partners</w:t>
        </w:r>
        <w:r w:rsidR="00497BF9">
          <w:rPr>
            <w:noProof/>
            <w:webHidden/>
          </w:rPr>
          <w:tab/>
        </w:r>
        <w:r w:rsidR="00497BF9">
          <w:rPr>
            <w:noProof/>
            <w:webHidden/>
          </w:rPr>
          <w:fldChar w:fldCharType="begin"/>
        </w:r>
        <w:r w:rsidR="00497BF9">
          <w:rPr>
            <w:noProof/>
            <w:webHidden/>
          </w:rPr>
          <w:instrText xml:space="preserve"> PAGEREF _Toc111196210 \h </w:instrText>
        </w:r>
        <w:r w:rsidR="00497BF9">
          <w:rPr>
            <w:noProof/>
            <w:webHidden/>
          </w:rPr>
        </w:r>
        <w:r w:rsidR="00497BF9">
          <w:rPr>
            <w:noProof/>
            <w:webHidden/>
          </w:rPr>
          <w:fldChar w:fldCharType="separate"/>
        </w:r>
        <w:r w:rsidR="00497BF9">
          <w:rPr>
            <w:noProof/>
            <w:webHidden/>
          </w:rPr>
          <w:t>6</w:t>
        </w:r>
        <w:r w:rsidR="00497BF9">
          <w:rPr>
            <w:noProof/>
            <w:webHidden/>
          </w:rPr>
          <w:fldChar w:fldCharType="end"/>
        </w:r>
      </w:hyperlink>
    </w:p>
    <w:p w14:paraId="7DAEBA9B" w14:textId="2D306807" w:rsidR="00497BF9" w:rsidRDefault="0067527A" w:rsidP="00220D4A">
      <w:pPr>
        <w:pStyle w:val="TOC2"/>
        <w:rPr>
          <w:rFonts w:eastAsiaTheme="minorEastAsia"/>
          <w:noProof/>
          <w:color w:val="auto"/>
          <w:sz w:val="22"/>
          <w:szCs w:val="22"/>
          <w:lang w:eastAsia="en-GB"/>
        </w:rPr>
      </w:pPr>
      <w:hyperlink w:anchor="_Toc111196211" w:history="1">
        <w:r w:rsidR="00497BF9" w:rsidRPr="004206F4">
          <w:rPr>
            <w:rStyle w:val="Hyperlink"/>
            <w:bCs/>
            <w:noProof/>
          </w:rPr>
          <w:t>5.5.</w:t>
        </w:r>
        <w:r w:rsidR="00497BF9">
          <w:rPr>
            <w:rFonts w:eastAsiaTheme="minorEastAsia"/>
            <w:noProof/>
            <w:color w:val="auto"/>
            <w:sz w:val="22"/>
            <w:szCs w:val="22"/>
            <w:lang w:eastAsia="en-GB"/>
          </w:rPr>
          <w:tab/>
        </w:r>
        <w:r w:rsidR="00497BF9" w:rsidRPr="004206F4">
          <w:rPr>
            <w:rStyle w:val="Hyperlink"/>
            <w:noProof/>
          </w:rPr>
          <w:t>Budget Holders</w:t>
        </w:r>
        <w:r w:rsidR="00497BF9">
          <w:rPr>
            <w:noProof/>
            <w:webHidden/>
          </w:rPr>
          <w:tab/>
        </w:r>
        <w:r w:rsidR="00497BF9">
          <w:rPr>
            <w:noProof/>
            <w:webHidden/>
          </w:rPr>
          <w:fldChar w:fldCharType="begin"/>
        </w:r>
        <w:r w:rsidR="00497BF9">
          <w:rPr>
            <w:noProof/>
            <w:webHidden/>
          </w:rPr>
          <w:instrText xml:space="preserve"> PAGEREF _Toc111196211 \h </w:instrText>
        </w:r>
        <w:r w:rsidR="00497BF9">
          <w:rPr>
            <w:noProof/>
            <w:webHidden/>
          </w:rPr>
        </w:r>
        <w:r w:rsidR="00497BF9">
          <w:rPr>
            <w:noProof/>
            <w:webHidden/>
          </w:rPr>
          <w:fldChar w:fldCharType="separate"/>
        </w:r>
        <w:r w:rsidR="00497BF9">
          <w:rPr>
            <w:noProof/>
            <w:webHidden/>
          </w:rPr>
          <w:t>7</w:t>
        </w:r>
        <w:r w:rsidR="00497BF9">
          <w:rPr>
            <w:noProof/>
            <w:webHidden/>
          </w:rPr>
          <w:fldChar w:fldCharType="end"/>
        </w:r>
      </w:hyperlink>
    </w:p>
    <w:p w14:paraId="3339C46B" w14:textId="5B253A20" w:rsidR="00497BF9" w:rsidRDefault="0067527A" w:rsidP="00220D4A">
      <w:pPr>
        <w:pStyle w:val="TOC2"/>
        <w:rPr>
          <w:rFonts w:eastAsiaTheme="minorEastAsia"/>
          <w:noProof/>
          <w:color w:val="auto"/>
          <w:sz w:val="22"/>
          <w:szCs w:val="22"/>
          <w:lang w:eastAsia="en-GB"/>
        </w:rPr>
      </w:pPr>
      <w:hyperlink w:anchor="_Toc111196212" w:history="1">
        <w:r w:rsidR="00497BF9" w:rsidRPr="004206F4">
          <w:rPr>
            <w:rStyle w:val="Hyperlink"/>
            <w:bCs/>
            <w:noProof/>
          </w:rPr>
          <w:t>5.6.</w:t>
        </w:r>
        <w:r w:rsidR="00497BF9">
          <w:rPr>
            <w:rFonts w:eastAsiaTheme="minorEastAsia"/>
            <w:noProof/>
            <w:color w:val="auto"/>
            <w:sz w:val="22"/>
            <w:szCs w:val="22"/>
            <w:lang w:eastAsia="en-GB"/>
          </w:rPr>
          <w:tab/>
        </w:r>
        <w:r w:rsidR="00497BF9" w:rsidRPr="004206F4">
          <w:rPr>
            <w:rStyle w:val="Hyperlink"/>
            <w:noProof/>
          </w:rPr>
          <w:t>NHS SBS Payments/Invoices Team</w:t>
        </w:r>
        <w:r w:rsidR="00497BF9">
          <w:rPr>
            <w:noProof/>
            <w:webHidden/>
          </w:rPr>
          <w:tab/>
        </w:r>
        <w:r w:rsidR="00497BF9">
          <w:rPr>
            <w:noProof/>
            <w:webHidden/>
          </w:rPr>
          <w:fldChar w:fldCharType="begin"/>
        </w:r>
        <w:r w:rsidR="00497BF9">
          <w:rPr>
            <w:noProof/>
            <w:webHidden/>
          </w:rPr>
          <w:instrText xml:space="preserve"> PAGEREF _Toc111196212 \h </w:instrText>
        </w:r>
        <w:r w:rsidR="00497BF9">
          <w:rPr>
            <w:noProof/>
            <w:webHidden/>
          </w:rPr>
        </w:r>
        <w:r w:rsidR="00497BF9">
          <w:rPr>
            <w:noProof/>
            <w:webHidden/>
          </w:rPr>
          <w:fldChar w:fldCharType="separate"/>
        </w:r>
        <w:r w:rsidR="00497BF9">
          <w:rPr>
            <w:noProof/>
            <w:webHidden/>
          </w:rPr>
          <w:t>8</w:t>
        </w:r>
        <w:r w:rsidR="00497BF9">
          <w:rPr>
            <w:noProof/>
            <w:webHidden/>
          </w:rPr>
          <w:fldChar w:fldCharType="end"/>
        </w:r>
      </w:hyperlink>
    </w:p>
    <w:p w14:paraId="4A311D4E" w14:textId="77EB75BB" w:rsidR="00497BF9" w:rsidRDefault="0067527A">
      <w:pPr>
        <w:pStyle w:val="TOC1"/>
        <w:rPr>
          <w:rFonts w:eastAsiaTheme="minorEastAsia"/>
          <w:b w:val="0"/>
          <w:noProof/>
          <w:color w:val="auto"/>
          <w:sz w:val="22"/>
          <w:szCs w:val="22"/>
          <w:lang w:eastAsia="en-GB"/>
        </w:rPr>
      </w:pPr>
      <w:hyperlink w:anchor="_Toc111196213" w:history="1">
        <w:r w:rsidR="00497BF9" w:rsidRPr="004206F4">
          <w:rPr>
            <w:rStyle w:val="Hyperlink"/>
            <w:noProof/>
          </w:rPr>
          <w:t>6.</w:t>
        </w:r>
        <w:r w:rsidR="00497BF9">
          <w:rPr>
            <w:rFonts w:eastAsiaTheme="minorEastAsia"/>
            <w:b w:val="0"/>
            <w:noProof/>
            <w:color w:val="auto"/>
            <w:sz w:val="22"/>
            <w:szCs w:val="22"/>
            <w:lang w:eastAsia="en-GB"/>
          </w:rPr>
          <w:tab/>
        </w:r>
        <w:r w:rsidR="00497BF9" w:rsidRPr="004206F4">
          <w:rPr>
            <w:rStyle w:val="Hyperlink"/>
            <w:noProof/>
          </w:rPr>
          <w:t>Policy Detail</w:t>
        </w:r>
        <w:r w:rsidR="00497BF9">
          <w:rPr>
            <w:noProof/>
            <w:webHidden/>
          </w:rPr>
          <w:tab/>
        </w:r>
        <w:r w:rsidR="00497BF9">
          <w:rPr>
            <w:noProof/>
            <w:webHidden/>
          </w:rPr>
          <w:fldChar w:fldCharType="begin"/>
        </w:r>
        <w:r w:rsidR="00497BF9">
          <w:rPr>
            <w:noProof/>
            <w:webHidden/>
          </w:rPr>
          <w:instrText xml:space="preserve"> PAGEREF _Toc111196213 \h </w:instrText>
        </w:r>
        <w:r w:rsidR="00497BF9">
          <w:rPr>
            <w:noProof/>
            <w:webHidden/>
          </w:rPr>
        </w:r>
        <w:r w:rsidR="00497BF9">
          <w:rPr>
            <w:noProof/>
            <w:webHidden/>
          </w:rPr>
          <w:fldChar w:fldCharType="separate"/>
        </w:r>
        <w:r w:rsidR="00497BF9">
          <w:rPr>
            <w:noProof/>
            <w:webHidden/>
          </w:rPr>
          <w:t>9</w:t>
        </w:r>
        <w:r w:rsidR="00497BF9">
          <w:rPr>
            <w:noProof/>
            <w:webHidden/>
          </w:rPr>
          <w:fldChar w:fldCharType="end"/>
        </w:r>
      </w:hyperlink>
    </w:p>
    <w:p w14:paraId="593E0A68" w14:textId="31B426E5" w:rsidR="00497BF9" w:rsidRDefault="0067527A" w:rsidP="00220D4A">
      <w:pPr>
        <w:pStyle w:val="TOC2"/>
        <w:rPr>
          <w:rFonts w:eastAsiaTheme="minorEastAsia"/>
          <w:noProof/>
          <w:color w:val="auto"/>
          <w:sz w:val="22"/>
          <w:szCs w:val="22"/>
          <w:lang w:eastAsia="en-GB"/>
        </w:rPr>
      </w:pPr>
      <w:hyperlink w:anchor="_Toc111196214" w:history="1">
        <w:r w:rsidR="00497BF9" w:rsidRPr="004206F4">
          <w:rPr>
            <w:rStyle w:val="Hyperlink"/>
            <w:bCs/>
            <w:noProof/>
          </w:rPr>
          <w:t>6.1.</w:t>
        </w:r>
        <w:r w:rsidR="00497BF9">
          <w:rPr>
            <w:rFonts w:eastAsiaTheme="minorEastAsia"/>
            <w:noProof/>
            <w:color w:val="auto"/>
            <w:sz w:val="22"/>
            <w:szCs w:val="22"/>
            <w:lang w:eastAsia="en-GB"/>
          </w:rPr>
          <w:tab/>
        </w:r>
        <w:r w:rsidR="00497BF9" w:rsidRPr="004206F4">
          <w:rPr>
            <w:rStyle w:val="Hyperlink"/>
            <w:noProof/>
          </w:rPr>
          <w:t>NHS Healthcare Payment Arrangements</w:t>
        </w:r>
        <w:r w:rsidR="00497BF9">
          <w:rPr>
            <w:noProof/>
            <w:webHidden/>
          </w:rPr>
          <w:tab/>
        </w:r>
        <w:r w:rsidR="00497BF9">
          <w:rPr>
            <w:noProof/>
            <w:webHidden/>
          </w:rPr>
          <w:fldChar w:fldCharType="begin"/>
        </w:r>
        <w:r w:rsidR="00497BF9">
          <w:rPr>
            <w:noProof/>
            <w:webHidden/>
          </w:rPr>
          <w:instrText xml:space="preserve"> PAGEREF _Toc111196214 \h </w:instrText>
        </w:r>
        <w:r w:rsidR="00497BF9">
          <w:rPr>
            <w:noProof/>
            <w:webHidden/>
          </w:rPr>
        </w:r>
        <w:r w:rsidR="00497BF9">
          <w:rPr>
            <w:noProof/>
            <w:webHidden/>
          </w:rPr>
          <w:fldChar w:fldCharType="separate"/>
        </w:r>
        <w:r w:rsidR="00497BF9">
          <w:rPr>
            <w:noProof/>
            <w:webHidden/>
          </w:rPr>
          <w:t>9</w:t>
        </w:r>
        <w:r w:rsidR="00497BF9">
          <w:rPr>
            <w:noProof/>
            <w:webHidden/>
          </w:rPr>
          <w:fldChar w:fldCharType="end"/>
        </w:r>
      </w:hyperlink>
    </w:p>
    <w:p w14:paraId="3C222627" w14:textId="44DAF266" w:rsidR="00497BF9" w:rsidRDefault="0067527A" w:rsidP="00220D4A">
      <w:pPr>
        <w:pStyle w:val="TOC2"/>
        <w:rPr>
          <w:rFonts w:eastAsiaTheme="minorEastAsia"/>
          <w:noProof/>
          <w:color w:val="auto"/>
          <w:sz w:val="22"/>
          <w:szCs w:val="22"/>
          <w:lang w:eastAsia="en-GB"/>
        </w:rPr>
      </w:pPr>
      <w:hyperlink w:anchor="_Toc111196215" w:history="1">
        <w:r w:rsidR="00497BF9" w:rsidRPr="004206F4">
          <w:rPr>
            <w:rStyle w:val="Hyperlink"/>
            <w:bCs/>
            <w:noProof/>
          </w:rPr>
          <w:t>6.2.</w:t>
        </w:r>
        <w:r w:rsidR="00497BF9">
          <w:rPr>
            <w:rFonts w:eastAsiaTheme="minorEastAsia"/>
            <w:noProof/>
            <w:color w:val="auto"/>
            <w:sz w:val="22"/>
            <w:szCs w:val="22"/>
            <w:lang w:eastAsia="en-GB"/>
          </w:rPr>
          <w:tab/>
        </w:r>
        <w:r w:rsidR="00497BF9" w:rsidRPr="004206F4">
          <w:rPr>
            <w:rStyle w:val="Hyperlink"/>
            <w:noProof/>
          </w:rPr>
          <w:t>Non-NHS Suppliers</w:t>
        </w:r>
        <w:r w:rsidR="00497BF9">
          <w:rPr>
            <w:noProof/>
            <w:webHidden/>
          </w:rPr>
          <w:tab/>
        </w:r>
        <w:r w:rsidR="00497BF9">
          <w:rPr>
            <w:noProof/>
            <w:webHidden/>
          </w:rPr>
          <w:fldChar w:fldCharType="begin"/>
        </w:r>
        <w:r w:rsidR="00497BF9">
          <w:rPr>
            <w:noProof/>
            <w:webHidden/>
          </w:rPr>
          <w:instrText xml:space="preserve"> PAGEREF _Toc111196215 \h </w:instrText>
        </w:r>
        <w:r w:rsidR="00497BF9">
          <w:rPr>
            <w:noProof/>
            <w:webHidden/>
          </w:rPr>
        </w:r>
        <w:r w:rsidR="00497BF9">
          <w:rPr>
            <w:noProof/>
            <w:webHidden/>
          </w:rPr>
          <w:fldChar w:fldCharType="separate"/>
        </w:r>
        <w:r w:rsidR="00497BF9">
          <w:rPr>
            <w:noProof/>
            <w:webHidden/>
          </w:rPr>
          <w:t>10</w:t>
        </w:r>
        <w:r w:rsidR="00497BF9">
          <w:rPr>
            <w:noProof/>
            <w:webHidden/>
          </w:rPr>
          <w:fldChar w:fldCharType="end"/>
        </w:r>
      </w:hyperlink>
    </w:p>
    <w:p w14:paraId="051E6F01" w14:textId="08879BAD" w:rsidR="00497BF9" w:rsidRDefault="0067527A" w:rsidP="00220D4A">
      <w:pPr>
        <w:pStyle w:val="TOC2"/>
        <w:rPr>
          <w:rFonts w:eastAsiaTheme="minorEastAsia"/>
          <w:noProof/>
          <w:color w:val="auto"/>
          <w:sz w:val="22"/>
          <w:szCs w:val="22"/>
          <w:lang w:eastAsia="en-GB"/>
        </w:rPr>
      </w:pPr>
      <w:hyperlink w:anchor="_Toc111196216" w:history="1">
        <w:r w:rsidR="00497BF9" w:rsidRPr="004206F4">
          <w:rPr>
            <w:rStyle w:val="Hyperlink"/>
            <w:bCs/>
            <w:noProof/>
          </w:rPr>
          <w:t>6.3.</w:t>
        </w:r>
        <w:r w:rsidR="00497BF9">
          <w:rPr>
            <w:rFonts w:eastAsiaTheme="minorEastAsia"/>
            <w:noProof/>
            <w:color w:val="auto"/>
            <w:sz w:val="22"/>
            <w:szCs w:val="22"/>
            <w:lang w:eastAsia="en-GB"/>
          </w:rPr>
          <w:tab/>
        </w:r>
        <w:r w:rsidR="00497BF9" w:rsidRPr="004206F4">
          <w:rPr>
            <w:rStyle w:val="Hyperlink"/>
            <w:noProof/>
          </w:rPr>
          <w:t>Use of Purchase Orders</w:t>
        </w:r>
        <w:r w:rsidR="00497BF9">
          <w:rPr>
            <w:noProof/>
            <w:webHidden/>
          </w:rPr>
          <w:tab/>
        </w:r>
        <w:r w:rsidR="00497BF9">
          <w:rPr>
            <w:noProof/>
            <w:webHidden/>
          </w:rPr>
          <w:fldChar w:fldCharType="begin"/>
        </w:r>
        <w:r w:rsidR="00497BF9">
          <w:rPr>
            <w:noProof/>
            <w:webHidden/>
          </w:rPr>
          <w:instrText xml:space="preserve"> PAGEREF _Toc111196216 \h </w:instrText>
        </w:r>
        <w:r w:rsidR="00497BF9">
          <w:rPr>
            <w:noProof/>
            <w:webHidden/>
          </w:rPr>
        </w:r>
        <w:r w:rsidR="00497BF9">
          <w:rPr>
            <w:noProof/>
            <w:webHidden/>
          </w:rPr>
          <w:fldChar w:fldCharType="separate"/>
        </w:r>
        <w:r w:rsidR="00497BF9">
          <w:rPr>
            <w:noProof/>
            <w:webHidden/>
          </w:rPr>
          <w:t>10</w:t>
        </w:r>
        <w:r w:rsidR="00497BF9">
          <w:rPr>
            <w:noProof/>
            <w:webHidden/>
          </w:rPr>
          <w:fldChar w:fldCharType="end"/>
        </w:r>
      </w:hyperlink>
    </w:p>
    <w:p w14:paraId="7B951BC1" w14:textId="270DE1DD" w:rsidR="00497BF9" w:rsidRDefault="0067527A" w:rsidP="00220D4A">
      <w:pPr>
        <w:pStyle w:val="TOC2"/>
        <w:rPr>
          <w:rFonts w:eastAsiaTheme="minorEastAsia"/>
          <w:noProof/>
          <w:color w:val="auto"/>
          <w:sz w:val="22"/>
          <w:szCs w:val="22"/>
          <w:lang w:eastAsia="en-GB"/>
        </w:rPr>
      </w:pPr>
      <w:hyperlink w:anchor="_Toc111196217" w:history="1">
        <w:r w:rsidR="00497BF9" w:rsidRPr="004206F4">
          <w:rPr>
            <w:rStyle w:val="Hyperlink"/>
            <w:bCs/>
            <w:noProof/>
          </w:rPr>
          <w:t>6.4.</w:t>
        </w:r>
        <w:r w:rsidR="00497BF9">
          <w:rPr>
            <w:rFonts w:eastAsiaTheme="minorEastAsia"/>
            <w:noProof/>
            <w:color w:val="auto"/>
            <w:sz w:val="22"/>
            <w:szCs w:val="22"/>
            <w:lang w:eastAsia="en-GB"/>
          </w:rPr>
          <w:tab/>
        </w:r>
        <w:r w:rsidR="00497BF9" w:rsidRPr="004206F4">
          <w:rPr>
            <w:rStyle w:val="Hyperlink"/>
            <w:noProof/>
          </w:rPr>
          <w:t>E-Invoicing</w:t>
        </w:r>
        <w:r w:rsidR="00497BF9">
          <w:rPr>
            <w:noProof/>
            <w:webHidden/>
          </w:rPr>
          <w:tab/>
        </w:r>
        <w:r w:rsidR="00497BF9">
          <w:rPr>
            <w:noProof/>
            <w:webHidden/>
          </w:rPr>
          <w:fldChar w:fldCharType="begin"/>
        </w:r>
        <w:r w:rsidR="00497BF9">
          <w:rPr>
            <w:noProof/>
            <w:webHidden/>
          </w:rPr>
          <w:instrText xml:space="preserve"> PAGEREF _Toc111196217 \h </w:instrText>
        </w:r>
        <w:r w:rsidR="00497BF9">
          <w:rPr>
            <w:noProof/>
            <w:webHidden/>
          </w:rPr>
        </w:r>
        <w:r w:rsidR="00497BF9">
          <w:rPr>
            <w:noProof/>
            <w:webHidden/>
          </w:rPr>
          <w:fldChar w:fldCharType="separate"/>
        </w:r>
        <w:r w:rsidR="00497BF9">
          <w:rPr>
            <w:noProof/>
            <w:webHidden/>
          </w:rPr>
          <w:t>11</w:t>
        </w:r>
        <w:r w:rsidR="00497BF9">
          <w:rPr>
            <w:noProof/>
            <w:webHidden/>
          </w:rPr>
          <w:fldChar w:fldCharType="end"/>
        </w:r>
      </w:hyperlink>
    </w:p>
    <w:p w14:paraId="2256A344" w14:textId="5B88CBC7" w:rsidR="00497BF9" w:rsidRDefault="0067527A" w:rsidP="00220D4A">
      <w:pPr>
        <w:pStyle w:val="TOC2"/>
        <w:rPr>
          <w:rFonts w:eastAsiaTheme="minorEastAsia"/>
          <w:noProof/>
          <w:color w:val="auto"/>
          <w:sz w:val="22"/>
          <w:szCs w:val="22"/>
          <w:lang w:eastAsia="en-GB"/>
        </w:rPr>
      </w:pPr>
      <w:hyperlink w:anchor="_Toc111196218" w:history="1">
        <w:r w:rsidR="00497BF9" w:rsidRPr="004206F4">
          <w:rPr>
            <w:rStyle w:val="Hyperlink"/>
            <w:bCs/>
            <w:noProof/>
          </w:rPr>
          <w:t>6.5.</w:t>
        </w:r>
        <w:r w:rsidR="00497BF9">
          <w:rPr>
            <w:rFonts w:eastAsiaTheme="minorEastAsia"/>
            <w:noProof/>
            <w:color w:val="auto"/>
            <w:sz w:val="22"/>
            <w:szCs w:val="22"/>
            <w:lang w:eastAsia="en-GB"/>
          </w:rPr>
          <w:tab/>
        </w:r>
        <w:r w:rsidR="00497BF9" w:rsidRPr="004206F4">
          <w:rPr>
            <w:rStyle w:val="Hyperlink"/>
            <w:noProof/>
          </w:rPr>
          <w:t>Purchasing Card</w:t>
        </w:r>
        <w:r w:rsidR="00497BF9">
          <w:rPr>
            <w:noProof/>
            <w:webHidden/>
          </w:rPr>
          <w:tab/>
        </w:r>
        <w:r w:rsidR="00497BF9">
          <w:rPr>
            <w:noProof/>
            <w:webHidden/>
          </w:rPr>
          <w:fldChar w:fldCharType="begin"/>
        </w:r>
        <w:r w:rsidR="00497BF9">
          <w:rPr>
            <w:noProof/>
            <w:webHidden/>
          </w:rPr>
          <w:instrText xml:space="preserve"> PAGEREF _Toc111196218 \h </w:instrText>
        </w:r>
        <w:r w:rsidR="00497BF9">
          <w:rPr>
            <w:noProof/>
            <w:webHidden/>
          </w:rPr>
        </w:r>
        <w:r w:rsidR="00497BF9">
          <w:rPr>
            <w:noProof/>
            <w:webHidden/>
          </w:rPr>
          <w:fldChar w:fldCharType="separate"/>
        </w:r>
        <w:r w:rsidR="00497BF9">
          <w:rPr>
            <w:noProof/>
            <w:webHidden/>
          </w:rPr>
          <w:t>11</w:t>
        </w:r>
        <w:r w:rsidR="00497BF9">
          <w:rPr>
            <w:noProof/>
            <w:webHidden/>
          </w:rPr>
          <w:fldChar w:fldCharType="end"/>
        </w:r>
      </w:hyperlink>
    </w:p>
    <w:p w14:paraId="70C22DC2" w14:textId="12B8B445" w:rsidR="00497BF9" w:rsidRDefault="0067527A" w:rsidP="00220D4A">
      <w:pPr>
        <w:pStyle w:val="TOC2"/>
        <w:rPr>
          <w:rFonts w:eastAsiaTheme="minorEastAsia"/>
          <w:noProof/>
          <w:color w:val="auto"/>
          <w:sz w:val="22"/>
          <w:szCs w:val="22"/>
          <w:lang w:eastAsia="en-GB"/>
        </w:rPr>
      </w:pPr>
      <w:hyperlink w:anchor="_Toc111196219" w:history="1">
        <w:r w:rsidR="00497BF9" w:rsidRPr="004206F4">
          <w:rPr>
            <w:rStyle w:val="Hyperlink"/>
            <w:bCs/>
            <w:noProof/>
          </w:rPr>
          <w:t>6.6.</w:t>
        </w:r>
        <w:r w:rsidR="00497BF9">
          <w:rPr>
            <w:rFonts w:eastAsiaTheme="minorEastAsia"/>
            <w:noProof/>
            <w:color w:val="auto"/>
            <w:sz w:val="22"/>
            <w:szCs w:val="22"/>
            <w:lang w:eastAsia="en-GB"/>
          </w:rPr>
          <w:tab/>
        </w:r>
        <w:r w:rsidR="00497BF9" w:rsidRPr="004206F4">
          <w:rPr>
            <w:rStyle w:val="Hyperlink"/>
            <w:noProof/>
          </w:rPr>
          <w:t>Fraud Awareness</w:t>
        </w:r>
        <w:r w:rsidR="00497BF9">
          <w:rPr>
            <w:noProof/>
            <w:webHidden/>
          </w:rPr>
          <w:tab/>
        </w:r>
        <w:r w:rsidR="00497BF9">
          <w:rPr>
            <w:noProof/>
            <w:webHidden/>
          </w:rPr>
          <w:fldChar w:fldCharType="begin"/>
        </w:r>
        <w:r w:rsidR="00497BF9">
          <w:rPr>
            <w:noProof/>
            <w:webHidden/>
          </w:rPr>
          <w:instrText xml:space="preserve"> PAGEREF _Toc111196219 \h </w:instrText>
        </w:r>
        <w:r w:rsidR="00497BF9">
          <w:rPr>
            <w:noProof/>
            <w:webHidden/>
          </w:rPr>
        </w:r>
        <w:r w:rsidR="00497BF9">
          <w:rPr>
            <w:noProof/>
            <w:webHidden/>
          </w:rPr>
          <w:fldChar w:fldCharType="separate"/>
        </w:r>
        <w:r w:rsidR="00497BF9">
          <w:rPr>
            <w:noProof/>
            <w:webHidden/>
          </w:rPr>
          <w:t>13</w:t>
        </w:r>
        <w:r w:rsidR="00497BF9">
          <w:rPr>
            <w:noProof/>
            <w:webHidden/>
          </w:rPr>
          <w:fldChar w:fldCharType="end"/>
        </w:r>
      </w:hyperlink>
    </w:p>
    <w:p w14:paraId="6462654F" w14:textId="7C454B8D" w:rsidR="00497BF9" w:rsidRDefault="0067527A">
      <w:pPr>
        <w:pStyle w:val="TOC1"/>
        <w:rPr>
          <w:rFonts w:eastAsiaTheme="minorEastAsia"/>
          <w:b w:val="0"/>
          <w:noProof/>
          <w:color w:val="auto"/>
          <w:sz w:val="22"/>
          <w:szCs w:val="22"/>
          <w:lang w:eastAsia="en-GB"/>
        </w:rPr>
      </w:pPr>
      <w:hyperlink w:anchor="_Toc111196220" w:history="1">
        <w:r w:rsidR="00497BF9" w:rsidRPr="004206F4">
          <w:rPr>
            <w:rStyle w:val="Hyperlink"/>
            <w:noProof/>
          </w:rPr>
          <w:t>7.</w:t>
        </w:r>
        <w:r w:rsidR="00497BF9">
          <w:rPr>
            <w:rFonts w:eastAsiaTheme="minorEastAsia"/>
            <w:b w:val="0"/>
            <w:noProof/>
            <w:color w:val="auto"/>
            <w:sz w:val="22"/>
            <w:szCs w:val="22"/>
            <w:lang w:eastAsia="en-GB"/>
          </w:rPr>
          <w:tab/>
        </w:r>
        <w:r w:rsidR="00497BF9" w:rsidRPr="004206F4">
          <w:rPr>
            <w:rStyle w:val="Hyperlink"/>
            <w:noProof/>
          </w:rPr>
          <w:t>Monitoring Compliance</w:t>
        </w:r>
        <w:r w:rsidR="00497BF9">
          <w:rPr>
            <w:noProof/>
            <w:webHidden/>
          </w:rPr>
          <w:tab/>
        </w:r>
        <w:r w:rsidR="00497BF9">
          <w:rPr>
            <w:noProof/>
            <w:webHidden/>
          </w:rPr>
          <w:fldChar w:fldCharType="begin"/>
        </w:r>
        <w:r w:rsidR="00497BF9">
          <w:rPr>
            <w:noProof/>
            <w:webHidden/>
          </w:rPr>
          <w:instrText xml:space="preserve"> PAGEREF _Toc111196220 \h </w:instrText>
        </w:r>
        <w:r w:rsidR="00497BF9">
          <w:rPr>
            <w:noProof/>
            <w:webHidden/>
          </w:rPr>
        </w:r>
        <w:r w:rsidR="00497BF9">
          <w:rPr>
            <w:noProof/>
            <w:webHidden/>
          </w:rPr>
          <w:fldChar w:fldCharType="separate"/>
        </w:r>
        <w:r w:rsidR="00497BF9">
          <w:rPr>
            <w:noProof/>
            <w:webHidden/>
          </w:rPr>
          <w:t>13</w:t>
        </w:r>
        <w:r w:rsidR="00497BF9">
          <w:rPr>
            <w:noProof/>
            <w:webHidden/>
          </w:rPr>
          <w:fldChar w:fldCharType="end"/>
        </w:r>
      </w:hyperlink>
    </w:p>
    <w:p w14:paraId="2DD56F07" w14:textId="19DF43D6" w:rsidR="00497BF9" w:rsidRDefault="0067527A">
      <w:pPr>
        <w:pStyle w:val="TOC1"/>
        <w:rPr>
          <w:rFonts w:eastAsiaTheme="minorEastAsia"/>
          <w:b w:val="0"/>
          <w:noProof/>
          <w:color w:val="auto"/>
          <w:sz w:val="22"/>
          <w:szCs w:val="22"/>
          <w:lang w:eastAsia="en-GB"/>
        </w:rPr>
      </w:pPr>
      <w:hyperlink w:anchor="_Toc111196221" w:history="1">
        <w:r w:rsidR="00497BF9" w:rsidRPr="004206F4">
          <w:rPr>
            <w:rStyle w:val="Hyperlink"/>
            <w:noProof/>
          </w:rPr>
          <w:t>8.</w:t>
        </w:r>
        <w:r w:rsidR="00497BF9">
          <w:rPr>
            <w:rFonts w:eastAsiaTheme="minorEastAsia"/>
            <w:b w:val="0"/>
            <w:noProof/>
            <w:color w:val="auto"/>
            <w:sz w:val="22"/>
            <w:szCs w:val="22"/>
            <w:lang w:eastAsia="en-GB"/>
          </w:rPr>
          <w:tab/>
        </w:r>
        <w:r w:rsidR="00497BF9" w:rsidRPr="004206F4">
          <w:rPr>
            <w:rStyle w:val="Hyperlink"/>
            <w:noProof/>
          </w:rPr>
          <w:t>Staff Training</w:t>
        </w:r>
        <w:r w:rsidR="00497BF9">
          <w:rPr>
            <w:noProof/>
            <w:webHidden/>
          </w:rPr>
          <w:tab/>
        </w:r>
        <w:r w:rsidR="00497BF9">
          <w:rPr>
            <w:noProof/>
            <w:webHidden/>
          </w:rPr>
          <w:fldChar w:fldCharType="begin"/>
        </w:r>
        <w:r w:rsidR="00497BF9">
          <w:rPr>
            <w:noProof/>
            <w:webHidden/>
          </w:rPr>
          <w:instrText xml:space="preserve"> PAGEREF _Toc111196221 \h </w:instrText>
        </w:r>
        <w:r w:rsidR="00497BF9">
          <w:rPr>
            <w:noProof/>
            <w:webHidden/>
          </w:rPr>
        </w:r>
        <w:r w:rsidR="00497BF9">
          <w:rPr>
            <w:noProof/>
            <w:webHidden/>
          </w:rPr>
          <w:fldChar w:fldCharType="separate"/>
        </w:r>
        <w:r w:rsidR="00497BF9">
          <w:rPr>
            <w:noProof/>
            <w:webHidden/>
          </w:rPr>
          <w:t>13</w:t>
        </w:r>
        <w:r w:rsidR="00497BF9">
          <w:rPr>
            <w:noProof/>
            <w:webHidden/>
          </w:rPr>
          <w:fldChar w:fldCharType="end"/>
        </w:r>
      </w:hyperlink>
    </w:p>
    <w:p w14:paraId="70112586" w14:textId="7E269B5D" w:rsidR="00497BF9" w:rsidRDefault="0067527A">
      <w:pPr>
        <w:pStyle w:val="TOC1"/>
        <w:rPr>
          <w:rFonts w:eastAsiaTheme="minorEastAsia"/>
          <w:b w:val="0"/>
          <w:noProof/>
          <w:color w:val="auto"/>
          <w:sz w:val="22"/>
          <w:szCs w:val="22"/>
          <w:lang w:eastAsia="en-GB"/>
        </w:rPr>
      </w:pPr>
      <w:hyperlink w:anchor="_Toc111196222" w:history="1">
        <w:r w:rsidR="00497BF9" w:rsidRPr="004206F4">
          <w:rPr>
            <w:rStyle w:val="Hyperlink"/>
            <w:noProof/>
          </w:rPr>
          <w:t>9.</w:t>
        </w:r>
        <w:r w:rsidR="00497BF9">
          <w:rPr>
            <w:rFonts w:eastAsiaTheme="minorEastAsia"/>
            <w:b w:val="0"/>
            <w:noProof/>
            <w:color w:val="auto"/>
            <w:sz w:val="22"/>
            <w:szCs w:val="22"/>
            <w:lang w:eastAsia="en-GB"/>
          </w:rPr>
          <w:tab/>
        </w:r>
        <w:r w:rsidR="00497BF9" w:rsidRPr="004206F4">
          <w:rPr>
            <w:rStyle w:val="Hyperlink"/>
            <w:noProof/>
          </w:rPr>
          <w:t>Arrangements for Review</w:t>
        </w:r>
        <w:r w:rsidR="00497BF9">
          <w:rPr>
            <w:noProof/>
            <w:webHidden/>
          </w:rPr>
          <w:tab/>
        </w:r>
        <w:r w:rsidR="00497BF9">
          <w:rPr>
            <w:noProof/>
            <w:webHidden/>
          </w:rPr>
          <w:fldChar w:fldCharType="begin"/>
        </w:r>
        <w:r w:rsidR="00497BF9">
          <w:rPr>
            <w:noProof/>
            <w:webHidden/>
          </w:rPr>
          <w:instrText xml:space="preserve"> PAGEREF _Toc111196222 \h </w:instrText>
        </w:r>
        <w:r w:rsidR="00497BF9">
          <w:rPr>
            <w:noProof/>
            <w:webHidden/>
          </w:rPr>
        </w:r>
        <w:r w:rsidR="00497BF9">
          <w:rPr>
            <w:noProof/>
            <w:webHidden/>
          </w:rPr>
          <w:fldChar w:fldCharType="separate"/>
        </w:r>
        <w:r w:rsidR="00497BF9">
          <w:rPr>
            <w:noProof/>
            <w:webHidden/>
          </w:rPr>
          <w:t>13</w:t>
        </w:r>
        <w:r w:rsidR="00497BF9">
          <w:rPr>
            <w:noProof/>
            <w:webHidden/>
          </w:rPr>
          <w:fldChar w:fldCharType="end"/>
        </w:r>
      </w:hyperlink>
    </w:p>
    <w:p w14:paraId="5CD9788B" w14:textId="5D72E765" w:rsidR="00497BF9" w:rsidRDefault="0067527A">
      <w:pPr>
        <w:pStyle w:val="TOC1"/>
        <w:rPr>
          <w:rFonts w:eastAsiaTheme="minorEastAsia"/>
          <w:b w:val="0"/>
          <w:noProof/>
          <w:color w:val="auto"/>
          <w:sz w:val="22"/>
          <w:szCs w:val="22"/>
          <w:lang w:eastAsia="en-GB"/>
        </w:rPr>
      </w:pPr>
      <w:hyperlink w:anchor="_Toc111196223" w:history="1">
        <w:r w:rsidR="00497BF9" w:rsidRPr="004206F4">
          <w:rPr>
            <w:rStyle w:val="Hyperlink"/>
            <w:noProof/>
          </w:rPr>
          <w:t>10.</w:t>
        </w:r>
        <w:r w:rsidR="00497BF9">
          <w:rPr>
            <w:rFonts w:eastAsiaTheme="minorEastAsia"/>
            <w:b w:val="0"/>
            <w:noProof/>
            <w:color w:val="auto"/>
            <w:sz w:val="22"/>
            <w:szCs w:val="22"/>
            <w:lang w:eastAsia="en-GB"/>
          </w:rPr>
          <w:tab/>
        </w:r>
        <w:r w:rsidR="00497BF9" w:rsidRPr="004206F4">
          <w:rPr>
            <w:rStyle w:val="Hyperlink"/>
            <w:noProof/>
          </w:rPr>
          <w:t>Associated Policies, Guidance And Documents</w:t>
        </w:r>
        <w:r w:rsidR="00497BF9">
          <w:rPr>
            <w:noProof/>
            <w:webHidden/>
          </w:rPr>
          <w:tab/>
        </w:r>
        <w:r w:rsidR="00497BF9">
          <w:rPr>
            <w:noProof/>
            <w:webHidden/>
          </w:rPr>
          <w:fldChar w:fldCharType="begin"/>
        </w:r>
        <w:r w:rsidR="00497BF9">
          <w:rPr>
            <w:noProof/>
            <w:webHidden/>
          </w:rPr>
          <w:instrText xml:space="preserve"> PAGEREF _Toc111196223 \h </w:instrText>
        </w:r>
        <w:r w:rsidR="00497BF9">
          <w:rPr>
            <w:noProof/>
            <w:webHidden/>
          </w:rPr>
        </w:r>
        <w:r w:rsidR="00497BF9">
          <w:rPr>
            <w:noProof/>
            <w:webHidden/>
          </w:rPr>
          <w:fldChar w:fldCharType="separate"/>
        </w:r>
        <w:r w:rsidR="00497BF9">
          <w:rPr>
            <w:noProof/>
            <w:webHidden/>
          </w:rPr>
          <w:t>14</w:t>
        </w:r>
        <w:r w:rsidR="00497BF9">
          <w:rPr>
            <w:noProof/>
            <w:webHidden/>
          </w:rPr>
          <w:fldChar w:fldCharType="end"/>
        </w:r>
      </w:hyperlink>
    </w:p>
    <w:p w14:paraId="1DF257DF" w14:textId="35D2C7AF" w:rsidR="00497BF9" w:rsidRDefault="0067527A">
      <w:pPr>
        <w:pStyle w:val="TOC1"/>
        <w:rPr>
          <w:rFonts w:eastAsiaTheme="minorEastAsia"/>
          <w:b w:val="0"/>
          <w:noProof/>
          <w:color w:val="auto"/>
          <w:sz w:val="22"/>
          <w:szCs w:val="22"/>
          <w:lang w:eastAsia="en-GB"/>
        </w:rPr>
      </w:pPr>
      <w:hyperlink w:anchor="_Toc111196224" w:history="1">
        <w:r w:rsidR="00497BF9" w:rsidRPr="004206F4">
          <w:rPr>
            <w:rStyle w:val="Hyperlink"/>
            <w:noProof/>
          </w:rPr>
          <w:t>11.</w:t>
        </w:r>
        <w:r w:rsidR="00497BF9">
          <w:rPr>
            <w:rFonts w:eastAsiaTheme="minorEastAsia"/>
            <w:b w:val="0"/>
            <w:noProof/>
            <w:color w:val="auto"/>
            <w:sz w:val="22"/>
            <w:szCs w:val="22"/>
            <w:lang w:eastAsia="en-GB"/>
          </w:rPr>
          <w:tab/>
        </w:r>
        <w:r w:rsidR="00497BF9" w:rsidRPr="004206F4">
          <w:rPr>
            <w:rStyle w:val="Hyperlink"/>
            <w:noProof/>
          </w:rPr>
          <w:t>References</w:t>
        </w:r>
        <w:r w:rsidR="00497BF9">
          <w:rPr>
            <w:noProof/>
            <w:webHidden/>
          </w:rPr>
          <w:tab/>
        </w:r>
        <w:r w:rsidR="00497BF9">
          <w:rPr>
            <w:noProof/>
            <w:webHidden/>
          </w:rPr>
          <w:fldChar w:fldCharType="begin"/>
        </w:r>
        <w:r w:rsidR="00497BF9">
          <w:rPr>
            <w:noProof/>
            <w:webHidden/>
          </w:rPr>
          <w:instrText xml:space="preserve"> PAGEREF _Toc111196224 \h </w:instrText>
        </w:r>
        <w:r w:rsidR="00497BF9">
          <w:rPr>
            <w:noProof/>
            <w:webHidden/>
          </w:rPr>
        </w:r>
        <w:r w:rsidR="00497BF9">
          <w:rPr>
            <w:noProof/>
            <w:webHidden/>
          </w:rPr>
          <w:fldChar w:fldCharType="separate"/>
        </w:r>
        <w:r w:rsidR="00497BF9">
          <w:rPr>
            <w:noProof/>
            <w:webHidden/>
          </w:rPr>
          <w:t>14</w:t>
        </w:r>
        <w:r w:rsidR="00497BF9">
          <w:rPr>
            <w:noProof/>
            <w:webHidden/>
          </w:rPr>
          <w:fldChar w:fldCharType="end"/>
        </w:r>
      </w:hyperlink>
    </w:p>
    <w:p w14:paraId="7521C4A6" w14:textId="2B1BEFC7" w:rsidR="00497BF9" w:rsidRDefault="0067527A">
      <w:pPr>
        <w:pStyle w:val="TOC1"/>
        <w:rPr>
          <w:rFonts w:eastAsiaTheme="minorEastAsia"/>
          <w:b w:val="0"/>
          <w:noProof/>
          <w:color w:val="auto"/>
          <w:sz w:val="22"/>
          <w:szCs w:val="22"/>
          <w:lang w:eastAsia="en-GB"/>
        </w:rPr>
      </w:pPr>
      <w:hyperlink w:anchor="_Toc111196225" w:history="1">
        <w:r w:rsidR="00497BF9" w:rsidRPr="004206F4">
          <w:rPr>
            <w:rStyle w:val="Hyperlink"/>
            <w:noProof/>
          </w:rPr>
          <w:t>12.</w:t>
        </w:r>
        <w:r w:rsidR="00497BF9">
          <w:rPr>
            <w:rFonts w:eastAsiaTheme="minorEastAsia"/>
            <w:b w:val="0"/>
            <w:noProof/>
            <w:color w:val="auto"/>
            <w:sz w:val="22"/>
            <w:szCs w:val="22"/>
            <w:lang w:eastAsia="en-GB"/>
          </w:rPr>
          <w:tab/>
        </w:r>
        <w:r w:rsidR="00497BF9" w:rsidRPr="004206F4">
          <w:rPr>
            <w:rStyle w:val="Hyperlink"/>
            <w:noProof/>
          </w:rPr>
          <w:t>Equality Impact Assessment</w:t>
        </w:r>
        <w:r w:rsidR="00497BF9">
          <w:rPr>
            <w:noProof/>
            <w:webHidden/>
          </w:rPr>
          <w:tab/>
        </w:r>
        <w:r w:rsidR="00497BF9">
          <w:rPr>
            <w:noProof/>
            <w:webHidden/>
          </w:rPr>
          <w:fldChar w:fldCharType="begin"/>
        </w:r>
        <w:r w:rsidR="00497BF9">
          <w:rPr>
            <w:noProof/>
            <w:webHidden/>
          </w:rPr>
          <w:instrText xml:space="preserve"> PAGEREF _Toc111196225 \h </w:instrText>
        </w:r>
        <w:r w:rsidR="00497BF9">
          <w:rPr>
            <w:noProof/>
            <w:webHidden/>
          </w:rPr>
        </w:r>
        <w:r w:rsidR="00497BF9">
          <w:rPr>
            <w:noProof/>
            <w:webHidden/>
          </w:rPr>
          <w:fldChar w:fldCharType="separate"/>
        </w:r>
        <w:r w:rsidR="00497BF9">
          <w:rPr>
            <w:noProof/>
            <w:webHidden/>
          </w:rPr>
          <w:t>14</w:t>
        </w:r>
        <w:r w:rsidR="00497BF9">
          <w:rPr>
            <w:noProof/>
            <w:webHidden/>
          </w:rPr>
          <w:fldChar w:fldCharType="end"/>
        </w:r>
      </w:hyperlink>
    </w:p>
    <w:p w14:paraId="2B820ED0" w14:textId="07D7DF26" w:rsidR="00497BF9" w:rsidRDefault="0067527A">
      <w:pPr>
        <w:pStyle w:val="TOC1"/>
        <w:rPr>
          <w:rFonts w:eastAsiaTheme="minorEastAsia"/>
          <w:b w:val="0"/>
          <w:noProof/>
          <w:color w:val="auto"/>
          <w:sz w:val="22"/>
          <w:szCs w:val="22"/>
          <w:lang w:eastAsia="en-GB"/>
        </w:rPr>
      </w:pPr>
      <w:hyperlink w:anchor="_Toc111196226" w:history="1">
        <w:r w:rsidR="00497BF9" w:rsidRPr="004206F4">
          <w:rPr>
            <w:rStyle w:val="Hyperlink"/>
            <w:noProof/>
          </w:rPr>
          <w:t>Appendix A - Equality Impact Assessment</w:t>
        </w:r>
        <w:r w:rsidR="00497BF9">
          <w:rPr>
            <w:noProof/>
            <w:webHidden/>
          </w:rPr>
          <w:tab/>
        </w:r>
        <w:r w:rsidR="00497BF9">
          <w:rPr>
            <w:noProof/>
            <w:webHidden/>
          </w:rPr>
          <w:fldChar w:fldCharType="begin"/>
        </w:r>
        <w:r w:rsidR="00497BF9">
          <w:rPr>
            <w:noProof/>
            <w:webHidden/>
          </w:rPr>
          <w:instrText xml:space="preserve"> PAGEREF _Toc111196226 \h </w:instrText>
        </w:r>
        <w:r w:rsidR="00497BF9">
          <w:rPr>
            <w:noProof/>
            <w:webHidden/>
          </w:rPr>
        </w:r>
        <w:r w:rsidR="00497BF9">
          <w:rPr>
            <w:noProof/>
            <w:webHidden/>
          </w:rPr>
          <w:fldChar w:fldCharType="separate"/>
        </w:r>
        <w:r w:rsidR="00497BF9">
          <w:rPr>
            <w:noProof/>
            <w:webHidden/>
          </w:rPr>
          <w:t>15</w:t>
        </w:r>
        <w:r w:rsidR="00497BF9">
          <w:rPr>
            <w:noProof/>
            <w:webHidden/>
          </w:rPr>
          <w:fldChar w:fldCharType="end"/>
        </w:r>
      </w:hyperlink>
    </w:p>
    <w:p w14:paraId="79AC109D" w14:textId="377F1ACE"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09092E0D" w14:textId="695116C7" w:rsidR="00E82995" w:rsidRDefault="00F913CD" w:rsidP="00246DAE">
      <w:pPr>
        <w:pStyle w:val="Heading2"/>
      </w:pPr>
      <w:bookmarkStart w:id="4" w:name="_Toc84611043"/>
      <w:bookmarkStart w:id="5" w:name="_Toc89326544"/>
      <w:bookmarkStart w:id="6" w:name="_Toc111196202"/>
      <w:r w:rsidRPr="0015255F">
        <w:lastRenderedPageBreak/>
        <w:t>Introduction</w:t>
      </w:r>
      <w:bookmarkEnd w:id="4"/>
      <w:bookmarkEnd w:id="5"/>
      <w:bookmarkEnd w:id="6"/>
    </w:p>
    <w:p w14:paraId="66E3C7BA" w14:textId="7D7B6878" w:rsidR="00DD43BE" w:rsidRPr="00DD43BE" w:rsidRDefault="00DD43BE" w:rsidP="008D15E9">
      <w:pPr>
        <w:pStyle w:val="Style1"/>
      </w:pPr>
      <w:r>
        <w:t xml:space="preserve">The </w:t>
      </w:r>
      <w:r w:rsidR="00547414">
        <w:t xml:space="preserve">Executive Chief Finance Officer </w:t>
      </w:r>
      <w:r w:rsidR="00520C5D">
        <w:t xml:space="preserve">takes a lead role for the ICB to ensure there are appropriate and effective financial, contracting, monitoring and performance arrangements in place to ensure the delivery of effective health services (ICB Standing Financial Instructions </w:t>
      </w:r>
      <w:r w:rsidR="00F14C0D">
        <w:t>7.1.1).</w:t>
      </w:r>
    </w:p>
    <w:p w14:paraId="152B72F2" w14:textId="11AD1584" w:rsidR="00BC6324" w:rsidRDefault="00F913CD" w:rsidP="00BC6324">
      <w:pPr>
        <w:pStyle w:val="Heading2"/>
      </w:pPr>
      <w:bookmarkStart w:id="7" w:name="_Toc89326545"/>
      <w:bookmarkStart w:id="8" w:name="_Toc111196203"/>
      <w:r w:rsidRPr="0015255F">
        <w:t xml:space="preserve">Purpose / Policy </w:t>
      </w:r>
      <w:r w:rsidRPr="00F913CD">
        <w:t>Statement</w:t>
      </w:r>
      <w:bookmarkEnd w:id="7"/>
      <w:bookmarkEnd w:id="8"/>
    </w:p>
    <w:p w14:paraId="381F2F03" w14:textId="7542EC7D" w:rsidR="0026105D" w:rsidRPr="004105AF" w:rsidRDefault="002B26AF" w:rsidP="004105AF">
      <w:pPr>
        <w:pStyle w:val="Style1"/>
      </w:pPr>
      <w:r w:rsidRPr="004105AF">
        <w:t xml:space="preserve">This policy is a key element of the ICB’s internal control environment </w:t>
      </w:r>
      <w:r w:rsidR="00E6505D" w:rsidRPr="004105AF">
        <w:t xml:space="preserve">and describes how to ensure that the </w:t>
      </w:r>
      <w:r w:rsidR="00F14C0D" w:rsidRPr="004105AF">
        <w:t>creditor and purchasing</w:t>
      </w:r>
      <w:r w:rsidR="00E6505D" w:rsidRPr="004105AF">
        <w:t xml:space="preserve"> responsibilities</w:t>
      </w:r>
      <w:r w:rsidR="001516D8" w:rsidRPr="004105AF">
        <w:t xml:space="preserve"> placed on the </w:t>
      </w:r>
      <w:r w:rsidR="006C3E46" w:rsidRPr="004105AF">
        <w:t>Chief Executive</w:t>
      </w:r>
      <w:r w:rsidR="001516D8" w:rsidRPr="004105AF">
        <w:t xml:space="preserve"> and </w:t>
      </w:r>
      <w:r w:rsidR="00547414">
        <w:t xml:space="preserve">Executive Chief Finance Officer </w:t>
      </w:r>
      <w:r w:rsidR="001516D8" w:rsidRPr="004105AF">
        <w:t>are discharged and implemented.</w:t>
      </w:r>
      <w:r w:rsidR="0071557A" w:rsidRPr="004105AF">
        <w:t xml:space="preserve"> </w:t>
      </w:r>
      <w:r w:rsidR="00A860C6" w:rsidRPr="004105AF">
        <w:t xml:space="preserve">Key responsibilities are set out </w:t>
      </w:r>
      <w:r w:rsidR="00327A43" w:rsidRPr="004105AF">
        <w:t>to make staff aware of their responsibilities</w:t>
      </w:r>
      <w:r w:rsidR="000E3EE1" w:rsidRPr="004105AF">
        <w:t>.</w:t>
      </w:r>
    </w:p>
    <w:p w14:paraId="1D027FE2" w14:textId="0F539679" w:rsidR="00F14C0D" w:rsidRPr="004105AF" w:rsidRDefault="00B54165" w:rsidP="004105AF">
      <w:pPr>
        <w:pStyle w:val="Style1"/>
      </w:pPr>
      <w:bookmarkStart w:id="9" w:name="_Hlk111196329"/>
      <w:r w:rsidRPr="004105AF">
        <w:t xml:space="preserve">All revenue and non-pay expenditure must be approved in accordance with the ICB Business Case </w:t>
      </w:r>
      <w:r w:rsidR="00481EE3">
        <w:t>process</w:t>
      </w:r>
      <w:r w:rsidRPr="004105AF">
        <w:t xml:space="preserve"> prior to an agreement being made with a third party that enters a commitment to future expenditure (ICB Standing Financial Instructions 7.1.5</w:t>
      </w:r>
      <w:r w:rsidR="00820B26" w:rsidRPr="004105AF">
        <w:t>).</w:t>
      </w:r>
    </w:p>
    <w:p w14:paraId="33D9D5BD" w14:textId="0C259C24" w:rsidR="00F913CD" w:rsidRDefault="00544FA6" w:rsidP="008E4397">
      <w:pPr>
        <w:pStyle w:val="Heading2"/>
      </w:pPr>
      <w:bookmarkStart w:id="10" w:name="_Toc89326546"/>
      <w:bookmarkStart w:id="11" w:name="_Toc111196204"/>
      <w:bookmarkEnd w:id="9"/>
      <w:r>
        <w:t>Remit</w:t>
      </w:r>
      <w:bookmarkEnd w:id="10"/>
      <w:bookmarkEnd w:id="11"/>
    </w:p>
    <w:p w14:paraId="5CDDC3E1" w14:textId="6E657A34" w:rsidR="004D66D3" w:rsidRPr="00DE6F8E" w:rsidRDefault="004D66D3" w:rsidP="00557B0D">
      <w:pPr>
        <w:pStyle w:val="Style1"/>
      </w:pPr>
      <w:bookmarkStart w:id="12" w:name="_Hlk100577103"/>
      <w:r w:rsidRPr="00DE6F8E">
        <w:rPr>
          <w:rFonts w:eastAsia="Arial"/>
        </w:rPr>
        <w:t>This policy applies to all ICB staff (including temporary/ bank/agency staff), contractors engaged by the ICB and staff from other MSE ICS Partnership organisations working on behalf of the ICB</w:t>
      </w:r>
      <w:r w:rsidR="00A740FC">
        <w:rPr>
          <w:rFonts w:eastAsia="Arial"/>
        </w:rPr>
        <w:t>.</w:t>
      </w:r>
    </w:p>
    <w:p w14:paraId="719ACBDA" w14:textId="03D8B860" w:rsidR="00544FA6" w:rsidRPr="00544FA6" w:rsidRDefault="00557B0D" w:rsidP="00544FA6">
      <w:pPr>
        <w:pStyle w:val="Heading2"/>
      </w:pPr>
      <w:bookmarkStart w:id="13" w:name="_Toc111196205"/>
      <w:bookmarkEnd w:id="12"/>
      <w:r>
        <w:t>D</w:t>
      </w:r>
      <w:r w:rsidR="00544FA6" w:rsidRPr="0015255F">
        <w:t>efinitions</w:t>
      </w:r>
      <w:bookmarkEnd w:id="13"/>
    </w:p>
    <w:p w14:paraId="15360559" w14:textId="7B9A63AA" w:rsidR="00F27EE9" w:rsidRPr="008D15E9" w:rsidRDefault="004A6FBB" w:rsidP="00F27EE9">
      <w:pPr>
        <w:pStyle w:val="ListParagraph"/>
        <w:rPr>
          <w:b/>
          <w:bCs/>
        </w:rPr>
      </w:pPr>
      <w:r>
        <w:rPr>
          <w:b/>
          <w:bCs/>
        </w:rPr>
        <w:t>Better Practice Payment Code</w:t>
      </w:r>
      <w:r>
        <w:t xml:space="preserve"> </w:t>
      </w:r>
      <w:r w:rsidR="00F27EE9">
        <w:t xml:space="preserve">(BPPC) </w:t>
      </w:r>
      <w:r>
        <w:t xml:space="preserve">- </w:t>
      </w:r>
      <w:r w:rsidR="00F27EE9">
        <w:t xml:space="preserve">Code NHS organisations are required to sign up to that encourages good supplier payment practices – notably that at least 95% of valid, undisputed invoices will be paid within 30 days of receipt. </w:t>
      </w:r>
    </w:p>
    <w:p w14:paraId="5C4AC2F8" w14:textId="616770AC" w:rsidR="004A6FBB" w:rsidRPr="008D15E9" w:rsidRDefault="00F619CF" w:rsidP="006B621A">
      <w:pPr>
        <w:pStyle w:val="ListParagraph"/>
        <w:rPr>
          <w:b/>
          <w:bCs/>
        </w:rPr>
      </w:pPr>
      <w:r w:rsidRPr="008D15E9">
        <w:rPr>
          <w:b/>
          <w:bCs/>
        </w:rPr>
        <w:t>Business Case</w:t>
      </w:r>
      <w:r>
        <w:t xml:space="preserve"> </w:t>
      </w:r>
      <w:r w:rsidR="00411737">
        <w:t>–</w:t>
      </w:r>
      <w:r>
        <w:t xml:space="preserve"> </w:t>
      </w:r>
      <w:r w:rsidR="00411737">
        <w:t>a document that provides justification for undertaking a project or programme</w:t>
      </w:r>
      <w:r w:rsidR="00A31A69">
        <w:t xml:space="preserve"> which evaluates benefits, cost and risks of alternative options and provides a rationale for the preferred solution</w:t>
      </w:r>
      <w:r w:rsidR="008E6704">
        <w:t>.</w:t>
      </w:r>
    </w:p>
    <w:p w14:paraId="4BBD6C5B" w14:textId="68D57F57" w:rsidR="000437F6" w:rsidRPr="008D15E9" w:rsidRDefault="000437F6" w:rsidP="006B621A">
      <w:pPr>
        <w:pStyle w:val="ListParagraph"/>
        <w:rPr>
          <w:b/>
          <w:bCs/>
        </w:rPr>
      </w:pPr>
      <w:r>
        <w:rPr>
          <w:b/>
          <w:bCs/>
        </w:rPr>
        <w:t>CDEL</w:t>
      </w:r>
      <w:r>
        <w:t xml:space="preserve"> </w:t>
      </w:r>
      <w:r w:rsidR="006F5DA0">
        <w:t>–</w:t>
      </w:r>
      <w:r>
        <w:t xml:space="preserve"> </w:t>
      </w:r>
      <w:r w:rsidR="006F5DA0">
        <w:t xml:space="preserve">capital </w:t>
      </w:r>
      <w:r w:rsidR="009D3A3B">
        <w:t>departmental</w:t>
      </w:r>
      <w:r w:rsidR="006F5DA0">
        <w:t xml:space="preserve"> expenditure limit </w:t>
      </w:r>
      <w:r w:rsidR="00B854AB">
        <w:t>–</w:t>
      </w:r>
      <w:r w:rsidR="006F5DA0">
        <w:t xml:space="preserve"> </w:t>
      </w:r>
      <w:r w:rsidR="00B854AB">
        <w:t xml:space="preserve">capital resource total allocated to each </w:t>
      </w:r>
      <w:r w:rsidR="00B221D8">
        <w:t>system by NHSE.</w:t>
      </w:r>
    </w:p>
    <w:p w14:paraId="3D2D525F" w14:textId="585A7064" w:rsidR="008B2613" w:rsidRPr="008B2613" w:rsidRDefault="008B2613" w:rsidP="008B2613">
      <w:pPr>
        <w:pStyle w:val="ListParagraph"/>
      </w:pPr>
      <w:r>
        <w:rPr>
          <w:b/>
          <w:bCs/>
        </w:rPr>
        <w:t>Creditor</w:t>
      </w:r>
      <w:r>
        <w:t xml:space="preserve"> - an organisation or individual who is owed money for goods or services provided</w:t>
      </w:r>
      <w:r w:rsidR="008E6704">
        <w:t>.</w:t>
      </w:r>
    </w:p>
    <w:p w14:paraId="01FFAC59" w14:textId="2845C116" w:rsidR="002A570B" w:rsidRDefault="00C33BDA" w:rsidP="002A570B">
      <w:pPr>
        <w:pStyle w:val="ListParagraph"/>
      </w:pPr>
      <w:r>
        <w:rPr>
          <w:b/>
          <w:bCs/>
        </w:rPr>
        <w:t>ICS</w:t>
      </w:r>
      <w:r>
        <w:t xml:space="preserve"> – Integrated Care System - </w:t>
      </w:r>
      <w:r w:rsidR="002A570B">
        <w:t xml:space="preserve">the partners of Mid and South Essex Integrated Care System are Mid and South Essex </w:t>
      </w:r>
      <w:r w:rsidR="00E76460">
        <w:t xml:space="preserve">NHS </w:t>
      </w:r>
      <w:r w:rsidR="002A570B">
        <w:t xml:space="preserve">Foundation Trust, Mid and South Essex Integrated Care Board, Essex Partnership </w:t>
      </w:r>
      <w:r w:rsidR="00E76460">
        <w:t xml:space="preserve">University NHS </w:t>
      </w:r>
      <w:r w:rsidR="002A570B">
        <w:t xml:space="preserve">Foundation Trust, </w:t>
      </w:r>
      <w:proofErr w:type="gramStart"/>
      <w:r w:rsidR="002A570B">
        <w:t>North East</w:t>
      </w:r>
      <w:proofErr w:type="gramEnd"/>
      <w:r w:rsidR="002A570B">
        <w:t xml:space="preserve"> London NHS Foundation </w:t>
      </w:r>
      <w:r w:rsidR="002A570B">
        <w:lastRenderedPageBreak/>
        <w:t>Trust, Essex County Council, Southend Borough Council, Thurrock Borough Council and Provide Community Interest Company.</w:t>
      </w:r>
    </w:p>
    <w:p w14:paraId="7285DAA0" w14:textId="254C0EE3" w:rsidR="00AD5E14" w:rsidRDefault="00AD5E14" w:rsidP="002A570B">
      <w:pPr>
        <w:pStyle w:val="ListParagraph"/>
      </w:pPr>
      <w:r>
        <w:rPr>
          <w:b/>
          <w:bCs/>
        </w:rPr>
        <w:t>IFRS16</w:t>
      </w:r>
      <w:r>
        <w:t xml:space="preserve"> </w:t>
      </w:r>
      <w:r w:rsidR="00615242">
        <w:t>–</w:t>
      </w:r>
      <w:r>
        <w:t xml:space="preserve"> </w:t>
      </w:r>
      <w:r w:rsidR="00615242">
        <w:t xml:space="preserve">International Financial Reporting Standard 16 </w:t>
      </w:r>
      <w:r w:rsidR="009F651A">
        <w:t>–</w:t>
      </w:r>
      <w:r w:rsidR="00615242">
        <w:t xml:space="preserve"> </w:t>
      </w:r>
      <w:r w:rsidR="009F651A">
        <w:t>sets out accounting requirements related to lease accounting.</w:t>
      </w:r>
    </w:p>
    <w:p w14:paraId="4D93915B" w14:textId="4C679972" w:rsidR="00C33BDA" w:rsidRPr="008B2613" w:rsidRDefault="002A570B" w:rsidP="008B2613">
      <w:pPr>
        <w:pStyle w:val="ListParagraph"/>
      </w:pPr>
      <w:r>
        <w:rPr>
          <w:b/>
          <w:bCs/>
        </w:rPr>
        <w:t>ISFE</w:t>
      </w:r>
      <w:r>
        <w:t xml:space="preserve">- Integrated Single Financial Environment – uses standard NHS Oracle Release </w:t>
      </w:r>
      <w:r w:rsidRPr="00F92763">
        <w:t>12</w:t>
      </w:r>
      <w:r>
        <w:t xml:space="preserve"> platform to provide a common accounting system with a single Chart of Accounts and standardised processes and reporting to all ICBs.</w:t>
      </w:r>
    </w:p>
    <w:p w14:paraId="7C3CA316" w14:textId="616DD6EE" w:rsidR="00EE0D6D" w:rsidRPr="008D15E9" w:rsidRDefault="00EE0D6D" w:rsidP="006B621A">
      <w:pPr>
        <w:pStyle w:val="ListParagraph"/>
        <w:rPr>
          <w:b/>
          <w:bCs/>
        </w:rPr>
      </w:pPr>
      <w:r>
        <w:rPr>
          <w:b/>
          <w:bCs/>
        </w:rPr>
        <w:t>Invoice Payment Files (IPF)</w:t>
      </w:r>
      <w:r>
        <w:t xml:space="preserve">- </w:t>
      </w:r>
      <w:r w:rsidR="004361BD">
        <w:t>spreadsheet forms used to submit details of bulk payments to NHS providers via ISFE</w:t>
      </w:r>
      <w:r w:rsidR="0014782B">
        <w:t>.</w:t>
      </w:r>
    </w:p>
    <w:p w14:paraId="0DEA5033" w14:textId="4DDB625E" w:rsidR="00BE6754" w:rsidRPr="008D15E9" w:rsidRDefault="00015B3C" w:rsidP="006B621A">
      <w:pPr>
        <w:pStyle w:val="ListParagraph"/>
        <w:rPr>
          <w:b/>
          <w:bCs/>
        </w:rPr>
      </w:pPr>
      <w:r>
        <w:rPr>
          <w:b/>
          <w:bCs/>
        </w:rPr>
        <w:t>NHS SBS</w:t>
      </w:r>
      <w:r>
        <w:t xml:space="preserve"> – NHS Shared Business Services - </w:t>
      </w:r>
      <w:r w:rsidR="008B2613">
        <w:t>NHSE mandated provider of ledger system and transactional financial services provider</w:t>
      </w:r>
      <w:r w:rsidR="0014782B">
        <w:t>.</w:t>
      </w:r>
    </w:p>
    <w:p w14:paraId="10DC97CE" w14:textId="0419A414" w:rsidR="008B2613" w:rsidRDefault="008B2613" w:rsidP="008B2613">
      <w:pPr>
        <w:pStyle w:val="ListParagraph"/>
      </w:pPr>
      <w:r>
        <w:rPr>
          <w:b/>
          <w:bCs/>
        </w:rPr>
        <w:t>Purchase Order</w:t>
      </w:r>
      <w:r>
        <w:t xml:space="preserve"> - document used to authorise expenditure that </w:t>
      </w:r>
      <w:r w:rsidR="0014782B">
        <w:t>is</w:t>
      </w:r>
      <w:r>
        <w:t xml:space="preserve"> raised in ISFE.</w:t>
      </w:r>
    </w:p>
    <w:p w14:paraId="62EAE5A1" w14:textId="69AAB845" w:rsidR="002A43C1" w:rsidRPr="008B2613" w:rsidRDefault="002A43C1" w:rsidP="008B2613">
      <w:pPr>
        <w:pStyle w:val="ListParagraph"/>
      </w:pPr>
      <w:r>
        <w:rPr>
          <w:b/>
          <w:bCs/>
        </w:rPr>
        <w:t>Purchase Requisition</w:t>
      </w:r>
      <w:r>
        <w:t xml:space="preserve"> – document </w:t>
      </w:r>
      <w:r w:rsidR="005F367D">
        <w:t>co</w:t>
      </w:r>
      <w:r w:rsidR="003F2F36">
        <w:t>mpleted to request that a purchase order is raised in ISFE.</w:t>
      </w:r>
    </w:p>
    <w:p w14:paraId="7A8EB52C" w14:textId="5A95AF18" w:rsidR="00EE622D" w:rsidRPr="008D15E9" w:rsidRDefault="00EE622D" w:rsidP="006B621A">
      <w:pPr>
        <w:pStyle w:val="ListParagraph"/>
        <w:rPr>
          <w:b/>
          <w:bCs/>
        </w:rPr>
      </w:pPr>
      <w:r>
        <w:rPr>
          <w:b/>
          <w:bCs/>
        </w:rPr>
        <w:t>Remittance Advice</w:t>
      </w:r>
      <w:r>
        <w:t xml:space="preserve"> </w:t>
      </w:r>
      <w:r w:rsidR="00CE0C41">
        <w:t>–</w:t>
      </w:r>
      <w:r>
        <w:t xml:space="preserve"> </w:t>
      </w:r>
      <w:r w:rsidR="00CE0C41">
        <w:t>document sent to suppliers to confirm</w:t>
      </w:r>
      <w:r w:rsidR="00FC6261">
        <w:t xml:space="preserve"> an invoice(s) has been paid that helps suppliers to match payments with invoices.</w:t>
      </w:r>
    </w:p>
    <w:p w14:paraId="3B6B2434" w14:textId="27289F6A" w:rsidR="000A7EE1" w:rsidRPr="008D15E9" w:rsidRDefault="000A7EE1" w:rsidP="006B621A">
      <w:pPr>
        <w:pStyle w:val="ListParagraph"/>
        <w:rPr>
          <w:b/>
          <w:bCs/>
        </w:rPr>
      </w:pPr>
      <w:r>
        <w:rPr>
          <w:b/>
          <w:bCs/>
        </w:rPr>
        <w:t>Schedule of detailed delegated financial limits</w:t>
      </w:r>
      <w:r>
        <w:t xml:space="preserve"> - document which shows what authority the Board has delegated to committees or staff under the powers of the Constitution. This is a schedule within the Scheme of Reservation and Delegation (</w:t>
      </w:r>
      <w:proofErr w:type="spellStart"/>
      <w:r>
        <w:t>SoRD</w:t>
      </w:r>
      <w:proofErr w:type="spellEnd"/>
      <w:r>
        <w:t>) within the Constitution.</w:t>
      </w:r>
    </w:p>
    <w:p w14:paraId="0C7EE986" w14:textId="76E37D64" w:rsidR="0061217C" w:rsidRPr="004F0796" w:rsidRDefault="0061217C" w:rsidP="006B621A">
      <w:pPr>
        <w:pStyle w:val="ListParagraph"/>
        <w:rPr>
          <w:b/>
          <w:bCs/>
        </w:rPr>
      </w:pPr>
      <w:r>
        <w:rPr>
          <w:b/>
          <w:bCs/>
        </w:rPr>
        <w:t>Senior Financial Services Officer</w:t>
      </w:r>
      <w:r>
        <w:t xml:space="preserve"> –</w:t>
      </w:r>
      <w:bookmarkStart w:id="14" w:name="_Hlk170913166"/>
      <w:r w:rsidR="00624F37">
        <w:t xml:space="preserve">members of the </w:t>
      </w:r>
      <w:r w:rsidR="00A63C4C">
        <w:t>f</w:t>
      </w:r>
      <w:r w:rsidR="00624F37">
        <w:t xml:space="preserve">inancial </w:t>
      </w:r>
      <w:r w:rsidR="00A63C4C">
        <w:t>s</w:t>
      </w:r>
      <w:r w:rsidR="00624F37">
        <w:t xml:space="preserve">ervices </w:t>
      </w:r>
      <w:r w:rsidR="00A63C4C">
        <w:t>t</w:t>
      </w:r>
      <w:r w:rsidR="00624F37">
        <w:t>eam, grade 8B and above</w:t>
      </w:r>
      <w:bookmarkEnd w:id="14"/>
      <w:r w:rsidR="003F2F36">
        <w:t>.</w:t>
      </w:r>
    </w:p>
    <w:p w14:paraId="7073D5AD" w14:textId="66846FBF" w:rsidR="004F0796" w:rsidRPr="008D15E9" w:rsidRDefault="004F0796" w:rsidP="006B621A">
      <w:pPr>
        <w:pStyle w:val="ListParagraph"/>
        <w:rPr>
          <w:b/>
          <w:bCs/>
        </w:rPr>
      </w:pPr>
      <w:proofErr w:type="spellStart"/>
      <w:r>
        <w:rPr>
          <w:b/>
          <w:bCs/>
        </w:rPr>
        <w:t>Tradeshift</w:t>
      </w:r>
      <w:proofErr w:type="spellEnd"/>
      <w:r>
        <w:t xml:space="preserve"> </w:t>
      </w:r>
      <w:r w:rsidR="007C7912">
        <w:t>–</w:t>
      </w:r>
      <w:r>
        <w:t xml:space="preserve"> </w:t>
      </w:r>
      <w:r w:rsidR="007C7912">
        <w:t xml:space="preserve">NHS SBS e-invoicing </w:t>
      </w:r>
      <w:r w:rsidR="00D15651">
        <w:t>network.</w:t>
      </w:r>
    </w:p>
    <w:p w14:paraId="0FEFFE52" w14:textId="06650D64" w:rsidR="00F913CD" w:rsidRPr="0015255F" w:rsidRDefault="00F913CD" w:rsidP="00C02752">
      <w:pPr>
        <w:pStyle w:val="Heading2"/>
      </w:pPr>
      <w:bookmarkStart w:id="15" w:name="_Toc89326547"/>
      <w:bookmarkStart w:id="16" w:name="_Toc111196206"/>
      <w:r w:rsidRPr="0015255F">
        <w:t>Roles and Responsibilities</w:t>
      </w:r>
      <w:bookmarkEnd w:id="15"/>
      <w:bookmarkEnd w:id="16"/>
    </w:p>
    <w:p w14:paraId="04FC39FB" w14:textId="1BF6FC4D" w:rsidR="00F913CD" w:rsidRPr="008D15E9" w:rsidRDefault="004157B2" w:rsidP="00732AFE">
      <w:pPr>
        <w:pStyle w:val="Heading3"/>
      </w:pPr>
      <w:bookmarkStart w:id="17" w:name="_Toc111196207"/>
      <w:r w:rsidRPr="008D15E9">
        <w:t>Finance</w:t>
      </w:r>
      <w:r w:rsidR="00F913CD" w:rsidRPr="008D15E9">
        <w:t xml:space="preserve"> </w:t>
      </w:r>
      <w:r w:rsidR="005D76E2" w:rsidRPr="008D15E9">
        <w:t xml:space="preserve">and </w:t>
      </w:r>
      <w:r w:rsidR="00EA7165">
        <w:t>Performance</w:t>
      </w:r>
      <w:r w:rsidR="005D76E2" w:rsidRPr="008D15E9">
        <w:t xml:space="preserve"> </w:t>
      </w:r>
      <w:r w:rsidR="00F913CD" w:rsidRPr="008D15E9">
        <w:t>Committee</w:t>
      </w:r>
      <w:bookmarkEnd w:id="17"/>
    </w:p>
    <w:p w14:paraId="670EDED3" w14:textId="5C1FAA34" w:rsidR="00B5413A" w:rsidRDefault="004157B2" w:rsidP="00B5413A">
      <w:pPr>
        <w:pStyle w:val="Style2"/>
      </w:pPr>
      <w:r>
        <w:t xml:space="preserve">The Finance </w:t>
      </w:r>
      <w:r w:rsidR="005D76E2">
        <w:t xml:space="preserve">and </w:t>
      </w:r>
      <w:r w:rsidR="00EA7165">
        <w:t>Performance</w:t>
      </w:r>
      <w:r w:rsidR="005D76E2">
        <w:t xml:space="preserve"> </w:t>
      </w:r>
      <w:r>
        <w:t xml:space="preserve">Committee is responsible for </w:t>
      </w:r>
      <w:r w:rsidR="00B23DC5">
        <w:t>assuring the ICB Board that</w:t>
      </w:r>
      <w:r w:rsidR="00C02752">
        <w:t xml:space="preserve"> </w:t>
      </w:r>
      <w:r w:rsidR="006E6657">
        <w:t xml:space="preserve">investment proposals and procurement routes follow the principles set out in the ICB </w:t>
      </w:r>
      <w:hyperlink r:id="rId11" w:history="1">
        <w:r w:rsidR="006E6657" w:rsidRPr="00497BF9">
          <w:rPr>
            <w:rStyle w:val="Hyperlink"/>
          </w:rPr>
          <w:t>Procurement and Contracting Policy</w:t>
        </w:r>
      </w:hyperlink>
      <w:r w:rsidR="006E6657">
        <w:t xml:space="preserve"> and contained within this policy.</w:t>
      </w:r>
      <w:r w:rsidR="00C56ED5">
        <w:t xml:space="preserve"> The ICB Procurement and Contracting Policy principles are in accordance with the Public Contracts Regulations</w:t>
      </w:r>
      <w:r w:rsidR="0006099F">
        <w:t xml:space="preserve"> 2015 </w:t>
      </w:r>
      <w:r w:rsidR="00892844">
        <w:t xml:space="preserve">(as </w:t>
      </w:r>
      <w:r w:rsidR="00B646D8">
        <w:t>amend</w:t>
      </w:r>
      <w:r w:rsidR="00892844">
        <w:t xml:space="preserve">ed 2020) </w:t>
      </w:r>
      <w:r w:rsidR="0006099F">
        <w:t xml:space="preserve">and associated statutory requirements which </w:t>
      </w:r>
      <w:r w:rsidR="002F2891">
        <w:t xml:space="preserve">aim to </w:t>
      </w:r>
      <w:r w:rsidR="0006099F">
        <w:t xml:space="preserve">secure value for </w:t>
      </w:r>
      <w:r w:rsidR="002054DB">
        <w:t>money and</w:t>
      </w:r>
      <w:r w:rsidR="0006099F">
        <w:t xml:space="preserve"> sustainability (ICB Standing Financial Instructions 7.1.2).</w:t>
      </w:r>
    </w:p>
    <w:p w14:paraId="33824F7E" w14:textId="77777777" w:rsidR="003F2F36" w:rsidRDefault="003F2F36" w:rsidP="003F2F36">
      <w:pPr>
        <w:pStyle w:val="Style2"/>
        <w:numPr>
          <w:ilvl w:val="0"/>
          <w:numId w:val="0"/>
        </w:numPr>
        <w:ind w:left="1134"/>
      </w:pPr>
    </w:p>
    <w:p w14:paraId="3F784DB2" w14:textId="15485E9A" w:rsidR="00B5413A" w:rsidRPr="0015255F" w:rsidRDefault="00B5413A" w:rsidP="00B5413A">
      <w:pPr>
        <w:pStyle w:val="Style2"/>
      </w:pPr>
      <w:r>
        <w:t xml:space="preserve">The Government is expected to publish the </w:t>
      </w:r>
      <w:r w:rsidR="00B646D8">
        <w:t xml:space="preserve">Provider Selection Regime in late 2022 </w:t>
      </w:r>
      <w:r w:rsidR="00490393">
        <w:t xml:space="preserve">and from the date </w:t>
      </w:r>
      <w:r w:rsidR="007229E8">
        <w:t xml:space="preserve">of implementation </w:t>
      </w:r>
      <w:r w:rsidR="00D45458">
        <w:t xml:space="preserve">the ICB </w:t>
      </w:r>
      <w:r w:rsidR="007840F7">
        <w:t xml:space="preserve">Board </w:t>
      </w:r>
      <w:r w:rsidR="00D45458">
        <w:t xml:space="preserve">will have greater freedom to decide whether to follow a competitive </w:t>
      </w:r>
      <w:r w:rsidR="00BE0226">
        <w:t xml:space="preserve">tender </w:t>
      </w:r>
      <w:r w:rsidR="00D45458">
        <w:t xml:space="preserve">process </w:t>
      </w:r>
      <w:r w:rsidR="007840F7">
        <w:t>for healthcare provision</w:t>
      </w:r>
      <w:r w:rsidR="00770325">
        <w:t xml:space="preserve"> with the aim</w:t>
      </w:r>
      <w:r w:rsidR="00532021">
        <w:t>s</w:t>
      </w:r>
      <w:r w:rsidR="00770325">
        <w:t xml:space="preserve"> </w:t>
      </w:r>
      <w:r w:rsidR="00532021">
        <w:t>of</w:t>
      </w:r>
      <w:r w:rsidR="00770325">
        <w:t xml:space="preserve"> improv</w:t>
      </w:r>
      <w:r w:rsidR="00532021">
        <w:t>ing</w:t>
      </w:r>
      <w:r w:rsidR="00770325">
        <w:t xml:space="preserve"> collaboration and</w:t>
      </w:r>
      <w:r w:rsidR="001875AC">
        <w:t xml:space="preserve"> integration of care as well as reducing unnecessary time and costs</w:t>
      </w:r>
      <w:r w:rsidR="002A3C5B">
        <w:t>.</w:t>
      </w:r>
      <w:r w:rsidR="00BE0226">
        <w:t xml:space="preserve"> </w:t>
      </w:r>
      <w:r w:rsidR="00BE0226">
        <w:lastRenderedPageBreak/>
        <w:t>Alongside th</w:t>
      </w:r>
      <w:r w:rsidR="003921E6">
        <w:t xml:space="preserve">is are explicit transparency requirements which will need to be </w:t>
      </w:r>
      <w:r w:rsidR="00532021">
        <w:t>factored in.</w:t>
      </w:r>
      <w:r w:rsidR="002A3C5B">
        <w:t xml:space="preserve"> </w:t>
      </w:r>
    </w:p>
    <w:p w14:paraId="2032CA85" w14:textId="6F427F67" w:rsidR="00F913CD" w:rsidRDefault="00547414" w:rsidP="00732AFE">
      <w:pPr>
        <w:pStyle w:val="Heading3"/>
      </w:pPr>
      <w:bookmarkStart w:id="18" w:name="_Toc111196208"/>
      <w:r>
        <w:t xml:space="preserve">Executive Chief Finance Officer </w:t>
      </w:r>
      <w:bookmarkEnd w:id="18"/>
    </w:p>
    <w:p w14:paraId="5182EEF8" w14:textId="1A2894B0" w:rsidR="00F902DE" w:rsidRDefault="00D0219C" w:rsidP="00F902DE">
      <w:pPr>
        <w:pStyle w:val="Style2"/>
      </w:pPr>
      <w:r>
        <w:t xml:space="preserve">The </w:t>
      </w:r>
      <w:r w:rsidR="00547414">
        <w:t xml:space="preserve">Executive Chief Finance Officer </w:t>
      </w:r>
      <w:r>
        <w:t xml:space="preserve">is responsible for the design and implementation of the </w:t>
      </w:r>
      <w:r w:rsidR="002F2891">
        <w:t>purchasing</w:t>
      </w:r>
      <w:r>
        <w:t xml:space="preserve"> strategy </w:t>
      </w:r>
      <w:r w:rsidR="009F3B23">
        <w:t>and ensuring that relevant financial controls are in place and operating effectively.</w:t>
      </w:r>
    </w:p>
    <w:p w14:paraId="526ADE02" w14:textId="77777777" w:rsidR="002054DB" w:rsidRDefault="002054DB" w:rsidP="002054DB">
      <w:pPr>
        <w:pStyle w:val="Style2"/>
        <w:numPr>
          <w:ilvl w:val="0"/>
          <w:numId w:val="0"/>
        </w:numPr>
        <w:ind w:left="1134"/>
      </w:pPr>
    </w:p>
    <w:p w14:paraId="27848876" w14:textId="0DC6233B" w:rsidR="002054DB" w:rsidRPr="00F902DE" w:rsidRDefault="00452436" w:rsidP="00F902DE">
      <w:pPr>
        <w:pStyle w:val="Style2"/>
      </w:pPr>
      <w:r>
        <w:t>The ICB will increase the volume of purchase orders that are raised</w:t>
      </w:r>
      <w:r w:rsidR="004928E5">
        <w:t xml:space="preserve"> as it moves towards a ‘no purchase order no payment’ </w:t>
      </w:r>
      <w:r w:rsidR="009C2867">
        <w:t>policy.</w:t>
      </w:r>
    </w:p>
    <w:p w14:paraId="4E5B0CF9" w14:textId="28D75816" w:rsidR="00F913CD" w:rsidRDefault="00753609" w:rsidP="00732AFE">
      <w:pPr>
        <w:pStyle w:val="Heading3"/>
      </w:pPr>
      <w:bookmarkStart w:id="19" w:name="_Toc111196209"/>
      <w:r>
        <w:t xml:space="preserve">Financial </w:t>
      </w:r>
      <w:r w:rsidR="00D16474">
        <w:t>Service</w:t>
      </w:r>
      <w:r>
        <w:t>s Tea</w:t>
      </w:r>
      <w:r w:rsidR="006B6035">
        <w:t>m</w:t>
      </w:r>
      <w:bookmarkEnd w:id="19"/>
    </w:p>
    <w:p w14:paraId="3059BD72" w14:textId="18458576" w:rsidR="006B6035" w:rsidRDefault="00BD2E05" w:rsidP="006B6035">
      <w:pPr>
        <w:pStyle w:val="Style2"/>
      </w:pPr>
      <w:r>
        <w:t xml:space="preserve">The </w:t>
      </w:r>
      <w:r w:rsidR="00AF7032">
        <w:t>f</w:t>
      </w:r>
      <w:r>
        <w:t xml:space="preserve">inancial </w:t>
      </w:r>
      <w:r w:rsidR="00D16474">
        <w:t>service</w:t>
      </w:r>
      <w:r>
        <w:t xml:space="preserve">s team </w:t>
      </w:r>
      <w:r w:rsidR="00302D3F">
        <w:t>is</w:t>
      </w:r>
      <w:r>
        <w:t xml:space="preserve"> responsible for ensuring that </w:t>
      </w:r>
      <w:r w:rsidR="00863DFB">
        <w:t>internal control is maintained in accordance with all relevant policie</w:t>
      </w:r>
      <w:r w:rsidR="00B450C7">
        <w:t xml:space="preserve">s, the Standing Financial </w:t>
      </w:r>
      <w:r w:rsidR="000E7BD2">
        <w:t>Instructions,</w:t>
      </w:r>
      <w:r w:rsidR="00B450C7">
        <w:t xml:space="preserve"> and the </w:t>
      </w:r>
      <w:r w:rsidR="00C845FC">
        <w:t>schedule of d</w:t>
      </w:r>
      <w:r w:rsidR="00B450C7">
        <w:t xml:space="preserve">etailed </w:t>
      </w:r>
      <w:r w:rsidR="00C845FC">
        <w:t>delegated financial limits</w:t>
      </w:r>
      <w:r w:rsidR="00B450C7">
        <w:t>.</w:t>
      </w:r>
    </w:p>
    <w:p w14:paraId="37D69570" w14:textId="77777777" w:rsidR="00B450C7" w:rsidRDefault="00B450C7" w:rsidP="00B450C7">
      <w:pPr>
        <w:pStyle w:val="Style2"/>
        <w:numPr>
          <w:ilvl w:val="0"/>
          <w:numId w:val="0"/>
        </w:numPr>
        <w:ind w:left="1134"/>
      </w:pPr>
    </w:p>
    <w:p w14:paraId="6C54B785" w14:textId="61A8164F" w:rsidR="00C23943" w:rsidRDefault="00DD60AE" w:rsidP="00C23943">
      <w:pPr>
        <w:pStyle w:val="Style2"/>
      </w:pPr>
      <w:r>
        <w:t xml:space="preserve">The </w:t>
      </w:r>
      <w:r w:rsidR="00AF7032">
        <w:t>f</w:t>
      </w:r>
      <w:r>
        <w:t xml:space="preserve">inancial </w:t>
      </w:r>
      <w:r w:rsidR="00C845FC">
        <w:t>service</w:t>
      </w:r>
      <w:r>
        <w:t xml:space="preserve">s team </w:t>
      </w:r>
      <w:r w:rsidR="00C845FC">
        <w:t>is</w:t>
      </w:r>
      <w:r>
        <w:t xml:space="preserve"> responsible for ensuring that the key control of segregation of duties </w:t>
      </w:r>
      <w:r w:rsidR="00AB01AF">
        <w:t xml:space="preserve">is </w:t>
      </w:r>
      <w:r w:rsidR="00F831B5">
        <w:t xml:space="preserve">followed in all transactions especially ensuring that </w:t>
      </w:r>
      <w:r w:rsidR="001C7BA1">
        <w:t>requisitioner and authoriser of goods and services are different</w:t>
      </w:r>
      <w:r w:rsidR="00636216">
        <w:t xml:space="preserve"> staff members</w:t>
      </w:r>
      <w:r w:rsidR="001C7BA1">
        <w:t>.</w:t>
      </w:r>
    </w:p>
    <w:p w14:paraId="559C6828" w14:textId="77777777" w:rsidR="00C23943" w:rsidRDefault="00C23943" w:rsidP="00C23943">
      <w:pPr>
        <w:pStyle w:val="Style2"/>
        <w:numPr>
          <w:ilvl w:val="0"/>
          <w:numId w:val="0"/>
        </w:numPr>
        <w:ind w:left="1134"/>
      </w:pPr>
    </w:p>
    <w:p w14:paraId="3C97F2CE" w14:textId="67E60111" w:rsidR="00B056DA" w:rsidRDefault="00C23943" w:rsidP="00B056DA">
      <w:pPr>
        <w:pStyle w:val="Style2"/>
      </w:pPr>
      <w:r>
        <w:t xml:space="preserve">The </w:t>
      </w:r>
      <w:r w:rsidR="00636216">
        <w:t>f</w:t>
      </w:r>
      <w:r>
        <w:t xml:space="preserve">inancial </w:t>
      </w:r>
      <w:r w:rsidR="001E45C2">
        <w:t>service</w:t>
      </w:r>
      <w:r>
        <w:t xml:space="preserve">s team </w:t>
      </w:r>
      <w:r w:rsidR="001E45C2">
        <w:t>is</w:t>
      </w:r>
      <w:r>
        <w:t xml:space="preserve"> responsible for ensuring that all payments for goods and services are made accurately</w:t>
      </w:r>
      <w:r w:rsidR="008D4032">
        <w:t xml:space="preserve"> and that the requirements of the Better Payments Practice Code, to pay suppliers within 30 days of a valid </w:t>
      </w:r>
      <w:r w:rsidR="00B056DA">
        <w:t>invoice, are followed</w:t>
      </w:r>
      <w:r w:rsidR="00D72FE7">
        <w:t xml:space="preserve"> wherever possible.</w:t>
      </w:r>
    </w:p>
    <w:p w14:paraId="1CE5F295" w14:textId="77777777" w:rsidR="00B056DA" w:rsidRDefault="00B056DA" w:rsidP="00B056DA">
      <w:pPr>
        <w:pStyle w:val="Style2"/>
        <w:numPr>
          <w:ilvl w:val="0"/>
          <w:numId w:val="0"/>
        </w:numPr>
        <w:ind w:left="1134"/>
      </w:pPr>
    </w:p>
    <w:p w14:paraId="3683CDE6" w14:textId="37ABD1B0" w:rsidR="008222FB" w:rsidRDefault="005C1142" w:rsidP="008222FB">
      <w:pPr>
        <w:pStyle w:val="Style2"/>
      </w:pPr>
      <w:r>
        <w:t xml:space="preserve">The </w:t>
      </w:r>
      <w:r w:rsidR="00636216">
        <w:t>f</w:t>
      </w:r>
      <w:r>
        <w:t xml:space="preserve">inancial </w:t>
      </w:r>
      <w:r w:rsidR="001E45C2">
        <w:t>service</w:t>
      </w:r>
      <w:r>
        <w:t xml:space="preserve">s team will work to implement processes to keep the number of urgent and manual payments to a minimum </w:t>
      </w:r>
      <w:r w:rsidR="00D6421D">
        <w:t>and</w:t>
      </w:r>
      <w:r>
        <w:t xml:space="preserve"> to identify and </w:t>
      </w:r>
      <w:r w:rsidR="00D7661B">
        <w:t>work with the contracts team to consolidate payments wherever appropriate to reduce the overall number of transactions</w:t>
      </w:r>
      <w:r w:rsidR="008222FB">
        <w:t>.</w:t>
      </w:r>
    </w:p>
    <w:p w14:paraId="4F6ECA62" w14:textId="77777777" w:rsidR="008222FB" w:rsidRDefault="008222FB" w:rsidP="00F97570">
      <w:pPr>
        <w:pStyle w:val="Style2"/>
        <w:numPr>
          <w:ilvl w:val="0"/>
          <w:numId w:val="0"/>
        </w:numPr>
      </w:pPr>
    </w:p>
    <w:p w14:paraId="083B35BC" w14:textId="70E3E20D" w:rsidR="00017866" w:rsidRDefault="00F97570" w:rsidP="00017866">
      <w:pPr>
        <w:pStyle w:val="Style2"/>
      </w:pPr>
      <w:r>
        <w:t xml:space="preserve">The </w:t>
      </w:r>
      <w:r w:rsidR="006D74B2">
        <w:t>f</w:t>
      </w:r>
      <w:r>
        <w:t xml:space="preserve">inancial </w:t>
      </w:r>
      <w:r w:rsidR="00DF4A20">
        <w:t>service</w:t>
      </w:r>
      <w:r>
        <w:t xml:space="preserve">s team will play a key role in </w:t>
      </w:r>
      <w:r w:rsidR="005C7471">
        <w:t xml:space="preserve">increasing the </w:t>
      </w:r>
      <w:r w:rsidR="00FB1D2A">
        <w:t>volume of purchase orders that are raised</w:t>
      </w:r>
      <w:r w:rsidR="00EE49C3">
        <w:t xml:space="preserve"> as the ICB moves towards</w:t>
      </w:r>
      <w:r w:rsidR="006C1D69">
        <w:t xml:space="preserve"> a ‘no purchase order no payment’ policy</w:t>
      </w:r>
      <w:r w:rsidR="00017866">
        <w:t>.</w:t>
      </w:r>
    </w:p>
    <w:p w14:paraId="5654A498" w14:textId="77777777" w:rsidR="00017866" w:rsidRDefault="00017866" w:rsidP="00017866">
      <w:pPr>
        <w:pStyle w:val="Style2"/>
        <w:numPr>
          <w:ilvl w:val="0"/>
          <w:numId w:val="0"/>
        </w:numPr>
        <w:ind w:left="1134"/>
      </w:pPr>
    </w:p>
    <w:p w14:paraId="6F0E9875" w14:textId="31620FE3" w:rsidR="00017866" w:rsidRPr="006B6035" w:rsidRDefault="00017866" w:rsidP="00B056DA">
      <w:pPr>
        <w:pStyle w:val="Style2"/>
      </w:pPr>
      <w:r>
        <w:t xml:space="preserve">The </w:t>
      </w:r>
      <w:r w:rsidR="006D74B2">
        <w:t>f</w:t>
      </w:r>
      <w:r>
        <w:t xml:space="preserve">inancial </w:t>
      </w:r>
      <w:r w:rsidR="008B3676">
        <w:t>service</w:t>
      </w:r>
      <w:r>
        <w:t xml:space="preserve">s team </w:t>
      </w:r>
      <w:r w:rsidR="008B3676">
        <w:t>is</w:t>
      </w:r>
      <w:r>
        <w:t xml:space="preserve"> responsible for </w:t>
      </w:r>
      <w:r w:rsidR="007B2207">
        <w:t>leading the process of proactively managing aged creditors and providing updates</w:t>
      </w:r>
      <w:r w:rsidR="00D01A91">
        <w:t xml:space="preserve"> for monthly </w:t>
      </w:r>
      <w:r w:rsidR="00E30D2F">
        <w:t>F</w:t>
      </w:r>
      <w:r w:rsidR="00D01A91">
        <w:t xml:space="preserve">inance </w:t>
      </w:r>
      <w:r w:rsidR="00E30D2F">
        <w:t>R</w:t>
      </w:r>
      <w:r w:rsidR="00D01A91">
        <w:t>eports as required.</w:t>
      </w:r>
    </w:p>
    <w:p w14:paraId="300190D4" w14:textId="54A2F452" w:rsidR="006071C1" w:rsidRDefault="006071C1" w:rsidP="006B6035">
      <w:pPr>
        <w:pStyle w:val="Heading3"/>
      </w:pPr>
      <w:bookmarkStart w:id="20" w:name="_Toc111196210"/>
      <w:r>
        <w:t>Finance Business Partners</w:t>
      </w:r>
      <w:bookmarkEnd w:id="20"/>
    </w:p>
    <w:p w14:paraId="278F4A29" w14:textId="00E8BFA0" w:rsidR="00DD2ECA" w:rsidRDefault="00D45605" w:rsidP="00D01A91">
      <w:pPr>
        <w:pStyle w:val="Style2"/>
      </w:pPr>
      <w:r>
        <w:t xml:space="preserve">Finance </w:t>
      </w:r>
      <w:r w:rsidR="009B19AF">
        <w:t>b</w:t>
      </w:r>
      <w:r>
        <w:t xml:space="preserve">usiness </w:t>
      </w:r>
      <w:r w:rsidR="009B19AF">
        <w:t>p</w:t>
      </w:r>
      <w:r>
        <w:t xml:space="preserve">artners </w:t>
      </w:r>
      <w:r w:rsidR="00D77307">
        <w:t xml:space="preserve">and their teams </w:t>
      </w:r>
      <w:r>
        <w:t xml:space="preserve">are responsible for </w:t>
      </w:r>
      <w:r w:rsidR="00311E95">
        <w:t>liai</w:t>
      </w:r>
      <w:r w:rsidR="008C568F">
        <w:t>sing with</w:t>
      </w:r>
      <w:r w:rsidR="00311E95">
        <w:t xml:space="preserve"> </w:t>
      </w:r>
      <w:r w:rsidR="009B19AF">
        <w:t>b</w:t>
      </w:r>
      <w:r w:rsidR="00311E95">
        <w:t xml:space="preserve">udget </w:t>
      </w:r>
      <w:r w:rsidR="009B19AF">
        <w:t>h</w:t>
      </w:r>
      <w:r w:rsidR="00311E95">
        <w:t xml:space="preserve">olders to </w:t>
      </w:r>
      <w:r w:rsidR="008C568F">
        <w:t>signpost them to</w:t>
      </w:r>
      <w:r w:rsidR="003F1A9A">
        <w:t xml:space="preserve"> the requirements of the </w:t>
      </w:r>
      <w:r w:rsidR="00D77307">
        <w:t xml:space="preserve">schedule of </w:t>
      </w:r>
      <w:r w:rsidR="00DA2BD7">
        <w:t>d</w:t>
      </w:r>
      <w:r w:rsidR="003F1A9A">
        <w:t xml:space="preserve">etailed </w:t>
      </w:r>
      <w:r w:rsidR="00D77307">
        <w:t>delegated financial limits</w:t>
      </w:r>
      <w:r w:rsidR="003F1A9A">
        <w:t xml:space="preserve"> and the ICB’s Procurement and </w:t>
      </w:r>
      <w:r w:rsidR="003F1A9A">
        <w:lastRenderedPageBreak/>
        <w:t xml:space="preserve">Contracting </w:t>
      </w:r>
      <w:r w:rsidR="008C568F">
        <w:t xml:space="preserve">Policy and obtain appropriate advice from </w:t>
      </w:r>
      <w:r w:rsidR="00237F68">
        <w:t>the ICB’s procurement advisors</w:t>
      </w:r>
      <w:r w:rsidR="008C568F">
        <w:t xml:space="preserve"> when considering </w:t>
      </w:r>
      <w:r w:rsidR="00687C0A">
        <w:t>entering</w:t>
      </w:r>
      <w:r w:rsidR="008C568F">
        <w:t xml:space="preserve"> contractual relationships with suppliers.</w:t>
      </w:r>
    </w:p>
    <w:p w14:paraId="4EE6E080" w14:textId="77777777" w:rsidR="00DD2ECA" w:rsidRDefault="00DD2ECA" w:rsidP="00DD2ECA">
      <w:pPr>
        <w:pStyle w:val="Style2"/>
        <w:numPr>
          <w:ilvl w:val="0"/>
          <w:numId w:val="0"/>
        </w:numPr>
        <w:ind w:left="1134"/>
      </w:pPr>
    </w:p>
    <w:p w14:paraId="0A83D113" w14:textId="75C3372B" w:rsidR="00D01A91" w:rsidRDefault="001E0D53" w:rsidP="00D01A91">
      <w:pPr>
        <w:pStyle w:val="Style2"/>
      </w:pPr>
      <w:r>
        <w:t xml:space="preserve">Finance </w:t>
      </w:r>
      <w:r w:rsidR="00DA2BD7">
        <w:t>b</w:t>
      </w:r>
      <w:r>
        <w:t xml:space="preserve">usiness </w:t>
      </w:r>
      <w:r w:rsidR="00DA2BD7">
        <w:t>p</w:t>
      </w:r>
      <w:r>
        <w:t xml:space="preserve">artners play a key liaison role between the </w:t>
      </w:r>
      <w:r w:rsidR="00DA2BD7">
        <w:t>f</w:t>
      </w:r>
      <w:r>
        <w:t xml:space="preserve">inancial </w:t>
      </w:r>
      <w:r w:rsidR="00237F68">
        <w:t>service</w:t>
      </w:r>
      <w:r>
        <w:t xml:space="preserve">s </w:t>
      </w:r>
      <w:r w:rsidR="00DA2BD7">
        <w:t>t</w:t>
      </w:r>
      <w:r>
        <w:t xml:space="preserve">eam and </w:t>
      </w:r>
      <w:r w:rsidR="00DA2BD7">
        <w:t>b</w:t>
      </w:r>
      <w:r>
        <w:t xml:space="preserve">udget </w:t>
      </w:r>
      <w:r w:rsidR="00DA2BD7">
        <w:t>h</w:t>
      </w:r>
      <w:r>
        <w:t xml:space="preserve">olders </w:t>
      </w:r>
      <w:r w:rsidR="003F7784">
        <w:t xml:space="preserve">to ensure </w:t>
      </w:r>
      <w:r w:rsidR="008C5E86">
        <w:t xml:space="preserve">training needs are identified and training is delivered </w:t>
      </w:r>
      <w:r w:rsidR="00400F76">
        <w:t xml:space="preserve">including raising purchase requisitions and purchase orders, ensuring </w:t>
      </w:r>
      <w:r w:rsidR="00DF0B0B">
        <w:t xml:space="preserve">appropriate financial codes and budgets are identified before expenditure is committed, </w:t>
      </w:r>
      <w:r w:rsidR="00B67D87">
        <w:t xml:space="preserve">assisting budget holders to code and clear invoices and process goods </w:t>
      </w:r>
      <w:r w:rsidR="00155F08">
        <w:t xml:space="preserve">and services </w:t>
      </w:r>
      <w:r w:rsidR="00B67D87">
        <w:t>receipts</w:t>
      </w:r>
      <w:r w:rsidR="0066468B">
        <w:t xml:space="preserve"> and identifying opportunities to consolidate invoicing.</w:t>
      </w:r>
    </w:p>
    <w:p w14:paraId="28275F69" w14:textId="77777777" w:rsidR="0066468B" w:rsidRDefault="0066468B" w:rsidP="0066468B">
      <w:pPr>
        <w:pStyle w:val="Style2"/>
        <w:numPr>
          <w:ilvl w:val="0"/>
          <w:numId w:val="0"/>
        </w:numPr>
        <w:ind w:left="1134"/>
      </w:pPr>
    </w:p>
    <w:p w14:paraId="5AD08BAB" w14:textId="1E358F6C" w:rsidR="0066468B" w:rsidRPr="00D01A91" w:rsidRDefault="0066468B" w:rsidP="00D01A91">
      <w:pPr>
        <w:pStyle w:val="Style2"/>
      </w:pPr>
      <w:r>
        <w:t xml:space="preserve">Finance </w:t>
      </w:r>
      <w:r w:rsidR="00BF5C84">
        <w:t>b</w:t>
      </w:r>
      <w:r>
        <w:t xml:space="preserve">usiness </w:t>
      </w:r>
      <w:r w:rsidR="00BF5C84">
        <w:t>p</w:t>
      </w:r>
      <w:r>
        <w:t xml:space="preserve">artners will work with </w:t>
      </w:r>
      <w:r w:rsidR="00BF5C84">
        <w:t>b</w:t>
      </w:r>
      <w:r>
        <w:t xml:space="preserve">udget </w:t>
      </w:r>
      <w:r w:rsidR="00BF5C84">
        <w:t>h</w:t>
      </w:r>
      <w:r>
        <w:t xml:space="preserve">olders to reduce the need for urgent and manual payments </w:t>
      </w:r>
      <w:r w:rsidR="00097FB8">
        <w:t xml:space="preserve">and are the key contact to identify </w:t>
      </w:r>
      <w:r w:rsidR="00796E21">
        <w:t>changes to budget holder responsibilities that need to be reflected in Delegation of Authority forms.</w:t>
      </w:r>
    </w:p>
    <w:p w14:paraId="1C28462F" w14:textId="2AC56706" w:rsidR="00F913CD" w:rsidRDefault="0040716E" w:rsidP="009B07B3">
      <w:pPr>
        <w:pStyle w:val="Heading3"/>
      </w:pPr>
      <w:bookmarkStart w:id="21" w:name="_Toc111196211"/>
      <w:r>
        <w:t>Budget Holders</w:t>
      </w:r>
      <w:bookmarkEnd w:id="21"/>
    </w:p>
    <w:p w14:paraId="0529D864" w14:textId="3D5B70DA" w:rsidR="008C6BDA" w:rsidRDefault="00420494" w:rsidP="008C6BDA">
      <w:pPr>
        <w:pStyle w:val="Style2"/>
      </w:pPr>
      <w:r>
        <w:t xml:space="preserve">Budget </w:t>
      </w:r>
      <w:r w:rsidR="00BF5C84">
        <w:t>h</w:t>
      </w:r>
      <w:r>
        <w:t xml:space="preserve">olders are responsible for </w:t>
      </w:r>
      <w:r w:rsidR="0022398E">
        <w:t xml:space="preserve">seeking competitive quotes and/or </w:t>
      </w:r>
      <w:proofErr w:type="gramStart"/>
      <w:r w:rsidR="00687C0A">
        <w:t>entering</w:t>
      </w:r>
      <w:r w:rsidR="0022398E">
        <w:t xml:space="preserve"> </w:t>
      </w:r>
      <w:r w:rsidR="00530E23">
        <w:t>into</w:t>
      </w:r>
      <w:proofErr w:type="gramEnd"/>
      <w:r w:rsidR="009A5855">
        <w:t xml:space="preserve"> </w:t>
      </w:r>
      <w:r w:rsidR="0022398E">
        <w:t xml:space="preserve">full tendering processes as required </w:t>
      </w:r>
      <w:r w:rsidR="00D07543">
        <w:t xml:space="preserve">by the </w:t>
      </w:r>
      <w:r w:rsidR="009A5855">
        <w:t xml:space="preserve">schedule of </w:t>
      </w:r>
      <w:r w:rsidR="00BF5C84">
        <w:t>d</w:t>
      </w:r>
      <w:r w:rsidR="00D07543">
        <w:t xml:space="preserve">etailed </w:t>
      </w:r>
      <w:r w:rsidR="009A5855">
        <w:t>delegated financial limits</w:t>
      </w:r>
      <w:r w:rsidR="00D07543">
        <w:t xml:space="preserve"> and the ICB Procurement and Contracting Policy.</w:t>
      </w:r>
      <w:r w:rsidR="009A5855">
        <w:t xml:space="preserve"> Budget Holders are also required to </w:t>
      </w:r>
      <w:r w:rsidR="007F26D6">
        <w:t xml:space="preserve">follow </w:t>
      </w:r>
      <w:r w:rsidR="00B1362D">
        <w:t>the ICB’s Conflicts of Interest and Standards of Business Conduct Policies.</w:t>
      </w:r>
    </w:p>
    <w:p w14:paraId="7805358E" w14:textId="77777777" w:rsidR="008C6BDA" w:rsidRDefault="008C6BDA" w:rsidP="008C6BDA">
      <w:pPr>
        <w:pStyle w:val="Style2"/>
        <w:numPr>
          <w:ilvl w:val="0"/>
          <w:numId w:val="0"/>
        </w:numPr>
        <w:ind w:left="1134"/>
      </w:pPr>
    </w:p>
    <w:p w14:paraId="4F384928" w14:textId="299E002C" w:rsidR="008C6BDA" w:rsidRDefault="008C6BDA" w:rsidP="008C6BDA">
      <w:pPr>
        <w:pStyle w:val="Style2"/>
      </w:pPr>
      <w:r>
        <w:t xml:space="preserve">Budget holders </w:t>
      </w:r>
      <w:r w:rsidR="000D194C">
        <w:t xml:space="preserve">should note </w:t>
      </w:r>
      <w:r w:rsidR="00ED72EB">
        <w:t xml:space="preserve">the limited </w:t>
      </w:r>
      <w:r w:rsidR="00351128">
        <w:t xml:space="preserve">and exceptional </w:t>
      </w:r>
      <w:r w:rsidR="00ED72EB">
        <w:t>circumstances under which tender waivers can be used</w:t>
      </w:r>
      <w:r w:rsidR="007434CB">
        <w:t xml:space="preserve"> as set out in the Procurement and Contracting Polic</w:t>
      </w:r>
      <w:r w:rsidR="005A629F">
        <w:t xml:space="preserve">y. </w:t>
      </w:r>
    </w:p>
    <w:p w14:paraId="70E84996" w14:textId="77777777" w:rsidR="00D07543" w:rsidRDefault="00D07543" w:rsidP="00D07543">
      <w:pPr>
        <w:pStyle w:val="Style2"/>
        <w:numPr>
          <w:ilvl w:val="0"/>
          <w:numId w:val="0"/>
        </w:numPr>
        <w:ind w:left="1134"/>
      </w:pPr>
    </w:p>
    <w:p w14:paraId="5FBCCBAF" w14:textId="17F04D08" w:rsidR="00685A79" w:rsidRDefault="00D07543" w:rsidP="00685A79">
      <w:pPr>
        <w:pStyle w:val="Style2"/>
      </w:pPr>
      <w:r>
        <w:t xml:space="preserve">Budget </w:t>
      </w:r>
      <w:r w:rsidR="00BF5C84">
        <w:t>h</w:t>
      </w:r>
      <w:r>
        <w:t xml:space="preserve">olders are required to obtain advice </w:t>
      </w:r>
      <w:r w:rsidR="00DA1014">
        <w:t>from the contracts team and if appropriate the ICB’s procurement advisors, to establish the appropriate procurement pathway</w:t>
      </w:r>
      <w:r w:rsidR="00685A79">
        <w:t xml:space="preserve"> depending on the type and value of the proposed purchase.</w:t>
      </w:r>
    </w:p>
    <w:p w14:paraId="11F0D8E0" w14:textId="77777777" w:rsidR="00685A79" w:rsidRDefault="00685A79" w:rsidP="00685A79">
      <w:pPr>
        <w:pStyle w:val="Style2"/>
        <w:numPr>
          <w:ilvl w:val="0"/>
          <w:numId w:val="0"/>
        </w:numPr>
        <w:ind w:left="1134"/>
      </w:pPr>
    </w:p>
    <w:p w14:paraId="51F91C46" w14:textId="526107DF" w:rsidR="002C1E94" w:rsidRDefault="009726FF" w:rsidP="002C1E94">
      <w:pPr>
        <w:pStyle w:val="Style2"/>
      </w:pPr>
      <w:r>
        <w:t xml:space="preserve">Budget </w:t>
      </w:r>
      <w:r w:rsidR="00EF35D3">
        <w:t>h</w:t>
      </w:r>
      <w:r>
        <w:t xml:space="preserve">olders are responsible for updating the </w:t>
      </w:r>
      <w:r w:rsidR="00EF35D3">
        <w:t>c</w:t>
      </w:r>
      <w:r>
        <w:t xml:space="preserve">ontracts team with </w:t>
      </w:r>
      <w:r w:rsidR="00441A2C">
        <w:t>details of quotes, contract details and updates as appropriate.</w:t>
      </w:r>
    </w:p>
    <w:p w14:paraId="1E0F749B" w14:textId="77777777" w:rsidR="002C1E94" w:rsidRDefault="002C1E94" w:rsidP="002C1E94">
      <w:pPr>
        <w:pStyle w:val="Style2"/>
        <w:numPr>
          <w:ilvl w:val="0"/>
          <w:numId w:val="0"/>
        </w:numPr>
        <w:ind w:left="1134"/>
      </w:pPr>
    </w:p>
    <w:p w14:paraId="735700A1" w14:textId="703A55C3" w:rsidR="009F222E" w:rsidRDefault="003369ED" w:rsidP="00CD02C5">
      <w:pPr>
        <w:pStyle w:val="Style2"/>
      </w:pPr>
      <w:r>
        <w:t>Budget holders are not authorised to enter into a lease agreement before discussing with a senior financial services officer to establish if the agreement is likely to have an impact on the system</w:t>
      </w:r>
      <w:r w:rsidR="00446819">
        <w:t xml:space="preserve">’s Capital Departmental Expenditure Limit </w:t>
      </w:r>
      <w:r w:rsidR="007B1789">
        <w:t xml:space="preserve">(CDEL) </w:t>
      </w:r>
      <w:r w:rsidR="00446819">
        <w:t>under IFRS16.</w:t>
      </w:r>
      <w:r w:rsidR="007B1789">
        <w:t xml:space="preserve"> If an impact is anticipated the expenditure cannot be committed unless the System Investment Group (SIG) agrees to include the expenditure in the </w:t>
      </w:r>
      <w:r w:rsidR="00D10F7C">
        <w:t xml:space="preserve">relevant </w:t>
      </w:r>
      <w:r w:rsidR="007B1789">
        <w:t>year’s capital plans.</w:t>
      </w:r>
    </w:p>
    <w:p w14:paraId="4886B83E" w14:textId="77777777" w:rsidR="009F222E" w:rsidRDefault="009F222E" w:rsidP="008D15E9">
      <w:pPr>
        <w:pStyle w:val="Style2"/>
        <w:numPr>
          <w:ilvl w:val="0"/>
          <w:numId w:val="0"/>
        </w:numPr>
        <w:ind w:left="1134"/>
      </w:pPr>
    </w:p>
    <w:p w14:paraId="204EF207" w14:textId="0F48DA35" w:rsidR="00315206" w:rsidRDefault="00315206" w:rsidP="00796E21">
      <w:pPr>
        <w:pStyle w:val="Style2"/>
      </w:pPr>
      <w:r>
        <w:t xml:space="preserve">Budget </w:t>
      </w:r>
      <w:r w:rsidR="00EF35D3">
        <w:t>h</w:t>
      </w:r>
      <w:r>
        <w:t xml:space="preserve">olders are responsible for </w:t>
      </w:r>
      <w:r w:rsidR="00933DCE">
        <w:t>ensuring that adequate budget is available and identified before committing expenditure.</w:t>
      </w:r>
    </w:p>
    <w:p w14:paraId="64DA758B" w14:textId="77777777" w:rsidR="00933DCE" w:rsidRDefault="00933DCE" w:rsidP="00933DCE">
      <w:pPr>
        <w:pStyle w:val="Style2"/>
        <w:numPr>
          <w:ilvl w:val="0"/>
          <w:numId w:val="0"/>
        </w:numPr>
        <w:ind w:left="1134"/>
      </w:pPr>
    </w:p>
    <w:p w14:paraId="2A3FE738" w14:textId="09D3E0FA" w:rsidR="00C927F2" w:rsidRDefault="00933DCE" w:rsidP="00C927F2">
      <w:pPr>
        <w:pStyle w:val="Style2"/>
      </w:pPr>
      <w:r>
        <w:t xml:space="preserve">Budget </w:t>
      </w:r>
      <w:r w:rsidR="00EF35D3">
        <w:t>h</w:t>
      </w:r>
      <w:r>
        <w:t xml:space="preserve">olders are required to </w:t>
      </w:r>
      <w:r w:rsidR="005973EF">
        <w:t xml:space="preserve">engage with the programme to </w:t>
      </w:r>
      <w:r w:rsidR="00E413EA">
        <w:t>increase the volume of</w:t>
      </w:r>
      <w:r w:rsidR="00D10F7C">
        <w:t xml:space="preserve"> </w:t>
      </w:r>
      <w:r w:rsidR="005973EF">
        <w:t>purchase order</w:t>
      </w:r>
      <w:r w:rsidR="00E413EA">
        <w:t>s raise</w:t>
      </w:r>
      <w:r w:rsidR="00F94121">
        <w:t>d</w:t>
      </w:r>
      <w:r w:rsidR="00766C36">
        <w:t xml:space="preserve"> before expenditure is committed</w:t>
      </w:r>
      <w:r w:rsidR="00FB7480">
        <w:t xml:space="preserve">. Budget </w:t>
      </w:r>
      <w:r w:rsidR="00251B8C">
        <w:t>h</w:t>
      </w:r>
      <w:r w:rsidR="00FB7480">
        <w:t xml:space="preserve">olders are required to receipt goods and services </w:t>
      </w:r>
      <w:r w:rsidR="00727876">
        <w:t>as soon as practica</w:t>
      </w:r>
      <w:r w:rsidR="003368A4">
        <w:t>l</w:t>
      </w:r>
      <w:r w:rsidR="00D10F7C">
        <w:t xml:space="preserve"> </w:t>
      </w:r>
      <w:r w:rsidR="00727876">
        <w:t xml:space="preserve">and ensure that non-purchase order invoices are coded and authorised for payment promptly to adhere to the Better Payments Practice Code requirement to pay all </w:t>
      </w:r>
      <w:r w:rsidR="00251B8C">
        <w:t xml:space="preserve">valid </w:t>
      </w:r>
      <w:r w:rsidR="00CA30C1">
        <w:t>invoices within 30 days of receipt</w:t>
      </w:r>
      <w:r w:rsidR="00251B8C">
        <w:t>.</w:t>
      </w:r>
      <w:r w:rsidR="00455088">
        <w:t xml:space="preserve"> </w:t>
      </w:r>
      <w:r w:rsidR="008B1F45">
        <w:t>T</w:t>
      </w:r>
      <w:r w:rsidR="00455088">
        <w:t xml:space="preserve">he ISFE system </w:t>
      </w:r>
      <w:r w:rsidR="008B1F45">
        <w:t>auto-</w:t>
      </w:r>
      <w:r w:rsidR="00455088">
        <w:t>matches invoices to purchase orders</w:t>
      </w:r>
      <w:r w:rsidR="00EF128D">
        <w:t xml:space="preserve"> but where the details are different the budget holder will need to </w:t>
      </w:r>
      <w:r w:rsidR="004235F0">
        <w:t xml:space="preserve">liaise with the financial services team to </w:t>
      </w:r>
      <w:r w:rsidR="003039F4">
        <w:t>clear the invoices</w:t>
      </w:r>
      <w:r w:rsidR="00C927F2">
        <w:t xml:space="preserve"> for payment.</w:t>
      </w:r>
    </w:p>
    <w:p w14:paraId="485CC6B5" w14:textId="77777777" w:rsidR="00C927F2" w:rsidRDefault="00C927F2" w:rsidP="00C927F2">
      <w:pPr>
        <w:pStyle w:val="Style2"/>
        <w:numPr>
          <w:ilvl w:val="0"/>
          <w:numId w:val="0"/>
        </w:numPr>
        <w:ind w:left="1134"/>
      </w:pPr>
    </w:p>
    <w:p w14:paraId="050AF622" w14:textId="6062B6ED" w:rsidR="00EB43AE" w:rsidRDefault="00EB43AE" w:rsidP="00CA30C1">
      <w:pPr>
        <w:pStyle w:val="Style2"/>
      </w:pPr>
      <w:r>
        <w:t>ISFE has an in-built h</w:t>
      </w:r>
      <w:r w:rsidR="009B33DD">
        <w:t xml:space="preserve">ierarchy for escalating invoices or other documents that are not dealt with in the prescribed timescale. </w:t>
      </w:r>
      <w:r w:rsidR="0033346C">
        <w:t xml:space="preserve">These timescales are communicated to budget holders in reminder emails that are </w:t>
      </w:r>
      <w:r w:rsidR="00C927F2">
        <w:t xml:space="preserve">auto </w:t>
      </w:r>
      <w:r w:rsidR="008C6BDA">
        <w:t>generated,</w:t>
      </w:r>
      <w:r w:rsidR="00EA149F">
        <w:t xml:space="preserve"> and each Oracle user has a </w:t>
      </w:r>
      <w:r w:rsidR="00350E79">
        <w:t xml:space="preserve">superior in the system defined </w:t>
      </w:r>
      <w:r w:rsidR="00E4210A">
        <w:t>in the Delegation of Authority form.</w:t>
      </w:r>
    </w:p>
    <w:p w14:paraId="4C2182A5" w14:textId="77777777" w:rsidR="00CA30C1" w:rsidRDefault="00CA30C1" w:rsidP="00CA30C1">
      <w:pPr>
        <w:pStyle w:val="Style2"/>
        <w:numPr>
          <w:ilvl w:val="0"/>
          <w:numId w:val="0"/>
        </w:numPr>
        <w:ind w:left="1134"/>
      </w:pPr>
    </w:p>
    <w:p w14:paraId="6881E731" w14:textId="382C15E3" w:rsidR="00CA30C1" w:rsidRPr="00796E21" w:rsidRDefault="00CA30C1" w:rsidP="00796E21">
      <w:pPr>
        <w:pStyle w:val="Style2"/>
      </w:pPr>
      <w:r>
        <w:t xml:space="preserve">Budget holders are also required to assist the </w:t>
      </w:r>
      <w:r w:rsidR="00251B8C">
        <w:t>f</w:t>
      </w:r>
      <w:r>
        <w:t xml:space="preserve">inancial </w:t>
      </w:r>
      <w:r w:rsidR="00251B8C">
        <w:t>a</w:t>
      </w:r>
      <w:r>
        <w:t xml:space="preserve">ccounts team to </w:t>
      </w:r>
      <w:r w:rsidR="007560FC">
        <w:t>move to</w:t>
      </w:r>
      <w:r w:rsidR="006713EE">
        <w:t>wards</w:t>
      </w:r>
      <w:r w:rsidR="007560FC">
        <w:t xml:space="preserve"> 100% e-invoicing by </w:t>
      </w:r>
      <w:r w:rsidR="006713EE">
        <w:t>encouraging their suppliers to invoice electronically.</w:t>
      </w:r>
    </w:p>
    <w:p w14:paraId="5F8853CC" w14:textId="70CD8B18" w:rsidR="00F913CD" w:rsidRDefault="009B1324" w:rsidP="00732AFE">
      <w:pPr>
        <w:pStyle w:val="Heading3"/>
      </w:pPr>
      <w:bookmarkStart w:id="22" w:name="_Toc111196212"/>
      <w:r>
        <w:t>NHS SBS</w:t>
      </w:r>
      <w:r w:rsidR="006713EE">
        <w:t xml:space="preserve"> Payments</w:t>
      </w:r>
      <w:r w:rsidR="00707A4C">
        <w:t>/Invoices</w:t>
      </w:r>
      <w:r w:rsidR="006713EE">
        <w:t xml:space="preserve"> Team</w:t>
      </w:r>
      <w:bookmarkEnd w:id="22"/>
    </w:p>
    <w:p w14:paraId="620F5345" w14:textId="79E136CD" w:rsidR="00B81297" w:rsidRDefault="00BC77F0" w:rsidP="00BC77F0">
      <w:pPr>
        <w:pStyle w:val="Style2"/>
      </w:pPr>
      <w:r>
        <w:t xml:space="preserve">The SBS </w:t>
      </w:r>
      <w:r w:rsidR="007F78E5">
        <w:t>p</w:t>
      </w:r>
      <w:r w:rsidR="006713EE">
        <w:t>ayments</w:t>
      </w:r>
      <w:r>
        <w:t xml:space="preserve"> </w:t>
      </w:r>
      <w:r w:rsidR="007F78E5">
        <w:t>t</w:t>
      </w:r>
      <w:r>
        <w:t xml:space="preserve">eam are responsible for </w:t>
      </w:r>
      <w:r w:rsidR="007274E5">
        <w:t xml:space="preserve">setting up and amending </w:t>
      </w:r>
      <w:r w:rsidR="006713EE">
        <w:t>supplier</w:t>
      </w:r>
      <w:r w:rsidR="007274E5">
        <w:t xml:space="preserve"> account details based on information and evidence forwarded by the </w:t>
      </w:r>
      <w:r w:rsidR="007F78E5">
        <w:t>f</w:t>
      </w:r>
      <w:r w:rsidR="007274E5">
        <w:t xml:space="preserve">inancial </w:t>
      </w:r>
      <w:r w:rsidR="00A559FA">
        <w:t>service</w:t>
      </w:r>
      <w:r w:rsidR="007274E5">
        <w:t xml:space="preserve">s </w:t>
      </w:r>
      <w:r w:rsidR="007F78E5">
        <w:t>t</w:t>
      </w:r>
      <w:r w:rsidR="007274E5">
        <w:t>eam.</w:t>
      </w:r>
      <w:r w:rsidR="00761A75">
        <w:t xml:space="preserve"> The financial services team obtain a copy of the organisation’s </w:t>
      </w:r>
      <w:r w:rsidR="00853E61">
        <w:t xml:space="preserve">invoice or letter headed paper that includes the bank details and SBS carry out all security checks in line with the national </w:t>
      </w:r>
      <w:r w:rsidR="00425DE7">
        <w:t>NHSE contract.</w:t>
      </w:r>
    </w:p>
    <w:p w14:paraId="06FE5639" w14:textId="77777777" w:rsidR="007F78E5" w:rsidRDefault="007F78E5" w:rsidP="007F78E5">
      <w:pPr>
        <w:pStyle w:val="Style2"/>
        <w:numPr>
          <w:ilvl w:val="0"/>
          <w:numId w:val="0"/>
        </w:numPr>
        <w:ind w:left="1134"/>
      </w:pPr>
    </w:p>
    <w:p w14:paraId="6A23440F" w14:textId="37D935CC" w:rsidR="001C3B7B" w:rsidRDefault="00084E58" w:rsidP="001C3B7B">
      <w:pPr>
        <w:pStyle w:val="Style2"/>
      </w:pPr>
      <w:r>
        <w:t xml:space="preserve">The SBS </w:t>
      </w:r>
      <w:r w:rsidR="007F78E5">
        <w:t>p</w:t>
      </w:r>
      <w:r w:rsidR="00F3293D">
        <w:t>ayments</w:t>
      </w:r>
      <w:r>
        <w:t xml:space="preserve"> </w:t>
      </w:r>
      <w:r w:rsidR="007F78E5">
        <w:t>t</w:t>
      </w:r>
      <w:r>
        <w:t xml:space="preserve">eam will deal with any system related issues </w:t>
      </w:r>
      <w:r w:rsidR="00866083">
        <w:t xml:space="preserve">with the process of </w:t>
      </w:r>
      <w:r w:rsidR="00F3293D">
        <w:t>purchase orders and</w:t>
      </w:r>
      <w:r w:rsidR="00866083">
        <w:t xml:space="preserve"> invoices notifying the </w:t>
      </w:r>
      <w:r w:rsidR="001C3B7B">
        <w:t>f</w:t>
      </w:r>
      <w:r w:rsidR="00866083">
        <w:t xml:space="preserve">inancial </w:t>
      </w:r>
      <w:r w:rsidR="00A559FA">
        <w:t>service</w:t>
      </w:r>
      <w:r w:rsidR="00866083">
        <w:t xml:space="preserve">s </w:t>
      </w:r>
      <w:r w:rsidR="001C3B7B">
        <w:t>t</w:t>
      </w:r>
      <w:r w:rsidR="00866083">
        <w:t xml:space="preserve">eam where </w:t>
      </w:r>
      <w:r w:rsidR="00A138E7">
        <w:t>their action or input is required.</w:t>
      </w:r>
    </w:p>
    <w:p w14:paraId="4D8B0A9F" w14:textId="77777777" w:rsidR="001C3B7B" w:rsidRDefault="001C3B7B" w:rsidP="001C3B7B">
      <w:pPr>
        <w:pStyle w:val="Style2"/>
        <w:numPr>
          <w:ilvl w:val="0"/>
          <w:numId w:val="0"/>
        </w:numPr>
        <w:ind w:left="1134"/>
      </w:pPr>
    </w:p>
    <w:p w14:paraId="3E082C8E" w14:textId="09B792CB" w:rsidR="00980CA2" w:rsidRDefault="00C85017" w:rsidP="00980CA2">
      <w:pPr>
        <w:pStyle w:val="Style2"/>
      </w:pPr>
      <w:r>
        <w:t xml:space="preserve">The SBS </w:t>
      </w:r>
      <w:r w:rsidR="001C3B7B">
        <w:t>p</w:t>
      </w:r>
      <w:r>
        <w:t xml:space="preserve">ayments </w:t>
      </w:r>
      <w:r w:rsidR="001C3B7B">
        <w:t>t</w:t>
      </w:r>
      <w:r>
        <w:t xml:space="preserve">eam make physical payments to suppliers based on </w:t>
      </w:r>
      <w:r w:rsidR="00DD1F74">
        <w:t xml:space="preserve">payment runs which are authorised by the ICB </w:t>
      </w:r>
      <w:r w:rsidR="00980CA2">
        <w:t>f</w:t>
      </w:r>
      <w:r w:rsidR="00DD1F74">
        <w:t xml:space="preserve">inancial </w:t>
      </w:r>
      <w:r w:rsidR="00A559FA">
        <w:t>service</w:t>
      </w:r>
      <w:r w:rsidR="00DD1F74">
        <w:t xml:space="preserve">s </w:t>
      </w:r>
      <w:r w:rsidR="00980CA2">
        <w:t>t</w:t>
      </w:r>
      <w:r w:rsidR="00DD1F74">
        <w:t>eam.</w:t>
      </w:r>
      <w:r w:rsidR="00A138E7">
        <w:t xml:space="preserve"> </w:t>
      </w:r>
      <w:r w:rsidR="007D11B4">
        <w:t xml:space="preserve">(See </w:t>
      </w:r>
      <w:hyperlink r:id="rId12" w:history="1">
        <w:r w:rsidR="007D11B4" w:rsidRPr="00497BF9">
          <w:rPr>
            <w:rStyle w:val="Hyperlink"/>
          </w:rPr>
          <w:t>Bank</w:t>
        </w:r>
        <w:r w:rsidR="00497BF9" w:rsidRPr="00497BF9">
          <w:rPr>
            <w:rStyle w:val="Hyperlink"/>
          </w:rPr>
          <w:t>ing</w:t>
        </w:r>
        <w:r w:rsidR="007D11B4" w:rsidRPr="00497BF9">
          <w:rPr>
            <w:rStyle w:val="Hyperlink"/>
          </w:rPr>
          <w:t xml:space="preserve"> and Cashflow Policy</w:t>
        </w:r>
      </w:hyperlink>
      <w:r w:rsidR="007D11B4">
        <w:t xml:space="preserve"> – section 6.2.</w:t>
      </w:r>
      <w:r w:rsidR="004F0796">
        <w:t>3</w:t>
      </w:r>
      <w:r w:rsidR="00C13669">
        <w:t>).</w:t>
      </w:r>
    </w:p>
    <w:p w14:paraId="44850471" w14:textId="77777777" w:rsidR="00980CA2" w:rsidRDefault="00980CA2" w:rsidP="00980CA2">
      <w:pPr>
        <w:pStyle w:val="Style2"/>
        <w:numPr>
          <w:ilvl w:val="0"/>
          <w:numId w:val="0"/>
        </w:numPr>
        <w:ind w:left="1134"/>
      </w:pPr>
    </w:p>
    <w:p w14:paraId="72BA41E3" w14:textId="35285A1E" w:rsidR="004243AF" w:rsidRDefault="004243AF" w:rsidP="00BC77F0">
      <w:pPr>
        <w:pStyle w:val="Style2"/>
      </w:pPr>
      <w:r>
        <w:t xml:space="preserve">The SBS </w:t>
      </w:r>
      <w:r w:rsidR="00980CA2">
        <w:t>i</w:t>
      </w:r>
      <w:r>
        <w:t xml:space="preserve">nvoice </w:t>
      </w:r>
      <w:r w:rsidR="00980CA2">
        <w:t>t</w:t>
      </w:r>
      <w:r>
        <w:t xml:space="preserve">eam </w:t>
      </w:r>
      <w:r w:rsidR="003D1BDE">
        <w:t xml:space="preserve">process all </w:t>
      </w:r>
      <w:r w:rsidR="00B22EFF">
        <w:t xml:space="preserve">invoices received via </w:t>
      </w:r>
      <w:proofErr w:type="spellStart"/>
      <w:r w:rsidR="00B22EFF">
        <w:t>Tradeshift</w:t>
      </w:r>
      <w:proofErr w:type="spellEnd"/>
      <w:r w:rsidR="00B22EFF">
        <w:t xml:space="preserve">, email and through the post addressed to the ICB and </w:t>
      </w:r>
      <w:r w:rsidR="00A5448A">
        <w:t>add</w:t>
      </w:r>
      <w:r w:rsidR="00DE5FA0">
        <w:t xml:space="preserve"> them to the ISFE </w:t>
      </w:r>
      <w:r w:rsidR="00980CA2">
        <w:t xml:space="preserve">finance </w:t>
      </w:r>
      <w:r w:rsidR="00CA6220">
        <w:t xml:space="preserve">ledger </w:t>
      </w:r>
      <w:r w:rsidR="00DE5FA0">
        <w:t xml:space="preserve">system routing them through to the named </w:t>
      </w:r>
      <w:r w:rsidR="00136A83">
        <w:t>budget holder for coding and authorisation.</w:t>
      </w:r>
    </w:p>
    <w:p w14:paraId="5A20E99B" w14:textId="78042777" w:rsidR="00F913CD" w:rsidRDefault="00F913CD" w:rsidP="00B43CAB">
      <w:pPr>
        <w:pStyle w:val="Heading2"/>
      </w:pPr>
      <w:bookmarkStart w:id="23" w:name="_Toc84611056"/>
      <w:bookmarkStart w:id="24" w:name="_Toc89326548"/>
      <w:bookmarkStart w:id="25" w:name="_Toc111196213"/>
      <w:r w:rsidRPr="0015255F">
        <w:lastRenderedPageBreak/>
        <w:t>Policy Detail</w:t>
      </w:r>
      <w:bookmarkEnd w:id="23"/>
      <w:bookmarkEnd w:id="24"/>
      <w:bookmarkEnd w:id="25"/>
    </w:p>
    <w:p w14:paraId="18691F7D" w14:textId="0F2701F9" w:rsidR="00BF046F" w:rsidRDefault="00BF046F" w:rsidP="00BF046F">
      <w:pPr>
        <w:pStyle w:val="Heading3"/>
      </w:pPr>
      <w:bookmarkStart w:id="26" w:name="_Toc111196214"/>
      <w:r>
        <w:t>NHS Healthcare Payment Arrangements</w:t>
      </w:r>
      <w:bookmarkEnd w:id="26"/>
    </w:p>
    <w:p w14:paraId="66835F6F" w14:textId="53F11F7B" w:rsidR="00BF046F" w:rsidRDefault="00217B97" w:rsidP="00BF046F">
      <w:pPr>
        <w:pStyle w:val="Style2"/>
      </w:pPr>
      <w:r>
        <w:t xml:space="preserve">Payment for </w:t>
      </w:r>
      <w:r w:rsidR="009E02AA">
        <w:t>h</w:t>
      </w:r>
      <w:r>
        <w:t xml:space="preserve">ealthcare services provided by NHS organisations </w:t>
      </w:r>
      <w:r w:rsidR="001A65F7">
        <w:t>continues to be made through the Aligned Payments and Incentives (API) scheme</w:t>
      </w:r>
      <w:r w:rsidR="000146B7">
        <w:t xml:space="preserve"> which was introduced </w:t>
      </w:r>
      <w:r w:rsidR="00EF1A4A">
        <w:t xml:space="preserve">by NHSE </w:t>
      </w:r>
      <w:r w:rsidR="000146B7">
        <w:t>in 2021/22.</w:t>
      </w:r>
    </w:p>
    <w:p w14:paraId="340D5D9D" w14:textId="77777777" w:rsidR="000146B7" w:rsidRDefault="000146B7" w:rsidP="000146B7">
      <w:pPr>
        <w:pStyle w:val="Style2"/>
        <w:numPr>
          <w:ilvl w:val="0"/>
          <w:numId w:val="0"/>
        </w:numPr>
        <w:ind w:left="1134"/>
      </w:pPr>
    </w:p>
    <w:p w14:paraId="675575C5" w14:textId="2926405A" w:rsidR="00F35CE2" w:rsidRDefault="000146B7" w:rsidP="00F35CE2">
      <w:pPr>
        <w:pStyle w:val="Style2"/>
      </w:pPr>
      <w:r>
        <w:t>Contract amounts are agreed during the annual planning process and the ICB will make a single monthly payment to NHS providers</w:t>
      </w:r>
      <w:r w:rsidR="00E539FA">
        <w:t xml:space="preserve"> normally equal to 1/12 of the Expected Annual Contract Value (EACV) to cover fixed and variable elements. Adjustments through the year can be made as </w:t>
      </w:r>
      <w:r w:rsidR="00CF32FD">
        <w:t xml:space="preserve">agreed by </w:t>
      </w:r>
      <w:r w:rsidR="00227CEF">
        <w:t>c</w:t>
      </w:r>
      <w:r w:rsidR="00CF32FD">
        <w:t xml:space="preserve">ommissioner and </w:t>
      </w:r>
      <w:r w:rsidR="00227CEF">
        <w:t>p</w:t>
      </w:r>
      <w:r w:rsidR="00CF32FD">
        <w:t xml:space="preserve">rovider but should be kept to a minimum and paid at year end following reconciliation unless </w:t>
      </w:r>
      <w:r w:rsidR="00F35CE2">
        <w:t>values</w:t>
      </w:r>
      <w:r w:rsidR="004F2ECC">
        <w:t xml:space="preserve"> are significant</w:t>
      </w:r>
      <w:r w:rsidR="00F35CE2">
        <w:t>.</w:t>
      </w:r>
    </w:p>
    <w:p w14:paraId="455EF7CE" w14:textId="77777777" w:rsidR="00F35CE2" w:rsidRDefault="00F35CE2" w:rsidP="00F35CE2">
      <w:pPr>
        <w:pStyle w:val="Style2"/>
        <w:numPr>
          <w:ilvl w:val="0"/>
          <w:numId w:val="0"/>
        </w:numPr>
        <w:ind w:left="1134"/>
      </w:pPr>
    </w:p>
    <w:p w14:paraId="60D4A647" w14:textId="3B7F72DE" w:rsidR="00032E5C" w:rsidRDefault="00790E37" w:rsidP="00032E5C">
      <w:pPr>
        <w:pStyle w:val="Style2"/>
      </w:pPr>
      <w:r>
        <w:t xml:space="preserve">NHS </w:t>
      </w:r>
      <w:r w:rsidR="00227CEF">
        <w:t>p</w:t>
      </w:r>
      <w:r>
        <w:t xml:space="preserve">roviders should not raise invoices to ICBs as payment is made via </w:t>
      </w:r>
      <w:r w:rsidR="00503655">
        <w:t>Invoice Payment Files (I</w:t>
      </w:r>
      <w:r w:rsidR="003F5F16">
        <w:t>PF</w:t>
      </w:r>
      <w:r w:rsidR="00503655">
        <w:t>) on the 15</w:t>
      </w:r>
      <w:r w:rsidR="00503655" w:rsidRPr="00503655">
        <w:rPr>
          <w:vertAlign w:val="superscript"/>
        </w:rPr>
        <w:t>th</w:t>
      </w:r>
      <w:r w:rsidR="00503655">
        <w:t xml:space="preserve"> of the month to which they relate. I</w:t>
      </w:r>
      <w:r w:rsidR="003F5F16">
        <w:t xml:space="preserve">PFs are authorised in accordance with the </w:t>
      </w:r>
      <w:r w:rsidR="0057747B">
        <w:t xml:space="preserve">ICB’s </w:t>
      </w:r>
      <w:r w:rsidR="008C6C99">
        <w:t xml:space="preserve">schedule of </w:t>
      </w:r>
      <w:r w:rsidR="0057747B">
        <w:t>d</w:t>
      </w:r>
      <w:r w:rsidR="003F5F16">
        <w:t>etailed</w:t>
      </w:r>
      <w:r w:rsidR="008C6C99">
        <w:t xml:space="preserve"> delegated financial limits</w:t>
      </w:r>
      <w:r w:rsidR="003F5F16">
        <w:t xml:space="preserve"> and must</w:t>
      </w:r>
      <w:r w:rsidR="003C6AB3">
        <w:t xml:space="preserve"> not be authorised by the person compiling the IPF.</w:t>
      </w:r>
    </w:p>
    <w:p w14:paraId="7E3F6362" w14:textId="77777777" w:rsidR="00032E5C" w:rsidRDefault="00032E5C" w:rsidP="00032E5C">
      <w:pPr>
        <w:pStyle w:val="Style2"/>
        <w:numPr>
          <w:ilvl w:val="0"/>
          <w:numId w:val="0"/>
        </w:numPr>
        <w:ind w:left="1134"/>
      </w:pPr>
    </w:p>
    <w:p w14:paraId="59DE3366" w14:textId="275A1DFF" w:rsidR="00D7483B" w:rsidRDefault="00286280" w:rsidP="00D7483B">
      <w:pPr>
        <w:pStyle w:val="Style2"/>
      </w:pPr>
      <w:r>
        <w:t xml:space="preserve">NHS contracts should have standard numbering </w:t>
      </w:r>
      <w:r w:rsidR="00586578">
        <w:t>in the format CP</w:t>
      </w:r>
      <w:r w:rsidR="00BF094E">
        <w:t>QH8</w:t>
      </w:r>
      <w:r w:rsidR="00F370D6">
        <w:t>NNN</w:t>
      </w:r>
      <w:r w:rsidR="00586578">
        <w:t xml:space="preserve"> where CP </w:t>
      </w:r>
      <w:r w:rsidR="00785294">
        <w:t xml:space="preserve">indicates that it is a contractual payment, </w:t>
      </w:r>
      <w:r w:rsidR="00162454">
        <w:t>QH8</w:t>
      </w:r>
      <w:r w:rsidR="00785294">
        <w:t xml:space="preserve"> is the ICB’s </w:t>
      </w:r>
      <w:r w:rsidR="00D7483B">
        <w:t>3-digit</w:t>
      </w:r>
      <w:r w:rsidR="00785294">
        <w:t xml:space="preserve"> organisation code and </w:t>
      </w:r>
      <w:r w:rsidR="00F370D6">
        <w:t>NNN</w:t>
      </w:r>
      <w:r w:rsidR="00785294">
        <w:t xml:space="preserve"> is the contractual sequential number</w:t>
      </w:r>
      <w:r w:rsidR="00766552">
        <w:t xml:space="preserve">ing determined by the </w:t>
      </w:r>
      <w:r w:rsidR="00162454">
        <w:t>c</w:t>
      </w:r>
      <w:r w:rsidR="00766552">
        <w:t xml:space="preserve">ontracts </w:t>
      </w:r>
      <w:r w:rsidR="00162454">
        <w:t>t</w:t>
      </w:r>
      <w:r w:rsidR="00766552">
        <w:t xml:space="preserve">eam and shared with the NHS </w:t>
      </w:r>
      <w:r w:rsidR="00162454">
        <w:t>p</w:t>
      </w:r>
      <w:r w:rsidR="00766552">
        <w:t>rovider.</w:t>
      </w:r>
    </w:p>
    <w:p w14:paraId="41F472A0" w14:textId="77777777" w:rsidR="00D7483B" w:rsidRDefault="00D7483B" w:rsidP="00D7483B">
      <w:pPr>
        <w:pStyle w:val="Style2"/>
        <w:numPr>
          <w:ilvl w:val="0"/>
          <w:numId w:val="0"/>
        </w:numPr>
        <w:ind w:left="1134"/>
      </w:pPr>
    </w:p>
    <w:p w14:paraId="76E5AD90" w14:textId="6872630C" w:rsidR="00D44CDE" w:rsidRDefault="00694C63" w:rsidP="00D44CDE">
      <w:pPr>
        <w:pStyle w:val="Style2"/>
      </w:pPr>
      <w:r>
        <w:t>The invoice number recorded on the IPF is CP</w:t>
      </w:r>
      <w:r w:rsidR="00006A2B">
        <w:t>QH8</w:t>
      </w:r>
      <w:r w:rsidR="00F370D6">
        <w:t>NNN</w:t>
      </w:r>
      <w:r>
        <w:t>MMYY</w:t>
      </w:r>
      <w:r w:rsidR="007F7EED">
        <w:t xml:space="preserve"> where </w:t>
      </w:r>
      <w:r w:rsidR="003B2A77">
        <w:t>01</w:t>
      </w:r>
      <w:r w:rsidR="00CC48A6">
        <w:t xml:space="preserve"> represents January and YY represents the </w:t>
      </w:r>
      <w:r w:rsidR="00786786">
        <w:t>last 2 digits of the relevant year.</w:t>
      </w:r>
    </w:p>
    <w:p w14:paraId="37B00612" w14:textId="77777777" w:rsidR="00D44CDE" w:rsidRDefault="00D44CDE" w:rsidP="00D44CDE">
      <w:pPr>
        <w:pStyle w:val="Style2"/>
        <w:numPr>
          <w:ilvl w:val="0"/>
          <w:numId w:val="0"/>
        </w:numPr>
        <w:ind w:left="1134"/>
      </w:pPr>
    </w:p>
    <w:p w14:paraId="55367F0A" w14:textId="2FD32292" w:rsidR="00474795" w:rsidRDefault="00D44CDE" w:rsidP="00474795">
      <w:pPr>
        <w:pStyle w:val="Style2"/>
      </w:pPr>
      <w:r>
        <w:t xml:space="preserve">The transaction description can be up to 200 characters </w:t>
      </w:r>
      <w:r w:rsidR="00F370D6">
        <w:t>long,</w:t>
      </w:r>
      <w:r>
        <w:t xml:space="preserve"> but it is recommended to limit to the 40 characters that form the remittance advice</w:t>
      </w:r>
      <w:r w:rsidR="00C518F1">
        <w:t>. Transaction descriptions should be shown as CP</w:t>
      </w:r>
      <w:r w:rsidR="00006A2B">
        <w:t>QH8</w:t>
      </w:r>
      <w:r w:rsidR="00F370D6">
        <w:t>NNN</w:t>
      </w:r>
      <w:r w:rsidR="00813D70">
        <w:t xml:space="preserve">DescMMYY where </w:t>
      </w:r>
      <w:proofErr w:type="spellStart"/>
      <w:r w:rsidR="00813D70">
        <w:t>Desc</w:t>
      </w:r>
      <w:proofErr w:type="spellEnd"/>
      <w:r w:rsidR="00813D70">
        <w:t xml:space="preserve"> is a brief description of the supplier and contract.</w:t>
      </w:r>
    </w:p>
    <w:p w14:paraId="509091CE" w14:textId="77777777" w:rsidR="00474795" w:rsidRDefault="00474795" w:rsidP="00474795">
      <w:pPr>
        <w:pStyle w:val="Style2"/>
        <w:numPr>
          <w:ilvl w:val="0"/>
          <w:numId w:val="0"/>
        </w:numPr>
        <w:ind w:left="1134"/>
      </w:pPr>
    </w:p>
    <w:p w14:paraId="681FD1E2" w14:textId="6EEC33E2" w:rsidR="009674A4" w:rsidRDefault="00474795" w:rsidP="009674A4">
      <w:pPr>
        <w:pStyle w:val="Style2"/>
      </w:pPr>
      <w:r>
        <w:t>Low v</w:t>
      </w:r>
      <w:r w:rsidR="00BA40FD">
        <w:t>olume activity</w:t>
      </w:r>
      <w:r>
        <w:t xml:space="preserve"> payments are made</w:t>
      </w:r>
      <w:r w:rsidR="00826401">
        <w:t xml:space="preserve"> to NHS providers </w:t>
      </w:r>
      <w:r w:rsidR="0066392B">
        <w:t xml:space="preserve">by IPF </w:t>
      </w:r>
      <w:r w:rsidR="00826401">
        <w:t xml:space="preserve">where annual estimates </w:t>
      </w:r>
      <w:r w:rsidR="00217FB0">
        <w:t xml:space="preserve">of amounts due </w:t>
      </w:r>
      <w:r w:rsidR="00826401">
        <w:t xml:space="preserve">are less than £500,000 and </w:t>
      </w:r>
      <w:r w:rsidR="0066392B">
        <w:t xml:space="preserve">are made once in the year </w:t>
      </w:r>
      <w:r w:rsidR="00BA195D">
        <w:t>in line with national NHSE deadlines</w:t>
      </w:r>
      <w:r w:rsidR="00B95659">
        <w:t xml:space="preserve"> </w:t>
      </w:r>
      <w:r w:rsidR="00566A2B">
        <w:t>using the transaction description ORGLVA</w:t>
      </w:r>
      <w:r w:rsidR="004F205E">
        <w:t>YYYYYY where the relevant financial year is shown in the format 202223</w:t>
      </w:r>
      <w:r w:rsidR="00190835">
        <w:t xml:space="preserve"> for 22/23.</w:t>
      </w:r>
    </w:p>
    <w:p w14:paraId="11289A6B" w14:textId="77777777" w:rsidR="009674A4" w:rsidRDefault="009674A4" w:rsidP="009674A4">
      <w:pPr>
        <w:pStyle w:val="Style2"/>
        <w:numPr>
          <w:ilvl w:val="0"/>
          <w:numId w:val="0"/>
        </w:numPr>
      </w:pPr>
    </w:p>
    <w:p w14:paraId="699C4E4B" w14:textId="6E83E61D" w:rsidR="00C73850" w:rsidRDefault="002A2D91" w:rsidP="00C73850">
      <w:pPr>
        <w:pStyle w:val="Style2"/>
      </w:pPr>
      <w:r>
        <w:t xml:space="preserve">NHS organisations will only raise invoices to other NHS organisations for non-healthcare items such as seconded staff and the provision of other </w:t>
      </w:r>
      <w:r w:rsidR="00C73850">
        <w:t>non-healthcare</w:t>
      </w:r>
      <w:r>
        <w:t xml:space="preserve"> goods and services.</w:t>
      </w:r>
    </w:p>
    <w:p w14:paraId="2AB129C6" w14:textId="77777777" w:rsidR="00C73850" w:rsidRDefault="00C73850" w:rsidP="00C73850">
      <w:pPr>
        <w:pStyle w:val="Style2"/>
        <w:numPr>
          <w:ilvl w:val="0"/>
          <w:numId w:val="0"/>
        </w:numPr>
        <w:ind w:left="1134"/>
      </w:pPr>
    </w:p>
    <w:p w14:paraId="2FF5CB6F" w14:textId="17D56AA9" w:rsidR="00C73850" w:rsidRPr="00BF046F" w:rsidRDefault="00C73850" w:rsidP="00821192">
      <w:pPr>
        <w:pStyle w:val="Style2"/>
      </w:pPr>
      <w:r>
        <w:t xml:space="preserve">Transactions between NHS organisations within the same </w:t>
      </w:r>
      <w:r w:rsidR="005878EB">
        <w:t>ICS</w:t>
      </w:r>
      <w:r>
        <w:t xml:space="preserve"> should be based on estimates and </w:t>
      </w:r>
      <w:r w:rsidR="008863BC">
        <w:t>the number of transactions kept to a minimum.</w:t>
      </w:r>
    </w:p>
    <w:p w14:paraId="7E98E80C" w14:textId="5CE3E893" w:rsidR="00AC1E14" w:rsidRDefault="0074585B" w:rsidP="00AC1E14">
      <w:pPr>
        <w:pStyle w:val="Heading3"/>
      </w:pPr>
      <w:bookmarkStart w:id="27" w:name="_Toc111196215"/>
      <w:r>
        <w:t xml:space="preserve">Non-NHS </w:t>
      </w:r>
      <w:r w:rsidR="008863BC">
        <w:t>Suppliers</w:t>
      </w:r>
      <w:bookmarkEnd w:id="27"/>
    </w:p>
    <w:p w14:paraId="2E5E2FE9" w14:textId="7C92BA00" w:rsidR="00F83562" w:rsidRDefault="00E6127B" w:rsidP="00F83562">
      <w:pPr>
        <w:pStyle w:val="Style2"/>
      </w:pPr>
      <w:r>
        <w:t xml:space="preserve">The principles of reducing the number of transactions also applies to non-NHS suppliers. </w:t>
      </w:r>
      <w:r w:rsidR="00BD358D">
        <w:t xml:space="preserve">The ICB will work with suppliers to establish good financial operational practice through using contracts where appropriate and proportionate, </w:t>
      </w:r>
      <w:r w:rsidR="001E7028">
        <w:t>by always pre-approving expenditure to an agreed level either by a contract or a use of a purchase order</w:t>
      </w:r>
      <w:r w:rsidR="00CA2279">
        <w:t xml:space="preserve"> and by efficient receipting and processing of payments</w:t>
      </w:r>
      <w:r w:rsidR="00542961">
        <w:t xml:space="preserve">. </w:t>
      </w:r>
    </w:p>
    <w:p w14:paraId="6E557FAE" w14:textId="77777777" w:rsidR="007560E3" w:rsidRDefault="007560E3" w:rsidP="007560E3">
      <w:pPr>
        <w:pStyle w:val="Style2"/>
        <w:numPr>
          <w:ilvl w:val="0"/>
          <w:numId w:val="0"/>
        </w:numPr>
        <w:ind w:left="1134"/>
      </w:pPr>
    </w:p>
    <w:p w14:paraId="31887613" w14:textId="23D471F6" w:rsidR="007560E3" w:rsidRPr="00F83562" w:rsidRDefault="007560E3" w:rsidP="00F83562">
      <w:pPr>
        <w:pStyle w:val="Style2"/>
      </w:pPr>
      <w:r>
        <w:t xml:space="preserve">The ICB will work to reduce the number of financial transactions by </w:t>
      </w:r>
      <w:r w:rsidR="007B77AC">
        <w:t xml:space="preserve">working with suppliers who send multiple low value invoices </w:t>
      </w:r>
      <w:r w:rsidR="00371C57">
        <w:t>by either agreeing estimated activity levels and reconciling at appropriate intervals</w:t>
      </w:r>
      <w:r w:rsidR="00607425">
        <w:t xml:space="preserve"> (no more frequently than quarterly)</w:t>
      </w:r>
      <w:r w:rsidR="00D64BC2">
        <w:t xml:space="preserve"> or by requesting consolidated monthly invoices with agreed supporting information. Where appropriate</w:t>
      </w:r>
      <w:r w:rsidR="00A73AEC">
        <w:t>,</w:t>
      </w:r>
      <w:r w:rsidR="00D64BC2">
        <w:t xml:space="preserve"> consolidated invoices can be paid promptly </w:t>
      </w:r>
      <w:r w:rsidR="003818FD">
        <w:t>if</w:t>
      </w:r>
      <w:r w:rsidR="00D64BC2">
        <w:t xml:space="preserve"> within expected levels and coded to a control code</w:t>
      </w:r>
      <w:r w:rsidR="009314EC">
        <w:t xml:space="preserve"> and reviewed, recoded and where necessary queried as part of month end processes.</w:t>
      </w:r>
    </w:p>
    <w:p w14:paraId="4D16C649" w14:textId="130B94A6" w:rsidR="00124D95" w:rsidRDefault="009314EC" w:rsidP="00124D95">
      <w:pPr>
        <w:pStyle w:val="Heading3"/>
      </w:pPr>
      <w:bookmarkStart w:id="28" w:name="_Toc111196216"/>
      <w:r>
        <w:t>Use of Purchase Orders</w:t>
      </w:r>
      <w:bookmarkEnd w:id="28"/>
    </w:p>
    <w:p w14:paraId="3E5259F4" w14:textId="1E3BB7C8" w:rsidR="009314EC" w:rsidRDefault="00DC0E5F" w:rsidP="009314EC">
      <w:pPr>
        <w:pStyle w:val="Style2"/>
      </w:pPr>
      <w:r>
        <w:t xml:space="preserve">The ICB’s policy is to move towards a position where the use of non-purchase order invoicing is the exception. This is in line with the </w:t>
      </w:r>
      <w:r w:rsidR="00867EDB">
        <w:t xml:space="preserve">requirement in the </w:t>
      </w:r>
      <w:r>
        <w:t>ICB’s Standing Financial Instructions</w:t>
      </w:r>
      <w:r w:rsidR="00867EDB">
        <w:t xml:space="preserve"> to approve all non-pay expenditure before </w:t>
      </w:r>
      <w:r w:rsidR="00AF497D">
        <w:t xml:space="preserve">a </w:t>
      </w:r>
      <w:r w:rsidR="00867EDB">
        <w:t>commitment is made.</w:t>
      </w:r>
    </w:p>
    <w:p w14:paraId="3DADDA3A" w14:textId="77777777" w:rsidR="00867EDB" w:rsidRDefault="00867EDB" w:rsidP="00867EDB">
      <w:pPr>
        <w:pStyle w:val="Style2"/>
        <w:numPr>
          <w:ilvl w:val="0"/>
          <w:numId w:val="0"/>
        </w:numPr>
        <w:ind w:left="1134"/>
      </w:pPr>
    </w:p>
    <w:p w14:paraId="69C88DD9" w14:textId="6C97106C" w:rsidR="00F86C12" w:rsidRDefault="00867EDB" w:rsidP="00F86C12">
      <w:pPr>
        <w:pStyle w:val="Style2"/>
      </w:pPr>
      <w:r>
        <w:t xml:space="preserve">Purchase Orders define the </w:t>
      </w:r>
      <w:r w:rsidR="00E34207">
        <w:t xml:space="preserve">description, quantity and price of goods and services, the </w:t>
      </w:r>
      <w:r w:rsidR="008A6BD3">
        <w:t>source of funding and provide legal protection where a contract is not in place. They reduce the risk of overpayment, improve financial control</w:t>
      </w:r>
      <w:r w:rsidR="00D70670">
        <w:t xml:space="preserve"> and anti-fraud </w:t>
      </w:r>
      <w:r w:rsidR="00BF2C2F">
        <w:t>measures,</w:t>
      </w:r>
      <w:r w:rsidR="008A6BD3">
        <w:t xml:space="preserve"> and reduce administration.</w:t>
      </w:r>
    </w:p>
    <w:p w14:paraId="58A5C021" w14:textId="77777777" w:rsidR="00F86C12" w:rsidRDefault="00F86C12" w:rsidP="00F86C12">
      <w:pPr>
        <w:pStyle w:val="Style2"/>
        <w:numPr>
          <w:ilvl w:val="0"/>
          <w:numId w:val="0"/>
        </w:numPr>
        <w:ind w:left="1134"/>
      </w:pPr>
    </w:p>
    <w:p w14:paraId="37E7539A" w14:textId="45DD6DB8" w:rsidR="00A96DAF" w:rsidRDefault="00F86C12" w:rsidP="00A96DAF">
      <w:pPr>
        <w:pStyle w:val="Style2"/>
      </w:pPr>
      <w:r>
        <w:t xml:space="preserve">The ICB will </w:t>
      </w:r>
      <w:r w:rsidR="00105173">
        <w:t xml:space="preserve">work to </w:t>
      </w:r>
      <w:r w:rsidR="00DE30AF">
        <w:t xml:space="preserve">increase the volume of </w:t>
      </w:r>
      <w:r w:rsidR="0079151A">
        <w:t xml:space="preserve">purchase </w:t>
      </w:r>
      <w:r w:rsidR="00AF497D">
        <w:t>orders raised</w:t>
      </w:r>
      <w:r w:rsidR="00EA188F">
        <w:t xml:space="preserve"> for goods and services</w:t>
      </w:r>
      <w:r w:rsidR="00A50E1C">
        <w:t xml:space="preserve">. </w:t>
      </w:r>
      <w:r w:rsidR="00BF37B2">
        <w:t>It is important that budget holders employ segregation of duties and ensure that the same person does not raise and authori</w:t>
      </w:r>
      <w:r w:rsidR="00BF2C2F">
        <w:t>se</w:t>
      </w:r>
      <w:r w:rsidR="00BF37B2">
        <w:t xml:space="preserve"> the purchase requisition.</w:t>
      </w:r>
    </w:p>
    <w:p w14:paraId="53F6A366" w14:textId="77777777" w:rsidR="00A96DAF" w:rsidRDefault="00A96DAF" w:rsidP="00A96DAF">
      <w:pPr>
        <w:pStyle w:val="Style2"/>
        <w:numPr>
          <w:ilvl w:val="0"/>
          <w:numId w:val="0"/>
        </w:numPr>
        <w:ind w:left="1134"/>
      </w:pPr>
    </w:p>
    <w:p w14:paraId="59AE17F2" w14:textId="07E8C168" w:rsidR="00A96DAF" w:rsidRDefault="00A63C4C" w:rsidP="009314EC">
      <w:pPr>
        <w:pStyle w:val="Style2"/>
      </w:pPr>
      <w:r>
        <w:t>As the use of P</w:t>
      </w:r>
      <w:r w:rsidR="00A96DAF">
        <w:t xml:space="preserve">urchase Orders </w:t>
      </w:r>
      <w:r>
        <w:t xml:space="preserve">is rolled </w:t>
      </w:r>
      <w:proofErr w:type="gramStart"/>
      <w:r>
        <w:t>out</w:t>
      </w:r>
      <w:proofErr w:type="gramEnd"/>
      <w:r>
        <w:t xml:space="preserve"> they </w:t>
      </w:r>
      <w:r w:rsidR="00A96DAF">
        <w:t xml:space="preserve">should be used for </w:t>
      </w:r>
      <w:r w:rsidR="00D70670">
        <w:t>the following:</w:t>
      </w:r>
    </w:p>
    <w:p w14:paraId="418B4564" w14:textId="77777777" w:rsidR="00624F37" w:rsidRDefault="00624F37" w:rsidP="00624F37">
      <w:pPr>
        <w:pStyle w:val="ListParagraph"/>
      </w:pPr>
      <w:r>
        <w:t>Legal Services</w:t>
      </w:r>
    </w:p>
    <w:p w14:paraId="16F1D1BE" w14:textId="77777777" w:rsidR="00624F37" w:rsidRDefault="00624F37" w:rsidP="00624F37">
      <w:pPr>
        <w:pStyle w:val="ListParagraph"/>
      </w:pPr>
      <w:r>
        <w:t>Contract/Agency staffing</w:t>
      </w:r>
    </w:p>
    <w:p w14:paraId="56081347" w14:textId="77777777" w:rsidR="00624F37" w:rsidRDefault="00624F37" w:rsidP="00624F37">
      <w:pPr>
        <w:pStyle w:val="ListParagraph"/>
      </w:pPr>
      <w:r>
        <w:t>External contractors</w:t>
      </w:r>
    </w:p>
    <w:p w14:paraId="0ED87FE9" w14:textId="77777777" w:rsidR="00624F37" w:rsidRDefault="00624F37" w:rsidP="00624F37">
      <w:pPr>
        <w:pStyle w:val="ListParagraph"/>
      </w:pPr>
      <w:r>
        <w:t>Professional fees</w:t>
      </w:r>
    </w:p>
    <w:p w14:paraId="5FBD0945" w14:textId="22AFBD73" w:rsidR="00D70670" w:rsidRPr="009314EC" w:rsidRDefault="00624F37" w:rsidP="00624F37">
      <w:pPr>
        <w:pStyle w:val="ListParagraph"/>
      </w:pPr>
      <w:r>
        <w:t>Training/Course Fees</w:t>
      </w:r>
      <w:r w:rsidR="000606C9">
        <w:t>.</w:t>
      </w:r>
    </w:p>
    <w:p w14:paraId="767DC442" w14:textId="6DDF4B2B" w:rsidR="00D20FB4" w:rsidRDefault="00AA2BF7" w:rsidP="00D20FB4">
      <w:pPr>
        <w:pStyle w:val="Heading3"/>
      </w:pPr>
      <w:bookmarkStart w:id="29" w:name="_Toc111196217"/>
      <w:r>
        <w:lastRenderedPageBreak/>
        <w:t>E-Invoicing</w:t>
      </w:r>
      <w:bookmarkEnd w:id="29"/>
    </w:p>
    <w:p w14:paraId="2A53946D" w14:textId="5B901B0C" w:rsidR="001D03B5" w:rsidRDefault="001D03B5" w:rsidP="001D03B5">
      <w:pPr>
        <w:pStyle w:val="Style2"/>
      </w:pPr>
      <w:r>
        <w:t xml:space="preserve">To increase efficiency and to reduce the ICB’s carbon footprint the use of e-invoicing is </w:t>
      </w:r>
      <w:r w:rsidR="00573146">
        <w:t xml:space="preserve">strongly encouraged. The expectation is that all suppliers will </w:t>
      </w:r>
      <w:r w:rsidR="00870631">
        <w:t xml:space="preserve">register and </w:t>
      </w:r>
      <w:r w:rsidR="00573146">
        <w:t xml:space="preserve">invoice via </w:t>
      </w:r>
      <w:proofErr w:type="spellStart"/>
      <w:r w:rsidR="00870631">
        <w:t>Tradeshift</w:t>
      </w:r>
      <w:proofErr w:type="spellEnd"/>
      <w:r w:rsidR="00870631">
        <w:t xml:space="preserve"> or</w:t>
      </w:r>
      <w:r w:rsidR="00F36A87">
        <w:t>,</w:t>
      </w:r>
      <w:r w:rsidR="00870631">
        <w:t xml:space="preserve"> as a minimum</w:t>
      </w:r>
      <w:r w:rsidR="00F36A87">
        <w:t>,</w:t>
      </w:r>
      <w:r w:rsidR="00870631">
        <w:t xml:space="preserve"> email invoices directly to SBS</w:t>
      </w:r>
      <w:r w:rsidR="00013331">
        <w:t xml:space="preserve">. This process will be accelerated by </w:t>
      </w:r>
      <w:r w:rsidR="00986FB2">
        <w:t xml:space="preserve">making it a requirement of all new contracts that </w:t>
      </w:r>
      <w:r w:rsidR="00AF74CB">
        <w:t xml:space="preserve">invoicing is via </w:t>
      </w:r>
      <w:proofErr w:type="spellStart"/>
      <w:proofErr w:type="gramStart"/>
      <w:r w:rsidR="00AF74CB">
        <w:t>Tradeshift</w:t>
      </w:r>
      <w:proofErr w:type="spellEnd"/>
      <w:proofErr w:type="gramEnd"/>
      <w:r w:rsidR="00AF74CB">
        <w:t xml:space="preserve"> and budget holders will liaise with suppliers to </w:t>
      </w:r>
      <w:r w:rsidR="000B2A28">
        <w:t>ensure that manual invoices are not accepted.</w:t>
      </w:r>
    </w:p>
    <w:p w14:paraId="7E10A9B2" w14:textId="77777777" w:rsidR="000B2A28" w:rsidRDefault="000B2A28" w:rsidP="000B2A28">
      <w:pPr>
        <w:pStyle w:val="Style2"/>
        <w:numPr>
          <w:ilvl w:val="0"/>
          <w:numId w:val="0"/>
        </w:numPr>
        <w:ind w:left="1134"/>
      </w:pPr>
    </w:p>
    <w:p w14:paraId="715BC381" w14:textId="4DA92942" w:rsidR="000B2A28" w:rsidRDefault="000B2A28" w:rsidP="001D03B5">
      <w:pPr>
        <w:pStyle w:val="Style2"/>
      </w:pPr>
      <w:r>
        <w:t xml:space="preserve">Invoices are to be addressed </w:t>
      </w:r>
      <w:r w:rsidR="0034772D">
        <w:t>as follows:</w:t>
      </w:r>
    </w:p>
    <w:p w14:paraId="6DA0AE80" w14:textId="70773776" w:rsidR="0034772D" w:rsidRPr="00DB5553" w:rsidRDefault="0034772D" w:rsidP="00BB3261">
      <w:pPr>
        <w:pStyle w:val="NoSpacing"/>
        <w:ind w:left="414" w:firstLine="720"/>
        <w:rPr>
          <w:sz w:val="24"/>
          <w:szCs w:val="24"/>
        </w:rPr>
      </w:pPr>
      <w:r w:rsidRPr="00DB5553">
        <w:rPr>
          <w:sz w:val="24"/>
          <w:szCs w:val="24"/>
        </w:rPr>
        <w:t>X</w:t>
      </w:r>
      <w:r w:rsidR="00BC425F" w:rsidRPr="00DB5553">
        <w:rPr>
          <w:sz w:val="24"/>
          <w:szCs w:val="24"/>
        </w:rPr>
        <w:t>X</w:t>
      </w:r>
      <w:r w:rsidR="00A61D5A" w:rsidRPr="00DB5553">
        <w:rPr>
          <w:sz w:val="24"/>
          <w:szCs w:val="24"/>
        </w:rPr>
        <w:t xml:space="preserve"> </w:t>
      </w:r>
      <w:r w:rsidR="00BC425F" w:rsidRPr="00DB5553">
        <w:rPr>
          <w:sz w:val="24"/>
          <w:szCs w:val="24"/>
        </w:rPr>
        <w:t>initial</w:t>
      </w:r>
      <w:r w:rsidR="00A61D5A" w:rsidRPr="00DB5553">
        <w:rPr>
          <w:sz w:val="24"/>
          <w:szCs w:val="24"/>
        </w:rPr>
        <w:t xml:space="preserve"> </w:t>
      </w:r>
      <w:r w:rsidR="00BC425F" w:rsidRPr="00DB5553">
        <w:rPr>
          <w:sz w:val="24"/>
          <w:szCs w:val="24"/>
        </w:rPr>
        <w:t>surname</w:t>
      </w:r>
    </w:p>
    <w:p w14:paraId="4000C188" w14:textId="7FEDB2C2" w:rsidR="00BB3261" w:rsidRPr="00DB5553" w:rsidRDefault="00BB3261" w:rsidP="00BB3261">
      <w:pPr>
        <w:pStyle w:val="NoSpacing"/>
        <w:ind w:left="414" w:firstLine="720"/>
        <w:rPr>
          <w:sz w:val="24"/>
          <w:szCs w:val="24"/>
        </w:rPr>
      </w:pPr>
      <w:r w:rsidRPr="00DB5553">
        <w:rPr>
          <w:sz w:val="24"/>
          <w:szCs w:val="24"/>
        </w:rPr>
        <w:t>Mid and South Essex ICB</w:t>
      </w:r>
    </w:p>
    <w:p w14:paraId="5CEFBEDA" w14:textId="3CD44627" w:rsidR="00BB3261" w:rsidRPr="00DB5553" w:rsidRDefault="00624F37" w:rsidP="00A61D5A">
      <w:pPr>
        <w:pStyle w:val="NoSpacing"/>
        <w:ind w:left="414" w:firstLine="720"/>
        <w:rPr>
          <w:sz w:val="24"/>
          <w:szCs w:val="24"/>
        </w:rPr>
      </w:pPr>
      <w:r>
        <w:rPr>
          <w:sz w:val="24"/>
          <w:szCs w:val="24"/>
        </w:rPr>
        <w:t xml:space="preserve">QH8 </w:t>
      </w:r>
      <w:r w:rsidR="00BB3261" w:rsidRPr="00DB5553">
        <w:rPr>
          <w:sz w:val="24"/>
          <w:szCs w:val="24"/>
        </w:rPr>
        <w:t xml:space="preserve">Payables </w:t>
      </w:r>
      <w:r>
        <w:rPr>
          <w:sz w:val="24"/>
          <w:szCs w:val="24"/>
        </w:rPr>
        <w:t>N175</w:t>
      </w:r>
    </w:p>
    <w:p w14:paraId="463D092B" w14:textId="77777777" w:rsidR="00FA50BF" w:rsidRDefault="00624F37" w:rsidP="00A61D5A">
      <w:pPr>
        <w:pStyle w:val="NoSpacing"/>
        <w:ind w:left="414" w:firstLine="720"/>
        <w:rPr>
          <w:sz w:val="24"/>
          <w:szCs w:val="24"/>
        </w:rPr>
      </w:pPr>
      <w:r>
        <w:rPr>
          <w:sz w:val="24"/>
          <w:szCs w:val="24"/>
        </w:rPr>
        <w:t>PO BOX 312</w:t>
      </w:r>
    </w:p>
    <w:p w14:paraId="41B9E420" w14:textId="77777777" w:rsidR="005C0171" w:rsidRDefault="00624F37" w:rsidP="00A61D5A">
      <w:pPr>
        <w:pStyle w:val="NoSpacing"/>
        <w:ind w:left="414" w:firstLine="720"/>
        <w:rPr>
          <w:sz w:val="24"/>
          <w:szCs w:val="24"/>
        </w:rPr>
      </w:pPr>
      <w:r>
        <w:rPr>
          <w:sz w:val="24"/>
          <w:szCs w:val="24"/>
        </w:rPr>
        <w:t>LEEDS</w:t>
      </w:r>
    </w:p>
    <w:p w14:paraId="41AD8286" w14:textId="77777777" w:rsidR="005C0171" w:rsidRDefault="00624F37" w:rsidP="00A61D5A">
      <w:pPr>
        <w:pStyle w:val="NoSpacing"/>
        <w:ind w:left="414" w:firstLine="720"/>
        <w:rPr>
          <w:sz w:val="24"/>
          <w:szCs w:val="24"/>
        </w:rPr>
      </w:pPr>
      <w:r>
        <w:rPr>
          <w:sz w:val="24"/>
          <w:szCs w:val="24"/>
        </w:rPr>
        <w:t>West Yorkshire</w:t>
      </w:r>
      <w:r w:rsidR="005C0171">
        <w:rPr>
          <w:sz w:val="24"/>
          <w:szCs w:val="24"/>
        </w:rPr>
        <w:t xml:space="preserve"> </w:t>
      </w:r>
    </w:p>
    <w:p w14:paraId="488A5538" w14:textId="47487496" w:rsidR="00664D40" w:rsidRDefault="00624F37" w:rsidP="00A61D5A">
      <w:pPr>
        <w:pStyle w:val="NoSpacing"/>
        <w:ind w:left="414" w:firstLine="720"/>
        <w:rPr>
          <w:sz w:val="24"/>
          <w:szCs w:val="24"/>
        </w:rPr>
      </w:pPr>
      <w:r>
        <w:rPr>
          <w:sz w:val="24"/>
          <w:szCs w:val="24"/>
        </w:rPr>
        <w:t>LS11 1HP</w:t>
      </w:r>
    </w:p>
    <w:p w14:paraId="4A5CEB5B" w14:textId="77777777" w:rsidR="005C0171" w:rsidRPr="00DB5553" w:rsidRDefault="005C0171" w:rsidP="00A61D5A">
      <w:pPr>
        <w:pStyle w:val="NoSpacing"/>
        <w:ind w:left="414" w:firstLine="720"/>
        <w:rPr>
          <w:sz w:val="24"/>
          <w:szCs w:val="24"/>
        </w:rPr>
      </w:pPr>
    </w:p>
    <w:p w14:paraId="1C2BBF6B" w14:textId="33FD2C3E" w:rsidR="00664D40" w:rsidRPr="00DB5553" w:rsidRDefault="00664D40" w:rsidP="00EF3D4F">
      <w:pPr>
        <w:pStyle w:val="NoSpacing"/>
        <w:ind w:left="1134"/>
        <w:rPr>
          <w:sz w:val="24"/>
          <w:szCs w:val="24"/>
        </w:rPr>
      </w:pPr>
      <w:r w:rsidRPr="00DB5553">
        <w:rPr>
          <w:sz w:val="24"/>
          <w:szCs w:val="24"/>
        </w:rPr>
        <w:t xml:space="preserve">Where initial and surname are </w:t>
      </w:r>
      <w:r w:rsidR="00EF3D4F" w:rsidRPr="00DB5553">
        <w:rPr>
          <w:sz w:val="24"/>
          <w:szCs w:val="24"/>
        </w:rPr>
        <w:t>the authorizing budget holder (if the budget holder’s name is Tim Smith the first line would read XXTSMITH).</w:t>
      </w:r>
    </w:p>
    <w:p w14:paraId="541FA245" w14:textId="339FBC27" w:rsidR="009367FB" w:rsidRDefault="00962E24" w:rsidP="00962E24">
      <w:pPr>
        <w:pStyle w:val="Heading3"/>
      </w:pPr>
      <w:bookmarkStart w:id="30" w:name="_Toc111196218"/>
      <w:r>
        <w:t>Purchasing Card</w:t>
      </w:r>
      <w:bookmarkEnd w:id="30"/>
    </w:p>
    <w:p w14:paraId="1201E895" w14:textId="4DF6D4D8" w:rsidR="00E35A41" w:rsidRDefault="004B2F87" w:rsidP="00E35A41">
      <w:pPr>
        <w:pStyle w:val="Style2"/>
      </w:pPr>
      <w:r>
        <w:t>The ICB holds a purchasing card</w:t>
      </w:r>
      <w:r w:rsidR="003F268A">
        <w:t xml:space="preserve"> </w:t>
      </w:r>
      <w:r w:rsidR="00C47D22">
        <w:t xml:space="preserve">account </w:t>
      </w:r>
      <w:r w:rsidR="003F268A">
        <w:t xml:space="preserve">to enable payments to be made for expenditure which does not, at the point of payment, have invoices issued. </w:t>
      </w:r>
      <w:r w:rsidR="001E18B9">
        <w:t>The card</w:t>
      </w:r>
      <w:r w:rsidR="00C92637">
        <w:t>s</w:t>
      </w:r>
      <w:r w:rsidR="001E18B9">
        <w:t xml:space="preserve"> should be used on an exceptional basis </w:t>
      </w:r>
      <w:r w:rsidR="0039683A">
        <w:t xml:space="preserve">only and invoices should be obtained </w:t>
      </w:r>
      <w:r w:rsidR="00CF0C02">
        <w:t xml:space="preserve">and paid in the usual way via BACS where possible. </w:t>
      </w:r>
      <w:r w:rsidR="003F268A">
        <w:t>This type of expenditure includes, but is not exclusive to, deposits for room hire, accommodation for staff attending courses and internet orders</w:t>
      </w:r>
      <w:r w:rsidR="00611F05">
        <w:t xml:space="preserve"> including payment for social media</w:t>
      </w:r>
      <w:r w:rsidR="007E52E3">
        <w:t xml:space="preserve">. </w:t>
      </w:r>
    </w:p>
    <w:p w14:paraId="6D789763" w14:textId="77777777" w:rsidR="003A3F2A" w:rsidRDefault="003A3F2A" w:rsidP="003A3F2A">
      <w:pPr>
        <w:pStyle w:val="Style2"/>
        <w:numPr>
          <w:ilvl w:val="0"/>
          <w:numId w:val="0"/>
        </w:numPr>
        <w:ind w:left="1134"/>
      </w:pPr>
    </w:p>
    <w:p w14:paraId="29D42A52" w14:textId="527F316E" w:rsidR="003A3F2A" w:rsidRDefault="003A3F2A" w:rsidP="003A3F2A">
      <w:pPr>
        <w:pStyle w:val="Style2"/>
      </w:pPr>
      <w:r>
        <w:t xml:space="preserve">The </w:t>
      </w:r>
      <w:r w:rsidR="00C92637">
        <w:t>ICB</w:t>
      </w:r>
      <w:r>
        <w:t xml:space="preserve"> purchasing card</w:t>
      </w:r>
      <w:r w:rsidR="00C92637">
        <w:t xml:space="preserve"> account</w:t>
      </w:r>
      <w:r>
        <w:t xml:space="preserve"> should not be used as an alternative to the normal procurement systems but may be used in exceptional circumstances if authorised by the D</w:t>
      </w:r>
      <w:r w:rsidR="00B36595">
        <w:t xml:space="preserve">irector of </w:t>
      </w:r>
      <w:r w:rsidR="00F049AA">
        <w:t xml:space="preserve">Finance – </w:t>
      </w:r>
      <w:r w:rsidR="00624F37" w:rsidRPr="00624F37">
        <w:t xml:space="preserve">Primary Care, Financial Services &amp; Infrastructure </w:t>
      </w:r>
      <w:r>
        <w:t>.</w:t>
      </w:r>
    </w:p>
    <w:p w14:paraId="402A177F" w14:textId="77777777" w:rsidR="003A3F2A" w:rsidRDefault="003A3F2A" w:rsidP="003A3F2A">
      <w:pPr>
        <w:pStyle w:val="Style2"/>
        <w:numPr>
          <w:ilvl w:val="0"/>
          <w:numId w:val="0"/>
        </w:numPr>
        <w:ind w:left="1134"/>
      </w:pPr>
    </w:p>
    <w:p w14:paraId="5F5BC29A" w14:textId="2D52BB5B" w:rsidR="00156122" w:rsidRDefault="003A3F2A" w:rsidP="00156122">
      <w:pPr>
        <w:pStyle w:val="Style2"/>
      </w:pPr>
      <w:r>
        <w:t xml:space="preserve">To </w:t>
      </w:r>
      <w:r w:rsidR="00DB5553">
        <w:t xml:space="preserve">comply with the </w:t>
      </w:r>
      <w:r w:rsidR="00B624EC">
        <w:t xml:space="preserve">requirement in the ICB’s </w:t>
      </w:r>
      <w:r w:rsidR="00DB5553">
        <w:t xml:space="preserve">Standing Financial Instructions </w:t>
      </w:r>
      <w:r w:rsidR="007B516E">
        <w:t xml:space="preserve">that </w:t>
      </w:r>
      <w:r w:rsidR="00D03650">
        <w:t>all expenditure must have prior a</w:t>
      </w:r>
      <w:r w:rsidR="00371C1B">
        <w:t>pproval</w:t>
      </w:r>
      <w:r w:rsidR="00D03650">
        <w:t xml:space="preserve"> before a commitment to expenditure is made (Section </w:t>
      </w:r>
      <w:r w:rsidR="00371C1B">
        <w:t xml:space="preserve">7.1.5) </w:t>
      </w:r>
      <w:r w:rsidR="001A077E">
        <w:t xml:space="preserve">an </w:t>
      </w:r>
      <w:r w:rsidR="001937F9">
        <w:t xml:space="preserve">appropriately authorised purchasing card </w:t>
      </w:r>
      <w:r w:rsidR="001A077E">
        <w:t xml:space="preserve">request form must be completed and submitted to the card holder prior to any payments </w:t>
      </w:r>
      <w:r w:rsidR="00D36E83">
        <w:t>being</w:t>
      </w:r>
      <w:r w:rsidR="001A077E">
        <w:t xml:space="preserve"> made. </w:t>
      </w:r>
      <w:r w:rsidR="00D36E83">
        <w:t xml:space="preserve">A copy of this form must be emailed to the </w:t>
      </w:r>
      <w:r w:rsidR="00FB1343">
        <w:t>f</w:t>
      </w:r>
      <w:r w:rsidR="00D36E83">
        <w:t xml:space="preserve">inancial </w:t>
      </w:r>
      <w:r w:rsidR="00356980">
        <w:t>services team</w:t>
      </w:r>
      <w:r w:rsidR="00D36E83">
        <w:t xml:space="preserve"> within 24 hours of the transaction</w:t>
      </w:r>
      <w:r w:rsidR="00B308E5">
        <w:t xml:space="preserve">. </w:t>
      </w:r>
      <w:r w:rsidR="006348EA">
        <w:t xml:space="preserve">The form must be authorised by an officer with the relevant delegated authority </w:t>
      </w:r>
      <w:r w:rsidR="00156122">
        <w:t>other than the card holder prior to the payment being made.</w:t>
      </w:r>
    </w:p>
    <w:p w14:paraId="4229F9AA" w14:textId="77777777" w:rsidR="00156122" w:rsidRDefault="00156122" w:rsidP="00156122">
      <w:pPr>
        <w:pStyle w:val="Style2"/>
        <w:numPr>
          <w:ilvl w:val="0"/>
          <w:numId w:val="0"/>
        </w:numPr>
        <w:ind w:left="1134"/>
      </w:pPr>
    </w:p>
    <w:p w14:paraId="6560005D" w14:textId="6F67485F" w:rsidR="00C6671F" w:rsidRPr="00A409CB" w:rsidRDefault="00156122" w:rsidP="00A65D72">
      <w:pPr>
        <w:pStyle w:val="Style2"/>
      </w:pPr>
      <w:r>
        <w:t xml:space="preserve">The </w:t>
      </w:r>
      <w:r w:rsidR="00866429">
        <w:t xml:space="preserve">purchase card account is with Barclaycard Commercial and </w:t>
      </w:r>
      <w:r w:rsidR="00042D60">
        <w:t>any changes to card holders and limits are to be authorised by the D</w:t>
      </w:r>
      <w:r w:rsidR="00FB1343">
        <w:t xml:space="preserve">irector of </w:t>
      </w:r>
      <w:r w:rsidR="00F049AA">
        <w:t xml:space="preserve">Finance - </w:t>
      </w:r>
      <w:r w:rsidR="00624F37" w:rsidRPr="00624F37">
        <w:t xml:space="preserve">Primary Care, Financial Services &amp; Infrastructure </w:t>
      </w:r>
      <w:r w:rsidR="00042D60">
        <w:t xml:space="preserve">. The number of card holders </w:t>
      </w:r>
      <w:r w:rsidR="00F63E8C">
        <w:t>and financial limits are</w:t>
      </w:r>
      <w:r w:rsidR="00042D60">
        <w:t xml:space="preserve"> to be </w:t>
      </w:r>
      <w:r w:rsidR="003F367C">
        <w:t>determined by the Director o</w:t>
      </w:r>
      <w:r w:rsidR="007A5DF7">
        <w:t xml:space="preserve">f </w:t>
      </w:r>
      <w:r w:rsidR="00F049AA">
        <w:t xml:space="preserve">Finance - </w:t>
      </w:r>
      <w:r w:rsidR="00624F37" w:rsidRPr="00624F37">
        <w:t xml:space="preserve">Primary Care, Financial Services &amp; Infrastructure </w:t>
      </w:r>
      <w:r w:rsidR="00F63E8C">
        <w:t>.</w:t>
      </w:r>
      <w:r w:rsidR="00C13AFA">
        <w:t xml:space="preserve"> </w:t>
      </w:r>
      <w:r w:rsidR="00F63E8C">
        <w:t xml:space="preserve">The list of cardholders </w:t>
      </w:r>
      <w:r w:rsidR="009C5911">
        <w:t xml:space="preserve">will usually comprise of appropriate senior </w:t>
      </w:r>
      <w:r w:rsidR="001F0C28">
        <w:t xml:space="preserve">finance and corporate team </w:t>
      </w:r>
      <w:r w:rsidR="009C5911">
        <w:t>officers</w:t>
      </w:r>
      <w:r w:rsidR="001F0C28">
        <w:t xml:space="preserve"> </w:t>
      </w:r>
      <w:r w:rsidR="00BA1953">
        <w:t>as well as the Chief Executive’s E</w:t>
      </w:r>
      <w:r w:rsidR="000708AC">
        <w:t xml:space="preserve">xecutive </w:t>
      </w:r>
      <w:r w:rsidR="00BA1953">
        <w:t>A</w:t>
      </w:r>
      <w:r w:rsidR="000708AC">
        <w:t>ssistant</w:t>
      </w:r>
      <w:r w:rsidR="00BA1953">
        <w:t xml:space="preserve"> </w:t>
      </w:r>
      <w:r w:rsidR="001F0C28">
        <w:t xml:space="preserve">although it may be appropriate to extend card holders to specific project </w:t>
      </w:r>
      <w:r w:rsidR="00BA1953">
        <w:t xml:space="preserve">leads for a limited </w:t>
      </w:r>
      <w:r w:rsidR="00CC5239">
        <w:t>time</w:t>
      </w:r>
      <w:r w:rsidR="00BA1953">
        <w:t>.</w:t>
      </w:r>
      <w:r w:rsidR="002825ED">
        <w:t xml:space="preserve"> Any requests to be included as a card holder should be made to a senior financial services officer in the first instance.</w:t>
      </w:r>
    </w:p>
    <w:p w14:paraId="159691C1" w14:textId="77777777" w:rsidR="007628F3" w:rsidRPr="00A409CB" w:rsidRDefault="007628F3" w:rsidP="007628F3">
      <w:pPr>
        <w:pStyle w:val="Style2"/>
        <w:numPr>
          <w:ilvl w:val="0"/>
          <w:numId w:val="0"/>
        </w:numPr>
        <w:ind w:left="1134"/>
      </w:pPr>
    </w:p>
    <w:p w14:paraId="245ECA75" w14:textId="1881A059" w:rsidR="00373A93" w:rsidRPr="008D15E9" w:rsidRDefault="007628F3" w:rsidP="00373A93">
      <w:pPr>
        <w:pStyle w:val="Style2"/>
        <w:rPr>
          <w:b/>
          <w:bCs/>
        </w:rPr>
      </w:pPr>
      <w:r w:rsidRPr="00A409CB">
        <w:t>Purchase cards</w:t>
      </w:r>
      <w:r>
        <w:t xml:space="preserve"> should be locked away and only used by the named card holder on completion of authorised </w:t>
      </w:r>
      <w:r w:rsidR="00DB542B">
        <w:t xml:space="preserve">purchasing card request form. </w:t>
      </w:r>
      <w:r w:rsidR="00DB542B" w:rsidRPr="008D15E9">
        <w:rPr>
          <w:b/>
          <w:bCs/>
        </w:rPr>
        <w:t>Cards should n</w:t>
      </w:r>
      <w:r w:rsidR="00495A54" w:rsidRPr="008D15E9">
        <w:rPr>
          <w:b/>
          <w:bCs/>
        </w:rPr>
        <w:t>ot</w:t>
      </w:r>
      <w:r w:rsidR="00DB542B" w:rsidRPr="008D15E9">
        <w:rPr>
          <w:b/>
          <w:bCs/>
        </w:rPr>
        <w:t xml:space="preserve"> be passed to anyone </w:t>
      </w:r>
      <w:r w:rsidR="00495A54" w:rsidRPr="008D15E9">
        <w:rPr>
          <w:b/>
          <w:bCs/>
        </w:rPr>
        <w:t>other than the named card holder</w:t>
      </w:r>
      <w:r w:rsidR="00285693" w:rsidRPr="008D15E9">
        <w:rPr>
          <w:b/>
          <w:bCs/>
        </w:rPr>
        <w:t xml:space="preserve"> in any circumstances and any inappropriate use should be reported to the D</w:t>
      </w:r>
      <w:r w:rsidR="00220D88" w:rsidRPr="008D15E9">
        <w:rPr>
          <w:b/>
          <w:bCs/>
        </w:rPr>
        <w:t xml:space="preserve">irector of </w:t>
      </w:r>
      <w:r w:rsidR="00432C6C">
        <w:rPr>
          <w:b/>
          <w:bCs/>
        </w:rPr>
        <w:t xml:space="preserve">Finance - </w:t>
      </w:r>
      <w:r w:rsidR="00624F37" w:rsidRPr="00624F37">
        <w:rPr>
          <w:b/>
          <w:bCs/>
        </w:rPr>
        <w:t>Primary Care, Financial Services &amp; Infrastructure</w:t>
      </w:r>
      <w:r w:rsidR="00285693" w:rsidRPr="008D15E9">
        <w:rPr>
          <w:b/>
          <w:bCs/>
        </w:rPr>
        <w:t>.</w:t>
      </w:r>
    </w:p>
    <w:p w14:paraId="4AEDEB0A" w14:textId="77777777" w:rsidR="00373A93" w:rsidRDefault="00373A93" w:rsidP="00373A93">
      <w:pPr>
        <w:pStyle w:val="Style2"/>
        <w:numPr>
          <w:ilvl w:val="0"/>
          <w:numId w:val="0"/>
        </w:numPr>
        <w:ind w:left="1134"/>
      </w:pPr>
    </w:p>
    <w:p w14:paraId="4AA8E537" w14:textId="4F615574" w:rsidR="00616853" w:rsidRDefault="00373A93" w:rsidP="00616853">
      <w:pPr>
        <w:pStyle w:val="Style2"/>
      </w:pPr>
      <w:r>
        <w:t xml:space="preserve">The purchase card must only be used for ICB business use and should never be used </w:t>
      </w:r>
      <w:r w:rsidR="00616853">
        <w:t>for personal use.</w:t>
      </w:r>
      <w:r w:rsidR="00B23DC8">
        <w:t xml:space="preserve"> The purchase card must not be used to reimburse staff for </w:t>
      </w:r>
      <w:r w:rsidR="00696C90">
        <w:t xml:space="preserve">expenses that should be claimed via </w:t>
      </w:r>
      <w:r w:rsidR="009372F1">
        <w:t>the electronic payroll expense system.</w:t>
      </w:r>
    </w:p>
    <w:p w14:paraId="52E8DE67" w14:textId="77777777" w:rsidR="00616853" w:rsidRDefault="00616853" w:rsidP="00616853">
      <w:pPr>
        <w:pStyle w:val="Style2"/>
        <w:numPr>
          <w:ilvl w:val="0"/>
          <w:numId w:val="0"/>
        </w:numPr>
        <w:ind w:left="1134"/>
      </w:pPr>
    </w:p>
    <w:p w14:paraId="785D4A98" w14:textId="5A1B786B" w:rsidR="00915C78" w:rsidRDefault="000F5C0C" w:rsidP="00915C78">
      <w:pPr>
        <w:pStyle w:val="Style2"/>
      </w:pPr>
      <w:r>
        <w:t xml:space="preserve">Card usage can be limited by Barclaycard Commercial </w:t>
      </w:r>
      <w:r w:rsidR="00055953">
        <w:t>on card issue or at any time thereafter. All cards should restrict card holders so that they are unable to withdraw cash</w:t>
      </w:r>
      <w:r w:rsidR="00915C78">
        <w:t xml:space="preserve"> or use the card for types of retailers that are not required.</w:t>
      </w:r>
    </w:p>
    <w:p w14:paraId="4C7D2766" w14:textId="77777777" w:rsidR="00915C78" w:rsidRDefault="00915C78" w:rsidP="00915C78">
      <w:pPr>
        <w:pStyle w:val="Style2"/>
        <w:numPr>
          <w:ilvl w:val="0"/>
          <w:numId w:val="0"/>
        </w:numPr>
        <w:ind w:left="1134"/>
      </w:pPr>
    </w:p>
    <w:p w14:paraId="530BB1D7" w14:textId="33EF5AD0" w:rsidR="006A33B7" w:rsidRDefault="002D5B7D" w:rsidP="006A33B7">
      <w:pPr>
        <w:pStyle w:val="Style2"/>
      </w:pPr>
      <w:r>
        <w:t>Each month</w:t>
      </w:r>
      <w:r w:rsidR="00220D88">
        <w:t>,</w:t>
      </w:r>
      <w:r>
        <w:t xml:space="preserve"> collection of the outstanding balance is taken via direct debit. </w:t>
      </w:r>
      <w:r w:rsidR="00C53442">
        <w:t>A senior financial services officer</w:t>
      </w:r>
      <w:r>
        <w:t xml:space="preserve"> </w:t>
      </w:r>
      <w:r w:rsidR="0091376B">
        <w:t xml:space="preserve">will review the monthly statement to ensure that all expenditure is appropriate and supported by appropriately authorised purchase card request forms </w:t>
      </w:r>
      <w:r w:rsidR="00B446F0">
        <w:t xml:space="preserve">and will arrange for a member of the team to recode the expenditure from the control code to the </w:t>
      </w:r>
      <w:r w:rsidR="00CC5239">
        <w:t>nominated account code supplied on the form</w:t>
      </w:r>
      <w:r w:rsidR="006A33B7">
        <w:t>.</w:t>
      </w:r>
    </w:p>
    <w:p w14:paraId="62863E2A" w14:textId="77777777" w:rsidR="006A33B7" w:rsidRDefault="006A33B7" w:rsidP="006A33B7">
      <w:pPr>
        <w:pStyle w:val="Style2"/>
        <w:numPr>
          <w:ilvl w:val="0"/>
          <w:numId w:val="0"/>
        </w:numPr>
        <w:ind w:left="1134"/>
      </w:pPr>
    </w:p>
    <w:p w14:paraId="263ED042" w14:textId="007B9FE1" w:rsidR="002D60BB" w:rsidRDefault="006A33B7" w:rsidP="002D60BB">
      <w:pPr>
        <w:pStyle w:val="Style2"/>
      </w:pPr>
      <w:r>
        <w:t xml:space="preserve">A VAT invoice should be requested from the supplier </w:t>
      </w:r>
      <w:r w:rsidR="002D60BB">
        <w:t xml:space="preserve">by the budget holder if the supply is vatable and forwarded to the </w:t>
      </w:r>
      <w:r w:rsidR="00617154">
        <w:t>f</w:t>
      </w:r>
      <w:r w:rsidR="002D60BB">
        <w:t>inanc</w:t>
      </w:r>
      <w:r w:rsidR="00C53442">
        <w:t>ial</w:t>
      </w:r>
      <w:r w:rsidR="002D60BB">
        <w:t xml:space="preserve"> </w:t>
      </w:r>
      <w:r w:rsidR="00C53442">
        <w:t xml:space="preserve">services </w:t>
      </w:r>
      <w:r w:rsidR="00617154">
        <w:t>t</w:t>
      </w:r>
      <w:r w:rsidR="002D60BB">
        <w:t>eam to enable the correct treatment of the VAT.</w:t>
      </w:r>
    </w:p>
    <w:p w14:paraId="28CB9C7B" w14:textId="77777777" w:rsidR="002D60BB" w:rsidRDefault="002D60BB" w:rsidP="002D60BB">
      <w:pPr>
        <w:pStyle w:val="Style2"/>
        <w:numPr>
          <w:ilvl w:val="0"/>
          <w:numId w:val="0"/>
        </w:numPr>
        <w:ind w:left="1134"/>
      </w:pPr>
    </w:p>
    <w:p w14:paraId="07153D23" w14:textId="491579B8" w:rsidR="00FA413F" w:rsidRDefault="00C53442" w:rsidP="00FA413F">
      <w:pPr>
        <w:pStyle w:val="Style2"/>
      </w:pPr>
      <w:r>
        <w:t>A senior financial services officer</w:t>
      </w:r>
      <w:r w:rsidR="002D60BB">
        <w:t xml:space="preserve"> will review usage on a periodic basis (as a minimum </w:t>
      </w:r>
      <w:r w:rsidR="0041405D">
        <w:t>quarter</w:t>
      </w:r>
      <w:r w:rsidR="002D60BB">
        <w:t>ly) to ensure that all</w:t>
      </w:r>
      <w:r w:rsidR="0041405D">
        <w:t xml:space="preserve"> cards held are still required and all limits still valid. Cards held by leavers must be returned to </w:t>
      </w:r>
      <w:r>
        <w:t>a senior financial services officer</w:t>
      </w:r>
      <w:r w:rsidR="0041405D">
        <w:t xml:space="preserve"> </w:t>
      </w:r>
      <w:r w:rsidR="00BD09A5">
        <w:t>prior to departure</w:t>
      </w:r>
      <w:r w:rsidR="0041405D">
        <w:t>.</w:t>
      </w:r>
    </w:p>
    <w:p w14:paraId="73F14EF8" w14:textId="77777777" w:rsidR="00F3691C" w:rsidRDefault="00CC0EFA" w:rsidP="00F3691C">
      <w:pPr>
        <w:pStyle w:val="Heading3"/>
      </w:pPr>
      <w:bookmarkStart w:id="31" w:name="_Toc111196219"/>
      <w:r>
        <w:lastRenderedPageBreak/>
        <w:t>Fraud Awareness</w:t>
      </w:r>
      <w:bookmarkEnd w:id="31"/>
    </w:p>
    <w:p w14:paraId="0D51EBA7" w14:textId="0FEA56FD" w:rsidR="00BB3261" w:rsidRPr="00F3691C" w:rsidRDefault="00CC0EFA" w:rsidP="0088227B">
      <w:pPr>
        <w:pStyle w:val="Style2"/>
      </w:pPr>
      <w:r w:rsidRPr="00F3691C">
        <w:t xml:space="preserve">If a staff member or officer believes or suspects that a fraudulent transaction has been processed, they should consult the ICB </w:t>
      </w:r>
      <w:hyperlink r:id="rId13" w:history="1">
        <w:r w:rsidRPr="00497BF9">
          <w:rPr>
            <w:rStyle w:val="Hyperlink"/>
          </w:rPr>
          <w:t>Counter Fraud, Bribery and Corruption Policy</w:t>
        </w:r>
      </w:hyperlink>
      <w:r w:rsidRPr="00F3691C">
        <w:t xml:space="preserve"> and contact the Local Counter Fraud Specialist</w:t>
      </w:r>
      <w:r w:rsidR="00624F37" w:rsidRPr="00624F37">
        <w:t xml:space="preserve"> </w:t>
      </w:r>
      <w:r w:rsidR="00624F37" w:rsidRPr="00A1536F">
        <w:t>Hannah Wenlock</w:t>
      </w:r>
      <w:r w:rsidR="00624F37">
        <w:t xml:space="preserve"> - </w:t>
      </w:r>
      <w:r w:rsidR="00624F37" w:rsidRPr="00A1536F">
        <w:t>hannah.wenlock@</w:t>
      </w:r>
      <w:r w:rsidR="00624F37">
        <w:t>nhs.net</w:t>
      </w:r>
      <w:r w:rsidRPr="00F3691C">
        <w:t xml:space="preserve">. The ICB Counter Fraud, Bribery and Corruption Policy provides more guidance on what to do if fraud is suspected and offers alternative contacts for reporting concerns. </w:t>
      </w:r>
    </w:p>
    <w:p w14:paraId="38D6A5E2" w14:textId="77777777" w:rsidR="00F913CD" w:rsidRPr="0015255F" w:rsidRDefault="00F913CD" w:rsidP="006B3E9C">
      <w:pPr>
        <w:pStyle w:val="Heading2"/>
      </w:pPr>
      <w:bookmarkStart w:id="32" w:name="_Toc84611059"/>
      <w:bookmarkStart w:id="33" w:name="_Toc89326549"/>
      <w:bookmarkStart w:id="34" w:name="_Toc111196220"/>
      <w:r w:rsidRPr="0015255F">
        <w:t xml:space="preserve">Monitoring </w:t>
      </w:r>
      <w:r w:rsidRPr="006B3E9C">
        <w:t>Compliance</w:t>
      </w:r>
      <w:bookmarkEnd w:id="32"/>
      <w:bookmarkEnd w:id="33"/>
      <w:bookmarkEnd w:id="34"/>
    </w:p>
    <w:p w14:paraId="5DBE4A9A" w14:textId="7CA5B84B" w:rsidR="00B273C4" w:rsidRPr="009635BB" w:rsidRDefault="00BB77DF" w:rsidP="00B76004">
      <w:pPr>
        <w:pStyle w:val="Style1"/>
      </w:pPr>
      <w:r>
        <w:t>NHS</w:t>
      </w:r>
      <w:r w:rsidR="00B76004">
        <w:t xml:space="preserve"> SBS produce monitoring metrics which include the </w:t>
      </w:r>
      <w:r w:rsidR="00847383">
        <w:t>number of credit</w:t>
      </w:r>
      <w:r w:rsidR="00826CC2">
        <w:t xml:space="preserve"> notes which is an indication</w:t>
      </w:r>
      <w:r w:rsidR="00847383">
        <w:t xml:space="preserve"> of the </w:t>
      </w:r>
      <w:r w:rsidR="005B6286">
        <w:t xml:space="preserve">efficiency and accuracy of the ICBs processes in relation to </w:t>
      </w:r>
      <w:r w:rsidR="00797196">
        <w:t xml:space="preserve">raising </w:t>
      </w:r>
      <w:r w:rsidR="00826CC2">
        <w:t xml:space="preserve">purchase </w:t>
      </w:r>
      <w:r w:rsidR="00797196">
        <w:t xml:space="preserve">invoices. These metrics are reported to </w:t>
      </w:r>
      <w:r w:rsidR="006722F6">
        <w:t xml:space="preserve">each meeting of </w:t>
      </w:r>
      <w:r w:rsidR="00797196" w:rsidRPr="009635BB">
        <w:t xml:space="preserve">the </w:t>
      </w:r>
      <w:r w:rsidR="00797196" w:rsidRPr="008D15E9">
        <w:t xml:space="preserve">Finance </w:t>
      </w:r>
      <w:r w:rsidR="00753AE0" w:rsidRPr="008D15E9">
        <w:t xml:space="preserve">and </w:t>
      </w:r>
      <w:r w:rsidR="003E1229">
        <w:t>Performance</w:t>
      </w:r>
      <w:r w:rsidR="00753AE0" w:rsidRPr="008D15E9">
        <w:t xml:space="preserve"> </w:t>
      </w:r>
      <w:r w:rsidR="00797196" w:rsidRPr="008D15E9">
        <w:t>Committee.</w:t>
      </w:r>
    </w:p>
    <w:p w14:paraId="042F9551" w14:textId="0649C0F2" w:rsidR="00790EBC" w:rsidRPr="00797196" w:rsidRDefault="00550769" w:rsidP="00AE6A3D">
      <w:pPr>
        <w:pStyle w:val="Style1"/>
      </w:pPr>
      <w:r w:rsidRPr="009635BB">
        <w:t>A</w:t>
      </w:r>
      <w:r w:rsidR="0025373A" w:rsidRPr="009635BB">
        <w:t xml:space="preserve">ged </w:t>
      </w:r>
      <w:r w:rsidR="00AE6A3D" w:rsidRPr="009635BB">
        <w:t>credi</w:t>
      </w:r>
      <w:r w:rsidR="0025373A" w:rsidRPr="009635BB">
        <w:t>tor reports are summarised for inclusion in the ICB’s</w:t>
      </w:r>
      <w:r w:rsidR="0025373A">
        <w:t xml:space="preserve"> finance report to </w:t>
      </w:r>
      <w:r>
        <w:t xml:space="preserve">each meeting of </w:t>
      </w:r>
      <w:r w:rsidR="0025373A">
        <w:t xml:space="preserve">the Finance </w:t>
      </w:r>
      <w:r w:rsidR="00AE6A3D">
        <w:t xml:space="preserve">and </w:t>
      </w:r>
      <w:r w:rsidR="003E1229">
        <w:t>Performance</w:t>
      </w:r>
      <w:r w:rsidR="00AE6A3D">
        <w:t xml:space="preserve"> </w:t>
      </w:r>
      <w:r w:rsidR="0025373A">
        <w:t>Committee and Board</w:t>
      </w:r>
      <w:r w:rsidR="00525A26">
        <w:t xml:space="preserve">. </w:t>
      </w:r>
    </w:p>
    <w:p w14:paraId="03671137" w14:textId="77777777" w:rsidR="00F913CD" w:rsidRPr="0015255F" w:rsidRDefault="00F913CD" w:rsidP="006B3E9C">
      <w:pPr>
        <w:pStyle w:val="Heading2"/>
      </w:pPr>
      <w:bookmarkStart w:id="35" w:name="_Toc84611060"/>
      <w:bookmarkStart w:id="36" w:name="_Toc89326550"/>
      <w:bookmarkStart w:id="37" w:name="_Toc111196221"/>
      <w:r w:rsidRPr="0015255F">
        <w:t xml:space="preserve">Staff </w:t>
      </w:r>
      <w:r w:rsidRPr="006B3E9C">
        <w:t>Training</w:t>
      </w:r>
      <w:bookmarkEnd w:id="35"/>
      <w:bookmarkEnd w:id="36"/>
      <w:bookmarkEnd w:id="37"/>
    </w:p>
    <w:p w14:paraId="240C110C" w14:textId="32EBDF1F" w:rsidR="00F913CD" w:rsidRDefault="00A8252D" w:rsidP="006B3E9C">
      <w:pPr>
        <w:pStyle w:val="Style1"/>
      </w:pPr>
      <w:r>
        <w:t xml:space="preserve">Line managers must ensure that all relevant staff are </w:t>
      </w:r>
      <w:r w:rsidR="00435CC4">
        <w:t>aware of the contents of this policy document and the process</w:t>
      </w:r>
      <w:r w:rsidR="003B7052">
        <w:t>es required to comply.</w:t>
      </w:r>
    </w:p>
    <w:p w14:paraId="192E30C5" w14:textId="65DE4E55" w:rsidR="0060121B" w:rsidRPr="0015255F" w:rsidRDefault="0060121B" w:rsidP="006B3E9C">
      <w:pPr>
        <w:pStyle w:val="Style1"/>
      </w:pPr>
      <w:r>
        <w:t xml:space="preserve">The </w:t>
      </w:r>
      <w:r w:rsidR="00547414">
        <w:t xml:space="preserve">Executive Chief Finance Officer </w:t>
      </w:r>
      <w:r>
        <w:t xml:space="preserve">is responsible for ensuring that appropriate training is given to </w:t>
      </w:r>
      <w:r w:rsidR="00AE6A3D">
        <w:t xml:space="preserve">finance staff and </w:t>
      </w:r>
      <w:r>
        <w:t xml:space="preserve">budget holders </w:t>
      </w:r>
      <w:r w:rsidR="00802922">
        <w:t>in order that they can fulfil their responsibilities outlined in this policy document.</w:t>
      </w:r>
    </w:p>
    <w:p w14:paraId="7DF6B752" w14:textId="0357AC92" w:rsidR="00F913CD" w:rsidRPr="0015255F" w:rsidRDefault="00F913CD" w:rsidP="006B3E9C">
      <w:pPr>
        <w:pStyle w:val="Heading2"/>
      </w:pPr>
      <w:bookmarkStart w:id="38" w:name="_Toc84611061"/>
      <w:bookmarkStart w:id="39" w:name="_Toc89326551"/>
      <w:bookmarkStart w:id="40" w:name="_Toc111196222"/>
      <w:r w:rsidRPr="0015255F">
        <w:t xml:space="preserve">Arrangements </w:t>
      </w:r>
      <w:r w:rsidR="00AE6A3D" w:rsidRPr="0015255F">
        <w:t>for</w:t>
      </w:r>
      <w:r w:rsidR="00F17606">
        <w:t xml:space="preserve"> </w:t>
      </w:r>
      <w:r w:rsidRPr="0015255F">
        <w:t>Review</w:t>
      </w:r>
      <w:bookmarkEnd w:id="38"/>
      <w:bookmarkEnd w:id="39"/>
      <w:bookmarkEnd w:id="40"/>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1" w:name="_Toc84611062"/>
    </w:p>
    <w:p w14:paraId="4D2967FC" w14:textId="77777777" w:rsidR="00F913CD" w:rsidRPr="0015255F" w:rsidRDefault="00F913CD" w:rsidP="006B3E9C">
      <w:pPr>
        <w:pStyle w:val="Heading2"/>
      </w:pPr>
      <w:bookmarkStart w:id="42" w:name="_Toc89326552"/>
      <w:bookmarkStart w:id="43" w:name="_Toc111196223"/>
      <w:bookmarkEnd w:id="41"/>
      <w:r w:rsidRPr="0015255F">
        <w:lastRenderedPageBreak/>
        <w:t xml:space="preserve">Associated Policies, Guidance </w:t>
      </w:r>
      <w:proofErr w:type="gramStart"/>
      <w:r w:rsidRPr="0015255F">
        <w:t>And</w:t>
      </w:r>
      <w:proofErr w:type="gramEnd"/>
      <w:r w:rsidRPr="0015255F">
        <w:t xml:space="preserve"> Documents</w:t>
      </w:r>
      <w:bookmarkEnd w:id="42"/>
      <w:bookmarkEnd w:id="43"/>
    </w:p>
    <w:p w14:paraId="7DE6C051" w14:textId="01DD4F61" w:rsidR="00F913CD" w:rsidRPr="000F560D" w:rsidRDefault="0067527A" w:rsidP="00201DAA">
      <w:pPr>
        <w:pStyle w:val="Heading4"/>
        <w:ind w:left="1134"/>
      </w:pPr>
      <w:hyperlink r:id="rId14" w:history="1">
        <w:r w:rsidR="00F913CD" w:rsidRPr="00497BF9">
          <w:rPr>
            <w:rStyle w:val="Hyperlink"/>
          </w:rPr>
          <w:t>Associated Policies</w:t>
        </w:r>
      </w:hyperlink>
    </w:p>
    <w:p w14:paraId="4776C116" w14:textId="5584195B" w:rsidR="003D4A52" w:rsidRDefault="003D4A52" w:rsidP="006B3E9C">
      <w:pPr>
        <w:pStyle w:val="ListParagraph"/>
      </w:pPr>
      <w:r>
        <w:t>ICB Procurement &amp; Contracting Policy</w:t>
      </w:r>
    </w:p>
    <w:p w14:paraId="47CD9A5D" w14:textId="6227872E" w:rsidR="00F17606" w:rsidRDefault="00F17606" w:rsidP="006B3E9C">
      <w:pPr>
        <w:pStyle w:val="ListParagraph"/>
      </w:pPr>
      <w:r>
        <w:t>ICB Bank</w:t>
      </w:r>
      <w:r w:rsidR="006F5135">
        <w:t>ing</w:t>
      </w:r>
      <w:r>
        <w:t xml:space="preserve"> and Cash</w:t>
      </w:r>
      <w:r w:rsidR="006F5135">
        <w:t xml:space="preserve"> Management Policy</w:t>
      </w:r>
    </w:p>
    <w:p w14:paraId="2179CC40" w14:textId="7CB2F3E1" w:rsidR="002A0D64" w:rsidRDefault="002A0D64" w:rsidP="006B3E9C">
      <w:pPr>
        <w:pStyle w:val="ListParagraph"/>
      </w:pPr>
      <w:r>
        <w:t>ICB Standards of Business Conduct Policy</w:t>
      </w:r>
    </w:p>
    <w:p w14:paraId="78430156" w14:textId="273921A8" w:rsidR="002A0D64" w:rsidRDefault="002A0D64" w:rsidP="006B3E9C">
      <w:pPr>
        <w:pStyle w:val="ListParagraph"/>
      </w:pPr>
      <w:r>
        <w:t>ICB Conflicts of Interest Policy</w:t>
      </w:r>
    </w:p>
    <w:p w14:paraId="23825361" w14:textId="77777777" w:rsidR="00F913CD" w:rsidRPr="0015255F" w:rsidRDefault="00F913CD" w:rsidP="006B3E9C">
      <w:pPr>
        <w:pStyle w:val="Heading2"/>
      </w:pPr>
      <w:bookmarkStart w:id="44" w:name="_Toc89326553"/>
      <w:bookmarkStart w:id="45" w:name="_Toc111196224"/>
      <w:r w:rsidRPr="0015255F">
        <w:t>References</w:t>
      </w:r>
      <w:bookmarkEnd w:id="44"/>
      <w:bookmarkEnd w:id="45"/>
    </w:p>
    <w:p w14:paraId="59C575EC" w14:textId="52DACDF8" w:rsidR="00F913CD" w:rsidRDefault="002426C1" w:rsidP="006B3E9C">
      <w:pPr>
        <w:pStyle w:val="ListParagraph"/>
      </w:pPr>
      <w:r>
        <w:t xml:space="preserve">NHSEI/NHS Shared Business Services </w:t>
      </w:r>
      <w:r w:rsidR="00E7455D">
        <w:t>–</w:t>
      </w:r>
      <w:r>
        <w:t xml:space="preserve"> </w:t>
      </w:r>
      <w:r w:rsidR="00E7455D">
        <w:t xml:space="preserve">“Business Process Best Practice in the ISFE Environment” </w:t>
      </w:r>
      <w:r w:rsidR="00750C8C">
        <w:t>–</w:t>
      </w:r>
      <w:r w:rsidR="00E7455D">
        <w:t xml:space="preserve"> </w:t>
      </w:r>
      <w:r w:rsidR="00750C8C">
        <w:t>Version 2.0 (March 2022)</w:t>
      </w:r>
    </w:p>
    <w:p w14:paraId="2F1C94C3" w14:textId="45255FE4" w:rsidR="002A0D64" w:rsidRDefault="002A0D64" w:rsidP="006B3E9C">
      <w:pPr>
        <w:pStyle w:val="ListParagraph"/>
      </w:pPr>
      <w:r>
        <w:t>ICB Scheme of Reservation and Delegation</w:t>
      </w:r>
    </w:p>
    <w:p w14:paraId="5C99D0F3" w14:textId="7DF74084" w:rsidR="00EF4F09" w:rsidRPr="0015255F" w:rsidRDefault="002A0D64" w:rsidP="00CD5A3F">
      <w:pPr>
        <w:pStyle w:val="ListParagraph"/>
      </w:pPr>
      <w:r>
        <w:t>ICB Standing Financial Instructions</w:t>
      </w:r>
      <w:r w:rsidR="0099597C">
        <w:t xml:space="preserve"> </w:t>
      </w:r>
    </w:p>
    <w:p w14:paraId="0749B5BB" w14:textId="77777777" w:rsidR="00F913CD" w:rsidRPr="0015255F" w:rsidRDefault="00F913CD" w:rsidP="006B3E9C">
      <w:pPr>
        <w:pStyle w:val="Heading2"/>
      </w:pPr>
      <w:bookmarkStart w:id="46" w:name="_Toc89326554"/>
      <w:bookmarkStart w:id="47" w:name="_Toc111196225"/>
      <w:r w:rsidRPr="0015255F">
        <w:t>Equality Impact Assessment</w:t>
      </w:r>
      <w:bookmarkEnd w:id="46"/>
      <w:bookmarkEnd w:id="47"/>
    </w:p>
    <w:p w14:paraId="31CD75FD" w14:textId="59E2FE89" w:rsidR="00F913CD" w:rsidRPr="0015255F" w:rsidRDefault="00106E3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48" w:name="_Toc419388298"/>
      <w:bookmarkStart w:id="49" w:name="_Toc47357161"/>
      <w:bookmarkStart w:id="50" w:name="_Toc84611065"/>
      <w:bookmarkStart w:id="51" w:name="_Toc89326555"/>
      <w:bookmarkStart w:id="52" w:name="_Toc111196226"/>
      <w:r w:rsidRPr="006606C1">
        <w:lastRenderedPageBreak/>
        <w:t>Appendix</w:t>
      </w:r>
      <w:r>
        <w:t xml:space="preserve"> A</w:t>
      </w:r>
      <w:bookmarkEnd w:id="48"/>
      <w:bookmarkEnd w:id="49"/>
      <w:bookmarkEnd w:id="50"/>
      <w:bookmarkEnd w:id="51"/>
      <w:r>
        <w:t xml:space="preserve"> </w:t>
      </w:r>
      <w:bookmarkStart w:id="53" w:name="_Toc84611066"/>
      <w:bookmarkStart w:id="54" w:name="_Toc89326556"/>
      <w:r w:rsidR="003A663C">
        <w:t xml:space="preserve">- </w:t>
      </w:r>
      <w:r w:rsidRPr="00FC7C60">
        <w:t>Equality Impact Assessment</w:t>
      </w:r>
      <w:bookmarkEnd w:id="52"/>
      <w:bookmarkEnd w:id="53"/>
      <w:bookmarkEnd w:id="54"/>
    </w:p>
    <w:p w14:paraId="47E3DAA6" w14:textId="2137B896" w:rsidR="008344D6" w:rsidRDefault="008344D6" w:rsidP="00201DAA">
      <w:pPr>
        <w:pStyle w:val="Heading4"/>
      </w:pPr>
      <w:bookmarkStart w:id="55" w:name="_Toc89326557"/>
      <w:r>
        <w:t>Assessor’s Name:</w:t>
      </w:r>
      <w:r w:rsidR="00106E35">
        <w:t xml:space="preserve"> </w:t>
      </w:r>
      <w:r w:rsidR="00624F37">
        <w:rPr>
          <w:b w:val="0"/>
          <w:bCs/>
        </w:rPr>
        <w:t xml:space="preserve"> Natalie Brodie</w:t>
      </w:r>
    </w:p>
    <w:p w14:paraId="4AE1F0A8" w14:textId="1E2534FC" w:rsidR="00624F37" w:rsidRDefault="008344D6" w:rsidP="00624F37">
      <w:pPr>
        <w:pStyle w:val="Heading4"/>
        <w:spacing w:before="240" w:after="0"/>
      </w:pPr>
      <w:r>
        <w:t>Assessor’s Job Title:</w:t>
      </w:r>
      <w:bookmarkStart w:id="56" w:name="_Hlk170913296"/>
      <w:r w:rsidR="00624F37" w:rsidRPr="00624F37">
        <w:rPr>
          <w:b w:val="0"/>
          <w:bCs/>
        </w:rPr>
        <w:t xml:space="preserve"> </w:t>
      </w:r>
      <w:r w:rsidR="00624F37" w:rsidRPr="00A1536F">
        <w:rPr>
          <w:b w:val="0"/>
          <w:bCs/>
        </w:rPr>
        <w:t>Deputy Director of Finance Primary Care &amp; Financial Services</w:t>
      </w:r>
    </w:p>
    <w:bookmarkEnd w:id="56"/>
    <w:p w14:paraId="631E0362" w14:textId="41059A11" w:rsidR="008344D6" w:rsidRDefault="008344D6" w:rsidP="00201DAA">
      <w:pPr>
        <w:pStyle w:val="Heading4"/>
      </w:pPr>
      <w:r>
        <w:t>Date:</w:t>
      </w:r>
      <w:r w:rsidR="00106E35">
        <w:t xml:space="preserve"> </w:t>
      </w:r>
      <w:r w:rsidR="00624F37">
        <w:rPr>
          <w:b w:val="0"/>
          <w:bCs/>
        </w:rPr>
        <w:t>03 July 2024</w:t>
      </w:r>
    </w:p>
    <w:p w14:paraId="1174C48F" w14:textId="77777777" w:rsidR="006606C1" w:rsidRPr="00295019" w:rsidRDefault="006606C1" w:rsidP="00201DAA">
      <w:pPr>
        <w:pStyle w:val="Heading4"/>
      </w:pPr>
      <w:r w:rsidRPr="00295019">
        <w:t>Outcomes</w:t>
      </w:r>
      <w:bookmarkEnd w:id="55"/>
      <w:r w:rsidRPr="00295019">
        <w:t xml:space="preserve"> </w:t>
      </w:r>
    </w:p>
    <w:p w14:paraId="47A56263" w14:textId="77777777" w:rsidR="006606C1" w:rsidRDefault="006606C1" w:rsidP="00324D0B">
      <w:r w:rsidRPr="00873D77">
        <w:t xml:space="preserve">Briefly describe the aim of the policy and state the intended outcomes for </w:t>
      </w:r>
      <w:r w:rsidRPr="006606C1">
        <w:t>staff</w:t>
      </w:r>
    </w:p>
    <w:p w14:paraId="2EBC51E6" w14:textId="067B2E3D" w:rsidR="00B80EAE" w:rsidRPr="00B80EAE" w:rsidRDefault="000720C8" w:rsidP="00E90CB2">
      <w:r>
        <w:t xml:space="preserve">The aim of the policy is to set out the </w:t>
      </w:r>
      <w:r w:rsidR="00C6391E">
        <w:t>requirements fo</w:t>
      </w:r>
      <w:r w:rsidR="00CD5A3F">
        <w:t xml:space="preserve">r </w:t>
      </w:r>
      <w:r w:rsidR="00AE6A3D">
        <w:t xml:space="preserve">purchase requisitioning and </w:t>
      </w:r>
      <w:r w:rsidR="00D63970">
        <w:t>payments</w:t>
      </w:r>
      <w:r w:rsidR="00E569C5">
        <w:t>, that the processes are</w:t>
      </w:r>
      <w:r w:rsidR="00B913D3">
        <w:t xml:space="preserve"> efficient</w:t>
      </w:r>
      <w:r w:rsidR="0024442E">
        <w:t xml:space="preserve"> and unnecessary transactions are avoided.</w:t>
      </w:r>
    </w:p>
    <w:p w14:paraId="099EA78B" w14:textId="77777777" w:rsidR="00B80EAE" w:rsidRPr="00873D77" w:rsidRDefault="00B80EAE" w:rsidP="00201DAA">
      <w:pPr>
        <w:pStyle w:val="Heading4"/>
      </w:pPr>
      <w:r w:rsidRPr="00873D77">
        <w:t xml:space="preserve">Evidence </w:t>
      </w:r>
    </w:p>
    <w:p w14:paraId="268E41CF" w14:textId="77777777" w:rsidR="00B80EAE" w:rsidRPr="0094586C" w:rsidRDefault="00B80EAE" w:rsidP="00324D0B">
      <w:pPr>
        <w:rPr>
          <w:b/>
          <w:bCs/>
        </w:rPr>
      </w:pPr>
      <w:r w:rsidRPr="0094586C">
        <w:rPr>
          <w:b/>
          <w:bCs/>
        </w:rPr>
        <w:t>What data/information have you used to assess how this policy might impact on protected groups?</w:t>
      </w:r>
    </w:p>
    <w:p w14:paraId="3A7F7286" w14:textId="51C21D3A" w:rsidR="00B80EAE" w:rsidRPr="00B80EAE" w:rsidRDefault="0094586C" w:rsidP="0094586C">
      <w:r w:rsidRPr="00A537AE">
        <w:rPr>
          <w:rFonts w:ascii="Arial" w:eastAsia="Times New Roman" w:hAnsi="Arial" w:cs="Arial"/>
          <w:bCs/>
          <w:color w:val="auto"/>
        </w:rPr>
        <w:t xml:space="preserve">The </w:t>
      </w:r>
      <w:r>
        <w:rPr>
          <w:rFonts w:ascii="Arial" w:eastAsia="Times New Roman" w:hAnsi="Arial" w:cs="Arial"/>
          <w:bCs/>
          <w:color w:val="auto"/>
        </w:rPr>
        <w:t>ICB</w:t>
      </w:r>
      <w:r w:rsidRPr="00A537AE">
        <w:rPr>
          <w:rFonts w:ascii="Arial" w:eastAsia="Times New Roman" w:hAnsi="Arial" w:cs="Arial"/>
          <w:bCs/>
          <w:color w:val="auto"/>
        </w:rPr>
        <w:t xml:space="preserve"> regularly monitor the make-up of </w:t>
      </w:r>
      <w:r>
        <w:rPr>
          <w:rFonts w:ascii="Arial" w:eastAsia="Times New Roman" w:hAnsi="Arial" w:cs="Arial"/>
          <w:bCs/>
          <w:color w:val="auto"/>
        </w:rPr>
        <w:t xml:space="preserve">its </w:t>
      </w:r>
      <w:r w:rsidRPr="00A537AE">
        <w:rPr>
          <w:rFonts w:ascii="Arial" w:eastAsia="Times New Roman" w:hAnsi="Arial" w:cs="Arial"/>
          <w:bCs/>
          <w:color w:val="auto"/>
        </w:rPr>
        <w:t>workforce, including protected groups</w:t>
      </w:r>
      <w:r>
        <w:t>.</w:t>
      </w:r>
    </w:p>
    <w:p w14:paraId="46594DBB" w14:textId="77777777" w:rsidR="00B80EAE" w:rsidRPr="00380A50" w:rsidRDefault="00B80EAE" w:rsidP="00324D0B">
      <w:pPr>
        <w:rPr>
          <w:b/>
          <w:bCs/>
        </w:rPr>
      </w:pPr>
      <w:r w:rsidRPr="00380A50">
        <w:rPr>
          <w:b/>
          <w:bCs/>
        </w:rPr>
        <w:t xml:space="preserve">Who have you consulted with to assess possible impact on protected groups? If you have not consulted other people, please explain why? </w:t>
      </w:r>
    </w:p>
    <w:p w14:paraId="47D287CF" w14:textId="608940A0" w:rsidR="00380A50" w:rsidRPr="00B80EAE" w:rsidRDefault="00380A50" w:rsidP="00380A50">
      <w:r>
        <w:t xml:space="preserve">Policy has been shared with </w:t>
      </w:r>
      <w:bookmarkStart w:id="57" w:name="_Hlk170913336"/>
      <w:r w:rsidR="00A63C4C" w:rsidRPr="00067400">
        <w:t>Director of Finance – Primary Care, Financial Services &amp; Infrastructure</w:t>
      </w:r>
      <w:r w:rsidR="00A63C4C">
        <w:t xml:space="preserve">, </w:t>
      </w:r>
      <w:r w:rsidR="00624F37">
        <w:t xml:space="preserve">Head of </w:t>
      </w:r>
      <w:r w:rsidR="00A63C4C">
        <w:t>Financial Services and</w:t>
      </w:r>
      <w:r w:rsidR="00624F37">
        <w:t xml:space="preserve"> Senior Financial Accountant </w:t>
      </w:r>
      <w:bookmarkEnd w:id="57"/>
      <w:r>
        <w:t>.</w:t>
      </w:r>
    </w:p>
    <w:p w14:paraId="24F4AE0C" w14:textId="77777777" w:rsidR="00B80EAE" w:rsidRPr="00873D77" w:rsidRDefault="00B80EAE" w:rsidP="00201DAA">
      <w:pPr>
        <w:pStyle w:val="Heading4"/>
      </w:pPr>
      <w:bookmarkStart w:id="58" w:name="_Toc89326558"/>
      <w:r w:rsidRPr="00873D77">
        <w:t xml:space="preserve">Analysis of impact </w:t>
      </w:r>
      <w:r w:rsidRPr="00B80EAE">
        <w:t>on</w:t>
      </w:r>
      <w:r w:rsidRPr="00873D77">
        <w:t xml:space="preserve"> equality</w:t>
      </w:r>
      <w:bookmarkEnd w:id="58"/>
      <w:r w:rsidRPr="00873D77">
        <w:t xml:space="preserve"> </w:t>
      </w:r>
    </w:p>
    <w:p w14:paraId="59C5C113" w14:textId="77777777" w:rsidR="00B80EAE" w:rsidRPr="00873D77" w:rsidRDefault="00B80EAE" w:rsidP="00B80EAE">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B80EAE">
      <w:r w:rsidRPr="001148C4">
        <w:t>N.B. In some cases it is legal to treat people differently (objective justification).</w:t>
      </w:r>
    </w:p>
    <w:p w14:paraId="3F3B5B7F" w14:textId="77777777" w:rsidR="00E90CB2" w:rsidRDefault="00E90CB2" w:rsidP="00E90CB2">
      <w:pPr>
        <w:pStyle w:val="ListParagraph"/>
        <w:numPr>
          <w:ilvl w:val="0"/>
          <w:numId w:val="31"/>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E90CB2">
      <w:pPr>
        <w:pStyle w:val="ListParagraph"/>
        <w:numPr>
          <w:ilvl w:val="0"/>
          <w:numId w:val="31"/>
        </w:numPr>
        <w:adjustRightInd w:val="0"/>
        <w:spacing w:before="160"/>
        <w:contextualSpacing w:val="0"/>
      </w:pPr>
      <w:r w:rsidRPr="001148C4">
        <w:rPr>
          <w:b/>
          <w:bCs/>
        </w:rPr>
        <w:lastRenderedPageBreak/>
        <w:t>Negative outcome</w:t>
      </w:r>
      <w:r w:rsidRPr="00873D77">
        <w:t xml:space="preserve"> – protected group(s) could be disadvantaged or discriminated against</w:t>
      </w:r>
    </w:p>
    <w:p w14:paraId="0EE50DC3" w14:textId="77777777" w:rsidR="00D627A4" w:rsidRDefault="00E90CB2" w:rsidP="00D627A4">
      <w:pPr>
        <w:pStyle w:val="ListParagraph"/>
        <w:numPr>
          <w:ilvl w:val="0"/>
          <w:numId w:val="31"/>
        </w:numPr>
        <w:adjustRightInd w:val="0"/>
        <w:spacing w:before="160"/>
        <w:contextualSpacing w:val="0"/>
      </w:pPr>
      <w:r w:rsidRPr="001148C4">
        <w:rPr>
          <w:b/>
          <w:bCs/>
        </w:rPr>
        <w:t>Neutral outcome</w:t>
      </w:r>
      <w:r w:rsidRPr="00873D77">
        <w:t xml:space="preserve"> – there is no effect currently on protected groups</w:t>
      </w:r>
    </w:p>
    <w:p w14:paraId="044DA818" w14:textId="77777777" w:rsidR="00781F15" w:rsidRDefault="00781F15">
      <w:pPr>
        <w:spacing w:before="0" w:after="0"/>
        <w:ind w:left="0"/>
      </w:pPr>
      <w:r>
        <w:br w:type="page"/>
      </w:r>
    </w:p>
    <w:p w14:paraId="32364150" w14:textId="77777777" w:rsidR="00781F15" w:rsidRDefault="00E90CB2" w:rsidP="00781F15">
      <w:pPr>
        <w:ind w:left="0"/>
      </w:pPr>
      <w:r w:rsidRPr="00873D77">
        <w:lastRenderedPageBreak/>
        <w:t xml:space="preserve">Please tick to show if outcome is likely to be positive, </w:t>
      </w:r>
      <w:proofErr w:type="gramStart"/>
      <w:r w:rsidRPr="00873D77">
        <w:t>negative</w:t>
      </w:r>
      <w:proofErr w:type="gramEnd"/>
      <w:r w:rsidRPr="00873D77">
        <w:t xml:space="preserve"> or neutral</w:t>
      </w:r>
      <w:r w:rsidR="00781F15">
        <w:t>. Please fill all boxes, any that aren’t applicable enter N/A.</w:t>
      </w:r>
    </w:p>
    <w:p w14:paraId="6674746D" w14:textId="77777777" w:rsidR="00E90CB2" w:rsidRDefault="00E90CB2" w:rsidP="00781F15">
      <w:pPr>
        <w:ind w:left="0"/>
      </w:pPr>
      <w:r w:rsidRPr="00873D77">
        <w:t xml:space="preserve">Consider direct and indirect discrimination, </w:t>
      </w:r>
      <w:proofErr w:type="gramStart"/>
      <w:r w:rsidRPr="00873D77">
        <w:t>harassment</w:t>
      </w:r>
      <w:proofErr w:type="gramEnd"/>
      <w:r w:rsidRPr="00873D77">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843CF9">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343B2B">
            <w:pPr>
              <w:pStyle w:val="NoSpacing"/>
              <w:rPr>
                <w:color w:val="FFFFFF" w:themeColor="background1"/>
              </w:rPr>
            </w:pPr>
            <w:r w:rsidRPr="00615058">
              <w:rPr>
                <w:color w:val="FFFFFF" w:themeColor="background1"/>
              </w:rPr>
              <w:t>Protected</w:t>
            </w:r>
          </w:p>
          <w:p w14:paraId="411AFD7B" w14:textId="77777777" w:rsidR="00E90CB2" w:rsidRPr="00615058" w:rsidRDefault="00E90CB2" w:rsidP="00343B2B">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343B2B">
            <w:pPr>
              <w:pStyle w:val="NoSpacing"/>
              <w:rPr>
                <w:color w:val="FFFFFF" w:themeColor="background1"/>
              </w:rPr>
            </w:pPr>
            <w:r w:rsidRPr="00615058">
              <w:rPr>
                <w:color w:val="FFFFFF" w:themeColor="background1"/>
              </w:rPr>
              <w:t>Positive</w:t>
            </w:r>
          </w:p>
          <w:p w14:paraId="66CEC2DE"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343B2B">
            <w:pPr>
              <w:pStyle w:val="NoSpacing"/>
              <w:rPr>
                <w:color w:val="FFFFFF" w:themeColor="background1"/>
              </w:rPr>
            </w:pPr>
            <w:r w:rsidRPr="00615058">
              <w:rPr>
                <w:color w:val="FFFFFF" w:themeColor="background1"/>
              </w:rPr>
              <w:t>Negative</w:t>
            </w:r>
          </w:p>
          <w:p w14:paraId="73F24AE2"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343B2B">
            <w:pPr>
              <w:pStyle w:val="NoSpacing"/>
              <w:rPr>
                <w:color w:val="FFFFFF" w:themeColor="background1"/>
              </w:rPr>
            </w:pPr>
            <w:r w:rsidRPr="00615058">
              <w:rPr>
                <w:color w:val="FFFFFF" w:themeColor="background1"/>
              </w:rPr>
              <w:t>Neutral</w:t>
            </w:r>
          </w:p>
          <w:p w14:paraId="0DEBD95D"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343B2B">
            <w:pPr>
              <w:pStyle w:val="NoSpacing"/>
              <w:rPr>
                <w:rFonts w:cs="Arial"/>
                <w:color w:val="FFFFFF" w:themeColor="background1"/>
              </w:rPr>
            </w:pPr>
            <w:bookmarkStart w:id="59" w:name="_Toc168389175"/>
            <w:r w:rsidRPr="00615058">
              <w:rPr>
                <w:rFonts w:cs="Arial"/>
                <w:color w:val="FFFFFF" w:themeColor="background1"/>
              </w:rPr>
              <w:t xml:space="preserve">Reason(s) for </w:t>
            </w:r>
            <w:bookmarkEnd w:id="59"/>
            <w:r w:rsidRPr="00615058">
              <w:rPr>
                <w:rFonts w:cs="Arial"/>
                <w:color w:val="FFFFFF" w:themeColor="background1"/>
              </w:rPr>
              <w:t>outcome</w:t>
            </w:r>
          </w:p>
        </w:tc>
      </w:tr>
      <w:tr w:rsidR="00E90CB2" w:rsidRPr="00F26504" w14:paraId="4A48AAFC"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6E92A337" w:rsidR="00E90CB2" w:rsidRPr="00F26504" w:rsidRDefault="00784C95" w:rsidP="00784C95">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E309ECC" w14:textId="7E9172C9" w:rsidR="00E90CB2" w:rsidRPr="00F26504" w:rsidRDefault="00751B62" w:rsidP="003771EC">
            <w:pPr>
              <w:pStyle w:val="NoSpacing"/>
            </w:pPr>
            <w:r>
              <w:t>No impact identified</w:t>
            </w:r>
          </w:p>
        </w:tc>
      </w:tr>
      <w:tr w:rsidR="00E90CB2" w:rsidRPr="00F26504" w14:paraId="575C236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125C9F5E" w:rsidR="00E90CB2" w:rsidRPr="00F26504" w:rsidRDefault="009635BB" w:rsidP="008D15E9">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C9DA8A8" w14:textId="33DAB96B"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29F65659"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2B5C5E9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08719D2" w14:textId="1A5BFD6A" w:rsidR="00E90CB2" w:rsidRPr="00F26504" w:rsidRDefault="006A794C" w:rsidP="003771EC">
            <w:pPr>
              <w:pStyle w:val="NoSpacing"/>
            </w:pPr>
            <w:r>
              <w:t>No impact identified</w:t>
            </w:r>
          </w:p>
        </w:tc>
      </w:tr>
      <w:tr w:rsidR="00E90CB2" w:rsidRPr="00F26504" w14:paraId="26AAC7DF"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3E46893C"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A291F83" w14:textId="045E7ACA" w:rsidR="00E90CB2" w:rsidRPr="00F26504" w:rsidRDefault="006A794C" w:rsidP="003771EC">
            <w:pPr>
              <w:pStyle w:val="NoSpacing"/>
            </w:pPr>
            <w:r>
              <w:t>No impact identified</w:t>
            </w:r>
          </w:p>
        </w:tc>
      </w:tr>
      <w:tr w:rsidR="00E90CB2" w:rsidRPr="00F26504" w14:paraId="760BA9A2"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39B5B587"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0AADDCC" w14:textId="4F886204" w:rsidR="00E90CB2" w:rsidRPr="00F26504" w:rsidRDefault="006A794C" w:rsidP="003771EC">
            <w:pPr>
              <w:pStyle w:val="NoSpacing"/>
            </w:pPr>
            <w:r>
              <w:t>No impact identified</w:t>
            </w:r>
          </w:p>
        </w:tc>
      </w:tr>
      <w:tr w:rsidR="00E90CB2" w:rsidRPr="00F26504" w14:paraId="499FA40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7326B2E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E39C74D" w14:textId="26868D52" w:rsidR="00E90CB2" w:rsidRPr="00F26504" w:rsidRDefault="006A794C" w:rsidP="003771EC">
            <w:pPr>
              <w:pStyle w:val="NoSpacing"/>
            </w:pPr>
            <w:r>
              <w:t>No impact identified</w:t>
            </w:r>
          </w:p>
        </w:tc>
      </w:tr>
      <w:tr w:rsidR="00E90CB2" w:rsidRPr="00F26504" w14:paraId="70D80FD0"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985A450"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26BE90B" w14:textId="2B439C3D"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551CFC98" w14:textId="77777777" w:rsidTr="00843CF9">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51042063"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6DFB19E3" w14:textId="399A0502" w:rsidR="00E90CB2" w:rsidRPr="00F26504" w:rsidRDefault="000F1ABF" w:rsidP="003771EC">
            <w:pPr>
              <w:pStyle w:val="NoSpacing"/>
            </w:pPr>
            <w:r>
              <w:t>No impact identified</w:t>
            </w:r>
          </w:p>
        </w:tc>
      </w:tr>
      <w:tr w:rsidR="00E90CB2" w:rsidRPr="00F26504" w14:paraId="79074D22" w14:textId="77777777" w:rsidTr="00EB44FF">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207D64AB"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103C773" w14:textId="31B21BE6" w:rsidR="00E90CB2" w:rsidRPr="00F26504" w:rsidRDefault="000F1ABF" w:rsidP="003771EC">
            <w:pPr>
              <w:pStyle w:val="NoSpacing"/>
            </w:pPr>
            <w:r>
              <w:t>No impact identified</w:t>
            </w:r>
          </w:p>
        </w:tc>
      </w:tr>
    </w:tbl>
    <w:p w14:paraId="7B528381" w14:textId="67CE1695" w:rsidR="00D9038F" w:rsidRPr="00380A50" w:rsidRDefault="00781F15" w:rsidP="00DF1477">
      <w:pPr>
        <w:spacing w:before="0" w:after="0"/>
        <w:ind w:left="0"/>
        <w:rPr>
          <w:b/>
          <w:bCs/>
        </w:rPr>
      </w:pPr>
      <w:bookmarkStart w:id="60" w:name="_Toc89326559"/>
      <w:r>
        <w:br w:type="page"/>
      </w:r>
      <w:r w:rsidR="00D9038F" w:rsidRPr="00380A50">
        <w:rPr>
          <w:b/>
          <w:bCs/>
        </w:rPr>
        <w:lastRenderedPageBreak/>
        <w:t>Monitoring Outcomes</w:t>
      </w:r>
      <w:bookmarkEnd w:id="60"/>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380A50" w:rsidRDefault="00D9038F" w:rsidP="00741D9B">
      <w:pPr>
        <w:ind w:left="0"/>
        <w:rPr>
          <w:b/>
          <w:bCs/>
        </w:rPr>
      </w:pPr>
      <w:r w:rsidRPr="00380A50">
        <w:rPr>
          <w:b/>
          <w:bCs/>
        </w:rPr>
        <w:t>What methods will you use to monitor outcomes on protected groups?</w:t>
      </w:r>
    </w:p>
    <w:p w14:paraId="1C4ADBC1" w14:textId="123FBD69" w:rsidR="00D9038F" w:rsidRPr="00873D77" w:rsidRDefault="00380A50" w:rsidP="00741D9B">
      <w:pPr>
        <w:ind w:left="0"/>
      </w:pPr>
      <w:r>
        <w:t>Regular review of policy.</w:t>
      </w:r>
    </w:p>
    <w:p w14:paraId="7EDD3208" w14:textId="77777777" w:rsidR="00D9038F" w:rsidRPr="00873D77" w:rsidRDefault="00D9038F" w:rsidP="00201DAA">
      <w:pPr>
        <w:pStyle w:val="Heading4"/>
      </w:pPr>
      <w:bookmarkStart w:id="61" w:name="_Toc89326560"/>
      <w:r w:rsidRPr="00D9038F">
        <w:t>Review</w:t>
      </w:r>
      <w:bookmarkEnd w:id="61"/>
    </w:p>
    <w:p w14:paraId="06D56295" w14:textId="77777777" w:rsidR="00D9038F" w:rsidRPr="00380A50" w:rsidRDefault="00D9038F" w:rsidP="00741D9B">
      <w:pPr>
        <w:ind w:left="0"/>
        <w:rPr>
          <w:b/>
          <w:bCs/>
        </w:rPr>
      </w:pPr>
      <w:r w:rsidRPr="00380A50">
        <w:rPr>
          <w:b/>
          <w:bCs/>
        </w:rPr>
        <w:t xml:space="preserve">How often will you review this policy / service? </w:t>
      </w:r>
      <w:r w:rsidRPr="00380A50">
        <w:rPr>
          <w:b/>
          <w:bCs/>
        </w:rPr>
        <w:br/>
        <w:t>(Minimum every three years)</w:t>
      </w:r>
    </w:p>
    <w:p w14:paraId="4333A367" w14:textId="0B95C205" w:rsidR="00D9038F" w:rsidRPr="00873D77" w:rsidRDefault="00096152" w:rsidP="00741D9B">
      <w:pPr>
        <w:ind w:left="0"/>
      </w:pPr>
      <w:r w:rsidRPr="00071E3C">
        <w:rPr>
          <w:rFonts w:eastAsia="Times New Roman" w:cs="Arial"/>
          <w:bCs/>
        </w:rPr>
        <w:t xml:space="preserve">Every 2 years as a minimum and earlier if there are any significant changes in legislation, </w:t>
      </w:r>
      <w:proofErr w:type="gramStart"/>
      <w:r w:rsidRPr="00071E3C">
        <w:rPr>
          <w:rFonts w:eastAsia="Times New Roman" w:cs="Arial"/>
          <w:bCs/>
        </w:rPr>
        <w:t>policy</w:t>
      </w:r>
      <w:proofErr w:type="gramEnd"/>
      <w:r w:rsidRPr="00071E3C">
        <w:rPr>
          <w:rFonts w:eastAsia="Times New Roman" w:cs="Arial"/>
          <w:bCs/>
        </w:rPr>
        <w:t xml:space="preserve"> or good practice</w:t>
      </w:r>
      <w:r>
        <w:rPr>
          <w:rFonts w:eastAsia="Times New Roman" w:cs="Arial"/>
          <w:bCs/>
        </w:rPr>
        <w:t>.</w:t>
      </w:r>
    </w:p>
    <w:p w14:paraId="2F1085E1" w14:textId="77777777" w:rsidR="00D9038F" w:rsidRPr="00380A50" w:rsidRDefault="00D9038F" w:rsidP="00741D9B">
      <w:pPr>
        <w:ind w:left="0"/>
        <w:rPr>
          <w:b/>
          <w:bCs/>
        </w:rPr>
      </w:pPr>
      <w:r w:rsidRPr="00380A50">
        <w:rPr>
          <w:b/>
          <w:bCs/>
        </w:rPr>
        <w:t>If a review process is not in place, what plans do you have to establish one?</w:t>
      </w:r>
    </w:p>
    <w:p w14:paraId="38614A76" w14:textId="666B14E4" w:rsidR="00201DAA" w:rsidRPr="00FD2B5D" w:rsidRDefault="00096152" w:rsidP="00DF1477">
      <w:pPr>
        <w:ind w:left="0"/>
      </w:pPr>
      <w:r>
        <w:t>N/A</w:t>
      </w:r>
    </w:p>
    <w:sectPr w:rsidR="00201DAA" w:rsidRPr="00FD2B5D" w:rsidSect="00EE3B8F">
      <w:headerReference w:type="default" r:id="rId15"/>
      <w:footerReference w:type="default" r:id="rId16"/>
      <w:headerReference w:type="first" r:id="rId17"/>
      <w:pgSz w:w="11906" w:h="16838"/>
      <w:pgMar w:top="1985" w:right="1440" w:bottom="1797" w:left="1440" w:header="72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50C9" w14:textId="77777777" w:rsidR="00B83070" w:rsidRDefault="00B83070" w:rsidP="00EB783D">
      <w:pPr>
        <w:spacing w:before="0" w:after="0"/>
      </w:pPr>
      <w:r>
        <w:separator/>
      </w:r>
    </w:p>
  </w:endnote>
  <w:endnote w:type="continuationSeparator" w:id="0">
    <w:p w14:paraId="706E3B97" w14:textId="77777777" w:rsidR="00B83070" w:rsidRDefault="00B83070"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4C07585D" w:rsidR="00EB783D" w:rsidRPr="00A91472" w:rsidRDefault="00E307BA" w:rsidP="00EB783D">
    <w:pPr>
      <w:pStyle w:val="Footer"/>
      <w:ind w:left="0"/>
    </w:pPr>
    <w:r>
      <w:t xml:space="preserve">Creditors and Purchase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04106D" w:rsidRPr="00C819CD">
          <w:t xml:space="preserve">Policy </w:t>
        </w:r>
        <w:r w:rsidR="0004106D">
          <w:t>V2.0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rsidR="0088227B">
      <w:t>19</w:t>
    </w:r>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BD1D" w14:textId="77777777" w:rsidR="00B83070" w:rsidRDefault="00B83070" w:rsidP="00EB783D">
      <w:pPr>
        <w:spacing w:before="0" w:after="0"/>
      </w:pPr>
      <w:r>
        <w:separator/>
      </w:r>
    </w:p>
  </w:footnote>
  <w:footnote w:type="continuationSeparator" w:id="0">
    <w:p w14:paraId="6B5992EB" w14:textId="77777777" w:rsidR="00B83070" w:rsidRDefault="00B83070"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3B4C7867" w:rsidR="00EB783D" w:rsidRDefault="00EB783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4D8B68F5" w:rsidR="00186694" w:rsidRDefault="00EE3B8F" w:rsidP="00EE3B8F">
    <w:pPr>
      <w:pStyle w:val="Header"/>
      <w:tabs>
        <w:tab w:val="clear" w:pos="4513"/>
        <w:tab w:val="left" w:pos="6300"/>
      </w:tabs>
      <w:ind w:left="0"/>
    </w:pPr>
    <w:r>
      <w:rPr>
        <w:noProof/>
      </w:rPr>
      <w:drawing>
        <wp:inline distT="0" distB="0" distL="0" distR="0" wp14:anchorId="7846570B" wp14:editId="52610144">
          <wp:extent cx="5731510" cy="749300"/>
          <wp:effectExtent l="0" t="0" r="2540" b="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Group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1510" cy="74930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0533A0"/>
    <w:multiLevelType w:val="hybridMultilevel"/>
    <w:tmpl w:val="861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1347F"/>
    <w:multiLevelType w:val="hybridMultilevel"/>
    <w:tmpl w:val="7890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B951EC7"/>
    <w:multiLevelType w:val="multilevel"/>
    <w:tmpl w:val="5966122A"/>
    <w:lvl w:ilvl="0">
      <w:start w:val="1"/>
      <w:numFmt w:val="bullet"/>
      <w:lvlText w:val=""/>
      <w:lvlJc w:val="left"/>
      <w:pPr>
        <w:tabs>
          <w:tab w:val="num" w:pos="680"/>
        </w:tabs>
        <w:ind w:left="680" w:hanging="680"/>
      </w:pPr>
      <w:rPr>
        <w:rFonts w:ascii="Symbol" w:hAnsi="Symbol" w:hint="default"/>
        <w:b w:val="0"/>
        <w:i w:val="0"/>
        <w:sz w:val="32"/>
      </w:rPr>
    </w:lvl>
    <w:lvl w:ilvl="1">
      <w:start w:val="1"/>
      <w:numFmt w:val="decimal"/>
      <w:lvlText w:val="%1.%2"/>
      <w:lvlJc w:val="left"/>
      <w:pPr>
        <w:tabs>
          <w:tab w:val="num" w:pos="1361"/>
        </w:tabs>
        <w:ind w:left="1361" w:hanging="681"/>
      </w:pPr>
      <w:rPr>
        <w:rFonts w:ascii="Times New Roman" w:hAnsi="Times New Roman" w:hint="default"/>
        <w:b w:val="0"/>
        <w:i w:val="0"/>
        <w:sz w:val="24"/>
      </w:rPr>
    </w:lvl>
    <w:lvl w:ilvl="2">
      <w:start w:val="1"/>
      <w:numFmt w:val="bullet"/>
      <w:lvlText w:val=""/>
      <w:lvlJc w:val="left"/>
      <w:pPr>
        <w:tabs>
          <w:tab w:val="num" w:pos="2268"/>
        </w:tabs>
        <w:ind w:left="2268" w:hanging="907"/>
      </w:pPr>
      <w:rPr>
        <w:rFonts w:ascii="Symbol" w:hAnsi="Symbol" w:hint="default"/>
        <w:b w:val="0"/>
        <w:i w:val="0"/>
        <w:sz w:val="24"/>
      </w:rPr>
    </w:lvl>
    <w:lvl w:ilvl="3">
      <w:start w:val="1"/>
      <w:numFmt w:val="decimal"/>
      <w:lvlText w:val="%1.%2.%3.%4"/>
      <w:lvlJc w:val="left"/>
      <w:pPr>
        <w:tabs>
          <w:tab w:val="num" w:pos="3345"/>
        </w:tabs>
        <w:ind w:left="3345" w:hanging="1077"/>
      </w:pPr>
      <w:rPr>
        <w:rFonts w:ascii="Arial" w:hAnsi="Arial" w:hint="default"/>
        <w:b w:val="0"/>
        <w:i w:val="0"/>
        <w:sz w:val="24"/>
        <w:szCs w:val="24"/>
      </w:rPr>
    </w:lvl>
    <w:lvl w:ilvl="4">
      <w:start w:val="1"/>
      <w:numFmt w:val="decimal"/>
      <w:lvlText w:val="%1.%2.%3.%4.%5"/>
      <w:lvlJc w:val="left"/>
      <w:pPr>
        <w:tabs>
          <w:tab w:val="num" w:pos="4706"/>
        </w:tabs>
        <w:ind w:left="4706" w:hanging="1361"/>
      </w:pPr>
      <w:rPr>
        <w:rFonts w:ascii="Arial" w:hAnsi="Arial" w:hint="default"/>
        <w:b w:val="0"/>
        <w:i w:val="0"/>
        <w:sz w:val="24"/>
        <w:szCs w:val="24"/>
      </w:rPr>
    </w:lvl>
    <w:lvl w:ilvl="5">
      <w:start w:val="1"/>
      <w:numFmt w:val="bullet"/>
      <w:lvlText w:val=""/>
      <w:lvlJc w:val="left"/>
      <w:pPr>
        <w:tabs>
          <w:tab w:val="num" w:pos="5103"/>
        </w:tabs>
        <w:ind w:left="5103" w:hanging="397"/>
      </w:pPr>
      <w:rPr>
        <w:rFonts w:ascii="Wingdings" w:hAnsi="Wingding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975EE7"/>
    <w:multiLevelType w:val="multilevel"/>
    <w:tmpl w:val="3DEAC5A6"/>
    <w:lvl w:ilvl="0">
      <w:start w:val="6"/>
      <w:numFmt w:val="decimal"/>
      <w:lvlText w:val="%1"/>
      <w:lvlJc w:val="left"/>
      <w:pPr>
        <w:ind w:left="530" w:hanging="530"/>
      </w:pPr>
      <w:rPr>
        <w:rFonts w:hint="default"/>
        <w:b w:val="0"/>
      </w:rPr>
    </w:lvl>
    <w:lvl w:ilvl="1">
      <w:start w:val="6"/>
      <w:numFmt w:val="decimal"/>
      <w:lvlText w:val="%1.%2"/>
      <w:lvlJc w:val="left"/>
      <w:pPr>
        <w:ind w:left="530" w:hanging="53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43233"/>
    <w:multiLevelType w:val="multilevel"/>
    <w:tmpl w:val="751ABFD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b w:val="0"/>
        <w:bCs/>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4D218B"/>
    <w:multiLevelType w:val="hybridMultilevel"/>
    <w:tmpl w:val="04A469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B1AA9"/>
    <w:multiLevelType w:val="multilevel"/>
    <w:tmpl w:val="021C67AE"/>
    <w:lvl w:ilvl="0">
      <w:start w:val="6"/>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764C28"/>
    <w:multiLevelType w:val="hybridMultilevel"/>
    <w:tmpl w:val="4D3418AE"/>
    <w:lvl w:ilvl="0" w:tplc="074643BE">
      <w:start w:val="1"/>
      <w:numFmt w:val="bullet"/>
      <w:pStyle w:val="ListParagraph"/>
      <w:lvlText w:val=""/>
      <w:lvlJc w:val="left"/>
      <w:pPr>
        <w:ind w:left="1332"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9823096">
    <w:abstractNumId w:val="0"/>
  </w:num>
  <w:num w:numId="2" w16cid:durableId="1465276691">
    <w:abstractNumId w:val="1"/>
  </w:num>
  <w:num w:numId="3" w16cid:durableId="1107458829">
    <w:abstractNumId w:val="2"/>
  </w:num>
  <w:num w:numId="4" w16cid:durableId="226183905">
    <w:abstractNumId w:val="3"/>
  </w:num>
  <w:num w:numId="5" w16cid:durableId="1206795763">
    <w:abstractNumId w:val="8"/>
  </w:num>
  <w:num w:numId="6" w16cid:durableId="2085487739">
    <w:abstractNumId w:val="4"/>
  </w:num>
  <w:num w:numId="7" w16cid:durableId="735053638">
    <w:abstractNumId w:val="5"/>
  </w:num>
  <w:num w:numId="8" w16cid:durableId="1747461030">
    <w:abstractNumId w:val="6"/>
  </w:num>
  <w:num w:numId="9" w16cid:durableId="197671865">
    <w:abstractNumId w:val="7"/>
  </w:num>
  <w:num w:numId="10" w16cid:durableId="1670015014">
    <w:abstractNumId w:val="9"/>
  </w:num>
  <w:num w:numId="11" w16cid:durableId="1430466978">
    <w:abstractNumId w:val="16"/>
  </w:num>
  <w:num w:numId="12" w16cid:durableId="1247958183">
    <w:abstractNumId w:val="26"/>
  </w:num>
  <w:num w:numId="13" w16cid:durableId="2059239382">
    <w:abstractNumId w:val="15"/>
  </w:num>
  <w:num w:numId="14" w16cid:durableId="238178826">
    <w:abstractNumId w:val="31"/>
  </w:num>
  <w:num w:numId="15" w16cid:durableId="364063620">
    <w:abstractNumId w:val="22"/>
  </w:num>
  <w:num w:numId="16" w16cid:durableId="1543976079">
    <w:abstractNumId w:val="33"/>
  </w:num>
  <w:num w:numId="17" w16cid:durableId="1930112470">
    <w:abstractNumId w:val="18"/>
  </w:num>
  <w:num w:numId="18" w16cid:durableId="301347596">
    <w:abstractNumId w:val="30"/>
  </w:num>
  <w:num w:numId="19" w16cid:durableId="1541286918">
    <w:abstractNumId w:val="11"/>
  </w:num>
  <w:num w:numId="20" w16cid:durableId="1358199050">
    <w:abstractNumId w:val="32"/>
  </w:num>
  <w:num w:numId="21" w16cid:durableId="293097184">
    <w:abstractNumId w:val="25"/>
  </w:num>
  <w:num w:numId="22" w16cid:durableId="419639040">
    <w:abstractNumId w:val="23"/>
  </w:num>
  <w:num w:numId="23" w16cid:durableId="1642079815">
    <w:abstractNumId w:val="29"/>
  </w:num>
  <w:num w:numId="24" w16cid:durableId="1622414177">
    <w:abstractNumId w:val="17"/>
  </w:num>
  <w:num w:numId="25" w16cid:durableId="1141650992">
    <w:abstractNumId w:val="19"/>
  </w:num>
  <w:num w:numId="26" w16cid:durableId="276645698">
    <w:abstractNumId w:val="36"/>
  </w:num>
  <w:num w:numId="27" w16cid:durableId="597373161">
    <w:abstractNumId w:val="13"/>
  </w:num>
  <w:num w:numId="28" w16cid:durableId="1896505884">
    <w:abstractNumId w:val="28"/>
  </w:num>
  <w:num w:numId="29" w16cid:durableId="614295245">
    <w:abstractNumId w:val="21"/>
  </w:num>
  <w:num w:numId="30" w16cid:durableId="533620030">
    <w:abstractNumId w:val="37"/>
  </w:num>
  <w:num w:numId="31" w16cid:durableId="694622832">
    <w:abstractNumId w:val="34"/>
  </w:num>
  <w:num w:numId="32" w16cid:durableId="1265192804">
    <w:abstractNumId w:val="10"/>
  </w:num>
  <w:num w:numId="33" w16cid:durableId="1101682026">
    <w:abstractNumId w:val="20"/>
  </w:num>
  <w:num w:numId="34" w16cid:durableId="465708790">
    <w:abstractNumId w:val="12"/>
  </w:num>
  <w:num w:numId="35" w16cid:durableId="987396798">
    <w:abstractNumId w:val="36"/>
  </w:num>
  <w:num w:numId="36" w16cid:durableId="1347832143">
    <w:abstractNumId w:val="26"/>
  </w:num>
  <w:num w:numId="37" w16cid:durableId="1244531224">
    <w:abstractNumId w:val="26"/>
  </w:num>
  <w:num w:numId="38" w16cid:durableId="1313145058">
    <w:abstractNumId w:val="27"/>
  </w:num>
  <w:num w:numId="39" w16cid:durableId="1788549967">
    <w:abstractNumId w:val="14"/>
  </w:num>
  <w:num w:numId="40" w16cid:durableId="1729644050">
    <w:abstractNumId w:val="36"/>
  </w:num>
  <w:num w:numId="41" w16cid:durableId="1968972919">
    <w:abstractNumId w:val="36"/>
  </w:num>
  <w:num w:numId="42" w16cid:durableId="725877331">
    <w:abstractNumId w:val="36"/>
  </w:num>
  <w:num w:numId="43" w16cid:durableId="863637275">
    <w:abstractNumId w:val="26"/>
  </w:num>
  <w:num w:numId="44" w16cid:durableId="1987858846">
    <w:abstractNumId w:val="26"/>
  </w:num>
  <w:num w:numId="45" w16cid:durableId="1369378475">
    <w:abstractNumId w:val="26"/>
  </w:num>
  <w:num w:numId="46" w16cid:durableId="1870334053">
    <w:abstractNumId w:val="35"/>
  </w:num>
  <w:num w:numId="47" w16cid:durableId="917059463">
    <w:abstractNumId w:val="26"/>
  </w:num>
  <w:num w:numId="48" w16cid:durableId="14253453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ADD"/>
    <w:rsid w:val="00002E64"/>
    <w:rsid w:val="00003263"/>
    <w:rsid w:val="00003F41"/>
    <w:rsid w:val="00005E44"/>
    <w:rsid w:val="00006A2B"/>
    <w:rsid w:val="00010602"/>
    <w:rsid w:val="00013331"/>
    <w:rsid w:val="000146B7"/>
    <w:rsid w:val="00015B3C"/>
    <w:rsid w:val="00017866"/>
    <w:rsid w:val="000209B2"/>
    <w:rsid w:val="00023078"/>
    <w:rsid w:val="0002494A"/>
    <w:rsid w:val="00031206"/>
    <w:rsid w:val="00032505"/>
    <w:rsid w:val="00032882"/>
    <w:rsid w:val="00032E5C"/>
    <w:rsid w:val="00033ADA"/>
    <w:rsid w:val="0004106D"/>
    <w:rsid w:val="00042D60"/>
    <w:rsid w:val="000431D5"/>
    <w:rsid w:val="000437F6"/>
    <w:rsid w:val="00043F81"/>
    <w:rsid w:val="00045D49"/>
    <w:rsid w:val="00046C25"/>
    <w:rsid w:val="00047A8F"/>
    <w:rsid w:val="00053CDD"/>
    <w:rsid w:val="00055953"/>
    <w:rsid w:val="000606C9"/>
    <w:rsid w:val="0006099F"/>
    <w:rsid w:val="000665B0"/>
    <w:rsid w:val="00067089"/>
    <w:rsid w:val="000708AC"/>
    <w:rsid w:val="00070E5E"/>
    <w:rsid w:val="00071D2B"/>
    <w:rsid w:val="000720C8"/>
    <w:rsid w:val="00083EEF"/>
    <w:rsid w:val="00084E58"/>
    <w:rsid w:val="00094FB7"/>
    <w:rsid w:val="00096152"/>
    <w:rsid w:val="00096A96"/>
    <w:rsid w:val="00097FB8"/>
    <w:rsid w:val="000A0465"/>
    <w:rsid w:val="000A7EE1"/>
    <w:rsid w:val="000B075E"/>
    <w:rsid w:val="000B2A28"/>
    <w:rsid w:val="000B659F"/>
    <w:rsid w:val="000C093B"/>
    <w:rsid w:val="000C10C2"/>
    <w:rsid w:val="000C1679"/>
    <w:rsid w:val="000C1F59"/>
    <w:rsid w:val="000C2972"/>
    <w:rsid w:val="000C38BE"/>
    <w:rsid w:val="000D194C"/>
    <w:rsid w:val="000D2D6D"/>
    <w:rsid w:val="000D2EF4"/>
    <w:rsid w:val="000D5057"/>
    <w:rsid w:val="000D5E50"/>
    <w:rsid w:val="000E1727"/>
    <w:rsid w:val="000E3EE1"/>
    <w:rsid w:val="000E7BD2"/>
    <w:rsid w:val="000F0FE0"/>
    <w:rsid w:val="000F1ABF"/>
    <w:rsid w:val="000F49B1"/>
    <w:rsid w:val="000F560D"/>
    <w:rsid w:val="000F5C0C"/>
    <w:rsid w:val="00100EDD"/>
    <w:rsid w:val="001013F0"/>
    <w:rsid w:val="00101EBA"/>
    <w:rsid w:val="00103DE4"/>
    <w:rsid w:val="00105173"/>
    <w:rsid w:val="00106E35"/>
    <w:rsid w:val="00111A11"/>
    <w:rsid w:val="00116F59"/>
    <w:rsid w:val="00117E67"/>
    <w:rsid w:val="00122242"/>
    <w:rsid w:val="00124D95"/>
    <w:rsid w:val="0012603A"/>
    <w:rsid w:val="00136A83"/>
    <w:rsid w:val="001372BC"/>
    <w:rsid w:val="00137B4C"/>
    <w:rsid w:val="00145A2E"/>
    <w:rsid w:val="00145E54"/>
    <w:rsid w:val="0014782B"/>
    <w:rsid w:val="00150CA4"/>
    <w:rsid w:val="001516D8"/>
    <w:rsid w:val="001534B0"/>
    <w:rsid w:val="00155F08"/>
    <w:rsid w:val="00156122"/>
    <w:rsid w:val="00157552"/>
    <w:rsid w:val="00162454"/>
    <w:rsid w:val="00163A14"/>
    <w:rsid w:val="00165236"/>
    <w:rsid w:val="00167E9C"/>
    <w:rsid w:val="0017238D"/>
    <w:rsid w:val="00174F85"/>
    <w:rsid w:val="00182901"/>
    <w:rsid w:val="0018348A"/>
    <w:rsid w:val="00186694"/>
    <w:rsid w:val="001875AC"/>
    <w:rsid w:val="00187C1A"/>
    <w:rsid w:val="00187D5D"/>
    <w:rsid w:val="00190835"/>
    <w:rsid w:val="001937F9"/>
    <w:rsid w:val="00193DEA"/>
    <w:rsid w:val="001946F0"/>
    <w:rsid w:val="001964B0"/>
    <w:rsid w:val="00197160"/>
    <w:rsid w:val="00197744"/>
    <w:rsid w:val="001A0504"/>
    <w:rsid w:val="001A077E"/>
    <w:rsid w:val="001A129D"/>
    <w:rsid w:val="001A65F7"/>
    <w:rsid w:val="001B0EF9"/>
    <w:rsid w:val="001B214F"/>
    <w:rsid w:val="001C24C3"/>
    <w:rsid w:val="001C3B7B"/>
    <w:rsid w:val="001C7BA1"/>
    <w:rsid w:val="001D03B5"/>
    <w:rsid w:val="001D2701"/>
    <w:rsid w:val="001D274B"/>
    <w:rsid w:val="001D6563"/>
    <w:rsid w:val="001D6CD1"/>
    <w:rsid w:val="001D79F8"/>
    <w:rsid w:val="001E0D53"/>
    <w:rsid w:val="001E18B9"/>
    <w:rsid w:val="001E45C2"/>
    <w:rsid w:val="001E615A"/>
    <w:rsid w:val="001E7028"/>
    <w:rsid w:val="001E7D24"/>
    <w:rsid w:val="001F0C28"/>
    <w:rsid w:val="001F146B"/>
    <w:rsid w:val="001F26BF"/>
    <w:rsid w:val="001F437A"/>
    <w:rsid w:val="001F6A5D"/>
    <w:rsid w:val="001F6C03"/>
    <w:rsid w:val="001F7C70"/>
    <w:rsid w:val="00201DAA"/>
    <w:rsid w:val="002054DB"/>
    <w:rsid w:val="002144E8"/>
    <w:rsid w:val="00216044"/>
    <w:rsid w:val="00217B97"/>
    <w:rsid w:val="00217FB0"/>
    <w:rsid w:val="00220D4A"/>
    <w:rsid w:val="00220D88"/>
    <w:rsid w:val="0022398E"/>
    <w:rsid w:val="00225A25"/>
    <w:rsid w:val="00225AB9"/>
    <w:rsid w:val="00227CEF"/>
    <w:rsid w:val="002312A2"/>
    <w:rsid w:val="002315FF"/>
    <w:rsid w:val="00233182"/>
    <w:rsid w:val="002379AF"/>
    <w:rsid w:val="00237F68"/>
    <w:rsid w:val="00241631"/>
    <w:rsid w:val="002426C1"/>
    <w:rsid w:val="00243626"/>
    <w:rsid w:val="0024442E"/>
    <w:rsid w:val="00245C81"/>
    <w:rsid w:val="00246DAE"/>
    <w:rsid w:val="00247338"/>
    <w:rsid w:val="00250FB0"/>
    <w:rsid w:val="00251B8C"/>
    <w:rsid w:val="0025373A"/>
    <w:rsid w:val="00254E6B"/>
    <w:rsid w:val="00254FFE"/>
    <w:rsid w:val="00255AB4"/>
    <w:rsid w:val="00257B80"/>
    <w:rsid w:val="0026105D"/>
    <w:rsid w:val="0026151D"/>
    <w:rsid w:val="00262375"/>
    <w:rsid w:val="00267A04"/>
    <w:rsid w:val="002817DB"/>
    <w:rsid w:val="002825ED"/>
    <w:rsid w:val="00285693"/>
    <w:rsid w:val="00286280"/>
    <w:rsid w:val="00291AE5"/>
    <w:rsid w:val="002927DC"/>
    <w:rsid w:val="00293059"/>
    <w:rsid w:val="00295E28"/>
    <w:rsid w:val="00296EEC"/>
    <w:rsid w:val="002A0D64"/>
    <w:rsid w:val="002A2D91"/>
    <w:rsid w:val="002A3C5B"/>
    <w:rsid w:val="002A43C1"/>
    <w:rsid w:val="002A570B"/>
    <w:rsid w:val="002B03C0"/>
    <w:rsid w:val="002B26AF"/>
    <w:rsid w:val="002B7E56"/>
    <w:rsid w:val="002C0468"/>
    <w:rsid w:val="002C0F54"/>
    <w:rsid w:val="002C1CF4"/>
    <w:rsid w:val="002C1E94"/>
    <w:rsid w:val="002C53A1"/>
    <w:rsid w:val="002C7107"/>
    <w:rsid w:val="002C7527"/>
    <w:rsid w:val="002C7A2A"/>
    <w:rsid w:val="002D1C4B"/>
    <w:rsid w:val="002D2FF5"/>
    <w:rsid w:val="002D457F"/>
    <w:rsid w:val="002D5B7D"/>
    <w:rsid w:val="002D60BB"/>
    <w:rsid w:val="002D715B"/>
    <w:rsid w:val="002E54FD"/>
    <w:rsid w:val="002E70C9"/>
    <w:rsid w:val="002F2891"/>
    <w:rsid w:val="003005AC"/>
    <w:rsid w:val="0030171D"/>
    <w:rsid w:val="00302D3F"/>
    <w:rsid w:val="003039F4"/>
    <w:rsid w:val="00303FF5"/>
    <w:rsid w:val="00310849"/>
    <w:rsid w:val="00311E95"/>
    <w:rsid w:val="00315106"/>
    <w:rsid w:val="00315206"/>
    <w:rsid w:val="003155D4"/>
    <w:rsid w:val="00323D3C"/>
    <w:rsid w:val="003242D5"/>
    <w:rsid w:val="003247C8"/>
    <w:rsid w:val="00324D0B"/>
    <w:rsid w:val="00325CBB"/>
    <w:rsid w:val="0032613A"/>
    <w:rsid w:val="00327A43"/>
    <w:rsid w:val="00331F09"/>
    <w:rsid w:val="0033346C"/>
    <w:rsid w:val="003368A4"/>
    <w:rsid w:val="003369ED"/>
    <w:rsid w:val="00337A9E"/>
    <w:rsid w:val="00343A4F"/>
    <w:rsid w:val="0034772D"/>
    <w:rsid w:val="00350CD2"/>
    <w:rsid w:val="00350E79"/>
    <w:rsid w:val="00351128"/>
    <w:rsid w:val="00356980"/>
    <w:rsid w:val="00357C8D"/>
    <w:rsid w:val="0036105B"/>
    <w:rsid w:val="00371C1B"/>
    <w:rsid w:val="00371C57"/>
    <w:rsid w:val="003730B8"/>
    <w:rsid w:val="00373A93"/>
    <w:rsid w:val="00373E43"/>
    <w:rsid w:val="00374C45"/>
    <w:rsid w:val="00375DF6"/>
    <w:rsid w:val="00375FAF"/>
    <w:rsid w:val="00376970"/>
    <w:rsid w:val="003771EC"/>
    <w:rsid w:val="00377593"/>
    <w:rsid w:val="00377EAA"/>
    <w:rsid w:val="00380A50"/>
    <w:rsid w:val="003818FD"/>
    <w:rsid w:val="00381D46"/>
    <w:rsid w:val="0038292E"/>
    <w:rsid w:val="00386C53"/>
    <w:rsid w:val="003921E6"/>
    <w:rsid w:val="0039683A"/>
    <w:rsid w:val="003A0076"/>
    <w:rsid w:val="003A214D"/>
    <w:rsid w:val="003A27E0"/>
    <w:rsid w:val="003A3A05"/>
    <w:rsid w:val="003A3F2A"/>
    <w:rsid w:val="003A5670"/>
    <w:rsid w:val="003A663C"/>
    <w:rsid w:val="003A7BF6"/>
    <w:rsid w:val="003B28BF"/>
    <w:rsid w:val="003B2A77"/>
    <w:rsid w:val="003B445C"/>
    <w:rsid w:val="003B7052"/>
    <w:rsid w:val="003C337A"/>
    <w:rsid w:val="003C3723"/>
    <w:rsid w:val="003C3DD3"/>
    <w:rsid w:val="003C6732"/>
    <w:rsid w:val="003C6AB3"/>
    <w:rsid w:val="003C6E42"/>
    <w:rsid w:val="003D0381"/>
    <w:rsid w:val="003D1BDE"/>
    <w:rsid w:val="003D2BD6"/>
    <w:rsid w:val="003D4285"/>
    <w:rsid w:val="003D4A52"/>
    <w:rsid w:val="003D7159"/>
    <w:rsid w:val="003D77CB"/>
    <w:rsid w:val="003E1229"/>
    <w:rsid w:val="003F1A9A"/>
    <w:rsid w:val="003F268A"/>
    <w:rsid w:val="003F2F36"/>
    <w:rsid w:val="003F367C"/>
    <w:rsid w:val="003F5F16"/>
    <w:rsid w:val="003F7784"/>
    <w:rsid w:val="00400F76"/>
    <w:rsid w:val="00404CF1"/>
    <w:rsid w:val="0040716E"/>
    <w:rsid w:val="004105AF"/>
    <w:rsid w:val="00411737"/>
    <w:rsid w:val="0041405D"/>
    <w:rsid w:val="004157B2"/>
    <w:rsid w:val="00420494"/>
    <w:rsid w:val="00422069"/>
    <w:rsid w:val="004235F0"/>
    <w:rsid w:val="004243AF"/>
    <w:rsid w:val="00425DE7"/>
    <w:rsid w:val="0042777A"/>
    <w:rsid w:val="00430DC6"/>
    <w:rsid w:val="00432C6C"/>
    <w:rsid w:val="00433F14"/>
    <w:rsid w:val="00434682"/>
    <w:rsid w:val="00435CC4"/>
    <w:rsid w:val="004361BD"/>
    <w:rsid w:val="0043650D"/>
    <w:rsid w:val="00440B5C"/>
    <w:rsid w:val="00441A2C"/>
    <w:rsid w:val="004434AF"/>
    <w:rsid w:val="004443A7"/>
    <w:rsid w:val="00446819"/>
    <w:rsid w:val="00446AFA"/>
    <w:rsid w:val="004501F3"/>
    <w:rsid w:val="00451B8E"/>
    <w:rsid w:val="00452242"/>
    <w:rsid w:val="00452436"/>
    <w:rsid w:val="00455088"/>
    <w:rsid w:val="00466784"/>
    <w:rsid w:val="0047357D"/>
    <w:rsid w:val="00474795"/>
    <w:rsid w:val="00481EE3"/>
    <w:rsid w:val="00483E56"/>
    <w:rsid w:val="00485149"/>
    <w:rsid w:val="00490393"/>
    <w:rsid w:val="004928E5"/>
    <w:rsid w:val="004938D5"/>
    <w:rsid w:val="00495A54"/>
    <w:rsid w:val="00497BF9"/>
    <w:rsid w:val="004A0C3D"/>
    <w:rsid w:val="004A1ADD"/>
    <w:rsid w:val="004A235E"/>
    <w:rsid w:val="004A474F"/>
    <w:rsid w:val="004A4C30"/>
    <w:rsid w:val="004A5EA6"/>
    <w:rsid w:val="004A60A0"/>
    <w:rsid w:val="004A6FBB"/>
    <w:rsid w:val="004B2CA6"/>
    <w:rsid w:val="004B2F87"/>
    <w:rsid w:val="004B6D4D"/>
    <w:rsid w:val="004C266D"/>
    <w:rsid w:val="004C7FEC"/>
    <w:rsid w:val="004D187D"/>
    <w:rsid w:val="004D23CE"/>
    <w:rsid w:val="004D300E"/>
    <w:rsid w:val="004D66D3"/>
    <w:rsid w:val="004E2520"/>
    <w:rsid w:val="004F0796"/>
    <w:rsid w:val="004F205E"/>
    <w:rsid w:val="004F2ECC"/>
    <w:rsid w:val="004F3C7A"/>
    <w:rsid w:val="004F485C"/>
    <w:rsid w:val="00503655"/>
    <w:rsid w:val="00512CC4"/>
    <w:rsid w:val="00514203"/>
    <w:rsid w:val="00520790"/>
    <w:rsid w:val="00520C5D"/>
    <w:rsid w:val="0052102E"/>
    <w:rsid w:val="00525A26"/>
    <w:rsid w:val="00527848"/>
    <w:rsid w:val="00530E23"/>
    <w:rsid w:val="00532021"/>
    <w:rsid w:val="005339DA"/>
    <w:rsid w:val="00535E4D"/>
    <w:rsid w:val="00537133"/>
    <w:rsid w:val="00541B79"/>
    <w:rsid w:val="005423A5"/>
    <w:rsid w:val="00542961"/>
    <w:rsid w:val="00544FA6"/>
    <w:rsid w:val="00545A1C"/>
    <w:rsid w:val="00546A28"/>
    <w:rsid w:val="00547414"/>
    <w:rsid w:val="00547CEB"/>
    <w:rsid w:val="00550769"/>
    <w:rsid w:val="00557B0D"/>
    <w:rsid w:val="0056017B"/>
    <w:rsid w:val="005613FE"/>
    <w:rsid w:val="00562866"/>
    <w:rsid w:val="00566A2B"/>
    <w:rsid w:val="00566E19"/>
    <w:rsid w:val="00571AA4"/>
    <w:rsid w:val="00572168"/>
    <w:rsid w:val="00573146"/>
    <w:rsid w:val="0057747B"/>
    <w:rsid w:val="00584D39"/>
    <w:rsid w:val="00585A61"/>
    <w:rsid w:val="00586578"/>
    <w:rsid w:val="005878EB"/>
    <w:rsid w:val="00590EBF"/>
    <w:rsid w:val="00591977"/>
    <w:rsid w:val="005927AF"/>
    <w:rsid w:val="00595454"/>
    <w:rsid w:val="005955BE"/>
    <w:rsid w:val="005957FB"/>
    <w:rsid w:val="00596383"/>
    <w:rsid w:val="005973EF"/>
    <w:rsid w:val="00597878"/>
    <w:rsid w:val="005A0DE5"/>
    <w:rsid w:val="005A12C6"/>
    <w:rsid w:val="005A5F06"/>
    <w:rsid w:val="005A629F"/>
    <w:rsid w:val="005B219C"/>
    <w:rsid w:val="005B3EB2"/>
    <w:rsid w:val="005B45AF"/>
    <w:rsid w:val="005B6286"/>
    <w:rsid w:val="005B6F2B"/>
    <w:rsid w:val="005C0171"/>
    <w:rsid w:val="005C1142"/>
    <w:rsid w:val="005C18F0"/>
    <w:rsid w:val="005C73CA"/>
    <w:rsid w:val="005C7471"/>
    <w:rsid w:val="005D1E99"/>
    <w:rsid w:val="005D2167"/>
    <w:rsid w:val="005D4CFC"/>
    <w:rsid w:val="005D6825"/>
    <w:rsid w:val="005D697A"/>
    <w:rsid w:val="005D76E2"/>
    <w:rsid w:val="005E3CC6"/>
    <w:rsid w:val="005E6C40"/>
    <w:rsid w:val="005F32B5"/>
    <w:rsid w:val="005F367D"/>
    <w:rsid w:val="005F4CED"/>
    <w:rsid w:val="00600F69"/>
    <w:rsid w:val="0060121B"/>
    <w:rsid w:val="00604B8C"/>
    <w:rsid w:val="006071C1"/>
    <w:rsid w:val="00607425"/>
    <w:rsid w:val="00610177"/>
    <w:rsid w:val="00611F05"/>
    <w:rsid w:val="0061217C"/>
    <w:rsid w:val="006134A1"/>
    <w:rsid w:val="00615242"/>
    <w:rsid w:val="00616853"/>
    <w:rsid w:val="00617154"/>
    <w:rsid w:val="00617CA3"/>
    <w:rsid w:val="00617F86"/>
    <w:rsid w:val="00623E2A"/>
    <w:rsid w:val="00624F37"/>
    <w:rsid w:val="00625F6B"/>
    <w:rsid w:val="006305E0"/>
    <w:rsid w:val="006348EA"/>
    <w:rsid w:val="00634B60"/>
    <w:rsid w:val="00636216"/>
    <w:rsid w:val="00637AAC"/>
    <w:rsid w:val="00642AAB"/>
    <w:rsid w:val="00643C53"/>
    <w:rsid w:val="00643DFC"/>
    <w:rsid w:val="006454BD"/>
    <w:rsid w:val="0064638F"/>
    <w:rsid w:val="00646C71"/>
    <w:rsid w:val="00646D90"/>
    <w:rsid w:val="0065064F"/>
    <w:rsid w:val="00653A66"/>
    <w:rsid w:val="00654B09"/>
    <w:rsid w:val="006606C1"/>
    <w:rsid w:val="00660D37"/>
    <w:rsid w:val="0066392B"/>
    <w:rsid w:val="0066468B"/>
    <w:rsid w:val="00664D40"/>
    <w:rsid w:val="006713EE"/>
    <w:rsid w:val="006722F6"/>
    <w:rsid w:val="0067527A"/>
    <w:rsid w:val="00675FC6"/>
    <w:rsid w:val="00682077"/>
    <w:rsid w:val="00685A79"/>
    <w:rsid w:val="00685AA7"/>
    <w:rsid w:val="0068694C"/>
    <w:rsid w:val="00687B6D"/>
    <w:rsid w:val="00687C0A"/>
    <w:rsid w:val="00691235"/>
    <w:rsid w:val="00694C63"/>
    <w:rsid w:val="00695E2C"/>
    <w:rsid w:val="00696081"/>
    <w:rsid w:val="00696C90"/>
    <w:rsid w:val="006A33B7"/>
    <w:rsid w:val="006A3B30"/>
    <w:rsid w:val="006A4966"/>
    <w:rsid w:val="006A794C"/>
    <w:rsid w:val="006B3E9C"/>
    <w:rsid w:val="006B6035"/>
    <w:rsid w:val="006B621A"/>
    <w:rsid w:val="006B7E7C"/>
    <w:rsid w:val="006C0489"/>
    <w:rsid w:val="006C0FBE"/>
    <w:rsid w:val="006C1D69"/>
    <w:rsid w:val="006C3E46"/>
    <w:rsid w:val="006C44BC"/>
    <w:rsid w:val="006C719B"/>
    <w:rsid w:val="006D6E16"/>
    <w:rsid w:val="006D74B2"/>
    <w:rsid w:val="006E16E0"/>
    <w:rsid w:val="006E6657"/>
    <w:rsid w:val="006E72EE"/>
    <w:rsid w:val="006F5135"/>
    <w:rsid w:val="006F5DA0"/>
    <w:rsid w:val="0070490C"/>
    <w:rsid w:val="00706434"/>
    <w:rsid w:val="00707045"/>
    <w:rsid w:val="00707A4C"/>
    <w:rsid w:val="00707DDB"/>
    <w:rsid w:val="00711F42"/>
    <w:rsid w:val="00713C61"/>
    <w:rsid w:val="00714609"/>
    <w:rsid w:val="0071557A"/>
    <w:rsid w:val="007164F2"/>
    <w:rsid w:val="00716D9A"/>
    <w:rsid w:val="007229E8"/>
    <w:rsid w:val="00723182"/>
    <w:rsid w:val="007274E5"/>
    <w:rsid w:val="00727876"/>
    <w:rsid w:val="00730D2A"/>
    <w:rsid w:val="00731FC8"/>
    <w:rsid w:val="00731FEE"/>
    <w:rsid w:val="00732AFE"/>
    <w:rsid w:val="007405BF"/>
    <w:rsid w:val="00741D9B"/>
    <w:rsid w:val="007434CB"/>
    <w:rsid w:val="007452BE"/>
    <w:rsid w:val="0074585B"/>
    <w:rsid w:val="00750C8C"/>
    <w:rsid w:val="00751B62"/>
    <w:rsid w:val="00753609"/>
    <w:rsid w:val="00753AE0"/>
    <w:rsid w:val="007560E3"/>
    <w:rsid w:val="007560FC"/>
    <w:rsid w:val="00757DFC"/>
    <w:rsid w:val="0076002E"/>
    <w:rsid w:val="00761A75"/>
    <w:rsid w:val="007628F3"/>
    <w:rsid w:val="00763C21"/>
    <w:rsid w:val="007651E5"/>
    <w:rsid w:val="00766552"/>
    <w:rsid w:val="00766C36"/>
    <w:rsid w:val="00770325"/>
    <w:rsid w:val="00774EC0"/>
    <w:rsid w:val="00781F15"/>
    <w:rsid w:val="0078236F"/>
    <w:rsid w:val="007840F7"/>
    <w:rsid w:val="00784C95"/>
    <w:rsid w:val="00785294"/>
    <w:rsid w:val="00786786"/>
    <w:rsid w:val="00790B68"/>
    <w:rsid w:val="00790E37"/>
    <w:rsid w:val="00790EBC"/>
    <w:rsid w:val="0079151A"/>
    <w:rsid w:val="00793B3E"/>
    <w:rsid w:val="00793E73"/>
    <w:rsid w:val="00796946"/>
    <w:rsid w:val="00796E21"/>
    <w:rsid w:val="00797196"/>
    <w:rsid w:val="007A0E4E"/>
    <w:rsid w:val="007A2B3E"/>
    <w:rsid w:val="007A5DF7"/>
    <w:rsid w:val="007A7B12"/>
    <w:rsid w:val="007A7BC1"/>
    <w:rsid w:val="007A7CDF"/>
    <w:rsid w:val="007B022F"/>
    <w:rsid w:val="007B1789"/>
    <w:rsid w:val="007B2207"/>
    <w:rsid w:val="007B48AE"/>
    <w:rsid w:val="007B4BDD"/>
    <w:rsid w:val="007B516E"/>
    <w:rsid w:val="007B77AC"/>
    <w:rsid w:val="007C4105"/>
    <w:rsid w:val="007C4720"/>
    <w:rsid w:val="007C7381"/>
    <w:rsid w:val="007C7912"/>
    <w:rsid w:val="007D03F5"/>
    <w:rsid w:val="007D11B4"/>
    <w:rsid w:val="007D4EAF"/>
    <w:rsid w:val="007D7078"/>
    <w:rsid w:val="007E52E3"/>
    <w:rsid w:val="007E5811"/>
    <w:rsid w:val="007F26D6"/>
    <w:rsid w:val="007F6186"/>
    <w:rsid w:val="007F78E5"/>
    <w:rsid w:val="007F7BE0"/>
    <w:rsid w:val="007F7EED"/>
    <w:rsid w:val="00802922"/>
    <w:rsid w:val="00805559"/>
    <w:rsid w:val="008058C8"/>
    <w:rsid w:val="0080684A"/>
    <w:rsid w:val="00807929"/>
    <w:rsid w:val="00810F97"/>
    <w:rsid w:val="00811649"/>
    <w:rsid w:val="00813D70"/>
    <w:rsid w:val="00815D55"/>
    <w:rsid w:val="00820B26"/>
    <w:rsid w:val="00821192"/>
    <w:rsid w:val="008222FB"/>
    <w:rsid w:val="008235E7"/>
    <w:rsid w:val="008239C5"/>
    <w:rsid w:val="00825E3F"/>
    <w:rsid w:val="00826401"/>
    <w:rsid w:val="00826CC2"/>
    <w:rsid w:val="00826D33"/>
    <w:rsid w:val="0082792D"/>
    <w:rsid w:val="00830BD7"/>
    <w:rsid w:val="008344D6"/>
    <w:rsid w:val="00834A93"/>
    <w:rsid w:val="00837E7E"/>
    <w:rsid w:val="00840392"/>
    <w:rsid w:val="00843CF9"/>
    <w:rsid w:val="00844D34"/>
    <w:rsid w:val="00847383"/>
    <w:rsid w:val="00847B5E"/>
    <w:rsid w:val="008507F0"/>
    <w:rsid w:val="0085143B"/>
    <w:rsid w:val="00853E61"/>
    <w:rsid w:val="008559C2"/>
    <w:rsid w:val="008569A7"/>
    <w:rsid w:val="00857CDF"/>
    <w:rsid w:val="00863DFB"/>
    <w:rsid w:val="00866083"/>
    <w:rsid w:val="00866429"/>
    <w:rsid w:val="00867672"/>
    <w:rsid w:val="00867EDB"/>
    <w:rsid w:val="00870631"/>
    <w:rsid w:val="00873072"/>
    <w:rsid w:val="0088227B"/>
    <w:rsid w:val="008844F1"/>
    <w:rsid w:val="00884982"/>
    <w:rsid w:val="008863BC"/>
    <w:rsid w:val="0088688B"/>
    <w:rsid w:val="00892844"/>
    <w:rsid w:val="008944D1"/>
    <w:rsid w:val="00894F3D"/>
    <w:rsid w:val="008961DC"/>
    <w:rsid w:val="008A0DC1"/>
    <w:rsid w:val="008A10A7"/>
    <w:rsid w:val="008A157E"/>
    <w:rsid w:val="008A2086"/>
    <w:rsid w:val="008A6BD3"/>
    <w:rsid w:val="008A6FE2"/>
    <w:rsid w:val="008A7626"/>
    <w:rsid w:val="008B1F45"/>
    <w:rsid w:val="008B2613"/>
    <w:rsid w:val="008B2F25"/>
    <w:rsid w:val="008B3676"/>
    <w:rsid w:val="008B547F"/>
    <w:rsid w:val="008B79EF"/>
    <w:rsid w:val="008B7B1E"/>
    <w:rsid w:val="008C12EE"/>
    <w:rsid w:val="008C568F"/>
    <w:rsid w:val="008C5E86"/>
    <w:rsid w:val="008C6122"/>
    <w:rsid w:val="008C6BDA"/>
    <w:rsid w:val="008C6C99"/>
    <w:rsid w:val="008C6DCE"/>
    <w:rsid w:val="008D034C"/>
    <w:rsid w:val="008D15E9"/>
    <w:rsid w:val="008D2F7C"/>
    <w:rsid w:val="008D3508"/>
    <w:rsid w:val="008D4032"/>
    <w:rsid w:val="008E2C0A"/>
    <w:rsid w:val="008E4397"/>
    <w:rsid w:val="008E462E"/>
    <w:rsid w:val="008E6704"/>
    <w:rsid w:val="008E75F7"/>
    <w:rsid w:val="008F1E52"/>
    <w:rsid w:val="008F467F"/>
    <w:rsid w:val="008F6928"/>
    <w:rsid w:val="008F74BC"/>
    <w:rsid w:val="00901FEF"/>
    <w:rsid w:val="009102C2"/>
    <w:rsid w:val="00911C7E"/>
    <w:rsid w:val="00912D3C"/>
    <w:rsid w:val="00913733"/>
    <w:rsid w:val="0091376B"/>
    <w:rsid w:val="0091580E"/>
    <w:rsid w:val="00915C78"/>
    <w:rsid w:val="009177B0"/>
    <w:rsid w:val="0092743C"/>
    <w:rsid w:val="009305D7"/>
    <w:rsid w:val="009314EC"/>
    <w:rsid w:val="00933126"/>
    <w:rsid w:val="00933DCE"/>
    <w:rsid w:val="00934BD1"/>
    <w:rsid w:val="009367FB"/>
    <w:rsid w:val="009368D7"/>
    <w:rsid w:val="009372F1"/>
    <w:rsid w:val="0094586C"/>
    <w:rsid w:val="009567DE"/>
    <w:rsid w:val="009624D8"/>
    <w:rsid w:val="00962E24"/>
    <w:rsid w:val="009635BB"/>
    <w:rsid w:val="0096475D"/>
    <w:rsid w:val="00964903"/>
    <w:rsid w:val="00964DC8"/>
    <w:rsid w:val="00965066"/>
    <w:rsid w:val="009669DA"/>
    <w:rsid w:val="009674A4"/>
    <w:rsid w:val="00967546"/>
    <w:rsid w:val="009726FF"/>
    <w:rsid w:val="009801CE"/>
    <w:rsid w:val="00980CA2"/>
    <w:rsid w:val="00984F8D"/>
    <w:rsid w:val="00986FB2"/>
    <w:rsid w:val="009936BE"/>
    <w:rsid w:val="0099597C"/>
    <w:rsid w:val="009A367C"/>
    <w:rsid w:val="009A5855"/>
    <w:rsid w:val="009A5A97"/>
    <w:rsid w:val="009A62CD"/>
    <w:rsid w:val="009A7716"/>
    <w:rsid w:val="009B07B3"/>
    <w:rsid w:val="009B1324"/>
    <w:rsid w:val="009B19AF"/>
    <w:rsid w:val="009B33DD"/>
    <w:rsid w:val="009B3A0A"/>
    <w:rsid w:val="009B4071"/>
    <w:rsid w:val="009B5D94"/>
    <w:rsid w:val="009B63D5"/>
    <w:rsid w:val="009B6A96"/>
    <w:rsid w:val="009C245B"/>
    <w:rsid w:val="009C2867"/>
    <w:rsid w:val="009C2BC5"/>
    <w:rsid w:val="009C3180"/>
    <w:rsid w:val="009C386E"/>
    <w:rsid w:val="009C3E1C"/>
    <w:rsid w:val="009C506B"/>
    <w:rsid w:val="009C523D"/>
    <w:rsid w:val="009C5911"/>
    <w:rsid w:val="009C7447"/>
    <w:rsid w:val="009D1227"/>
    <w:rsid w:val="009D3198"/>
    <w:rsid w:val="009D3A3B"/>
    <w:rsid w:val="009D4151"/>
    <w:rsid w:val="009D5A91"/>
    <w:rsid w:val="009D5E94"/>
    <w:rsid w:val="009D69DB"/>
    <w:rsid w:val="009E02AA"/>
    <w:rsid w:val="009E2966"/>
    <w:rsid w:val="009E4396"/>
    <w:rsid w:val="009E577E"/>
    <w:rsid w:val="009F222E"/>
    <w:rsid w:val="009F3B23"/>
    <w:rsid w:val="009F46DD"/>
    <w:rsid w:val="009F651A"/>
    <w:rsid w:val="009F76DB"/>
    <w:rsid w:val="00A055B7"/>
    <w:rsid w:val="00A07CB2"/>
    <w:rsid w:val="00A138E7"/>
    <w:rsid w:val="00A16E5D"/>
    <w:rsid w:val="00A17F77"/>
    <w:rsid w:val="00A20511"/>
    <w:rsid w:val="00A2140D"/>
    <w:rsid w:val="00A22406"/>
    <w:rsid w:val="00A23003"/>
    <w:rsid w:val="00A23CFA"/>
    <w:rsid w:val="00A31A69"/>
    <w:rsid w:val="00A36E57"/>
    <w:rsid w:val="00A409CB"/>
    <w:rsid w:val="00A43891"/>
    <w:rsid w:val="00A47E50"/>
    <w:rsid w:val="00A50E1C"/>
    <w:rsid w:val="00A51735"/>
    <w:rsid w:val="00A5448A"/>
    <w:rsid w:val="00A54CC9"/>
    <w:rsid w:val="00A559FA"/>
    <w:rsid w:val="00A56A5D"/>
    <w:rsid w:val="00A61B92"/>
    <w:rsid w:val="00A61D5A"/>
    <w:rsid w:val="00A624AC"/>
    <w:rsid w:val="00A63C4C"/>
    <w:rsid w:val="00A63D6F"/>
    <w:rsid w:val="00A65D72"/>
    <w:rsid w:val="00A66A55"/>
    <w:rsid w:val="00A70AA4"/>
    <w:rsid w:val="00A73AEC"/>
    <w:rsid w:val="00A740FC"/>
    <w:rsid w:val="00A808B2"/>
    <w:rsid w:val="00A81638"/>
    <w:rsid w:val="00A8252D"/>
    <w:rsid w:val="00A82A20"/>
    <w:rsid w:val="00A860C6"/>
    <w:rsid w:val="00A87010"/>
    <w:rsid w:val="00A91E66"/>
    <w:rsid w:val="00A96DAF"/>
    <w:rsid w:val="00AA10A6"/>
    <w:rsid w:val="00AA1B6F"/>
    <w:rsid w:val="00AA2232"/>
    <w:rsid w:val="00AA2BF7"/>
    <w:rsid w:val="00AA436B"/>
    <w:rsid w:val="00AA7366"/>
    <w:rsid w:val="00AB01AF"/>
    <w:rsid w:val="00AB3F7E"/>
    <w:rsid w:val="00AC0E06"/>
    <w:rsid w:val="00AC1E14"/>
    <w:rsid w:val="00AC7449"/>
    <w:rsid w:val="00AD397C"/>
    <w:rsid w:val="00AD485D"/>
    <w:rsid w:val="00AD5C40"/>
    <w:rsid w:val="00AD5E14"/>
    <w:rsid w:val="00AE3317"/>
    <w:rsid w:val="00AE4AC7"/>
    <w:rsid w:val="00AE6A3D"/>
    <w:rsid w:val="00AF497D"/>
    <w:rsid w:val="00AF7032"/>
    <w:rsid w:val="00AF74CB"/>
    <w:rsid w:val="00B01224"/>
    <w:rsid w:val="00B047A2"/>
    <w:rsid w:val="00B056DA"/>
    <w:rsid w:val="00B1362D"/>
    <w:rsid w:val="00B218EE"/>
    <w:rsid w:val="00B221D8"/>
    <w:rsid w:val="00B22EFF"/>
    <w:rsid w:val="00B23DC5"/>
    <w:rsid w:val="00B23DC8"/>
    <w:rsid w:val="00B27363"/>
    <w:rsid w:val="00B273C4"/>
    <w:rsid w:val="00B303FD"/>
    <w:rsid w:val="00B308E5"/>
    <w:rsid w:val="00B31CD9"/>
    <w:rsid w:val="00B32706"/>
    <w:rsid w:val="00B33A7E"/>
    <w:rsid w:val="00B3619C"/>
    <w:rsid w:val="00B36595"/>
    <w:rsid w:val="00B36EFC"/>
    <w:rsid w:val="00B415D7"/>
    <w:rsid w:val="00B420E7"/>
    <w:rsid w:val="00B43129"/>
    <w:rsid w:val="00B43CAB"/>
    <w:rsid w:val="00B446F0"/>
    <w:rsid w:val="00B450C7"/>
    <w:rsid w:val="00B53DE2"/>
    <w:rsid w:val="00B540C8"/>
    <w:rsid w:val="00B5413A"/>
    <w:rsid w:val="00B54165"/>
    <w:rsid w:val="00B54272"/>
    <w:rsid w:val="00B57FFC"/>
    <w:rsid w:val="00B62047"/>
    <w:rsid w:val="00B624EC"/>
    <w:rsid w:val="00B62A31"/>
    <w:rsid w:val="00B646D8"/>
    <w:rsid w:val="00B6592A"/>
    <w:rsid w:val="00B6627A"/>
    <w:rsid w:val="00B67D87"/>
    <w:rsid w:val="00B72175"/>
    <w:rsid w:val="00B72476"/>
    <w:rsid w:val="00B736AD"/>
    <w:rsid w:val="00B74953"/>
    <w:rsid w:val="00B76004"/>
    <w:rsid w:val="00B760C5"/>
    <w:rsid w:val="00B80EAE"/>
    <w:rsid w:val="00B81297"/>
    <w:rsid w:val="00B81856"/>
    <w:rsid w:val="00B83070"/>
    <w:rsid w:val="00B854AB"/>
    <w:rsid w:val="00B906FB"/>
    <w:rsid w:val="00B90E8A"/>
    <w:rsid w:val="00B913D3"/>
    <w:rsid w:val="00B95659"/>
    <w:rsid w:val="00BA13CB"/>
    <w:rsid w:val="00BA1953"/>
    <w:rsid w:val="00BA195D"/>
    <w:rsid w:val="00BA40FD"/>
    <w:rsid w:val="00BA5C44"/>
    <w:rsid w:val="00BA7336"/>
    <w:rsid w:val="00BB3261"/>
    <w:rsid w:val="00BB77DF"/>
    <w:rsid w:val="00BC425F"/>
    <w:rsid w:val="00BC54CA"/>
    <w:rsid w:val="00BC6324"/>
    <w:rsid w:val="00BC77F0"/>
    <w:rsid w:val="00BD09A5"/>
    <w:rsid w:val="00BD2E05"/>
    <w:rsid w:val="00BD358D"/>
    <w:rsid w:val="00BD68E4"/>
    <w:rsid w:val="00BE0226"/>
    <w:rsid w:val="00BE1AB2"/>
    <w:rsid w:val="00BE2F1C"/>
    <w:rsid w:val="00BE6754"/>
    <w:rsid w:val="00BF046F"/>
    <w:rsid w:val="00BF094E"/>
    <w:rsid w:val="00BF2C2F"/>
    <w:rsid w:val="00BF37B2"/>
    <w:rsid w:val="00BF5937"/>
    <w:rsid w:val="00BF5C84"/>
    <w:rsid w:val="00BF6814"/>
    <w:rsid w:val="00BF782B"/>
    <w:rsid w:val="00C02752"/>
    <w:rsid w:val="00C06E5F"/>
    <w:rsid w:val="00C13430"/>
    <w:rsid w:val="00C13669"/>
    <w:rsid w:val="00C13AFA"/>
    <w:rsid w:val="00C15A22"/>
    <w:rsid w:val="00C201E8"/>
    <w:rsid w:val="00C20B95"/>
    <w:rsid w:val="00C22E5F"/>
    <w:rsid w:val="00C23943"/>
    <w:rsid w:val="00C27449"/>
    <w:rsid w:val="00C31806"/>
    <w:rsid w:val="00C33070"/>
    <w:rsid w:val="00C3360A"/>
    <w:rsid w:val="00C33BDA"/>
    <w:rsid w:val="00C4088C"/>
    <w:rsid w:val="00C4377B"/>
    <w:rsid w:val="00C446F0"/>
    <w:rsid w:val="00C46835"/>
    <w:rsid w:val="00C47D22"/>
    <w:rsid w:val="00C501A5"/>
    <w:rsid w:val="00C518F1"/>
    <w:rsid w:val="00C53442"/>
    <w:rsid w:val="00C55011"/>
    <w:rsid w:val="00C56ED5"/>
    <w:rsid w:val="00C57198"/>
    <w:rsid w:val="00C6391E"/>
    <w:rsid w:val="00C6671F"/>
    <w:rsid w:val="00C73850"/>
    <w:rsid w:val="00C802F0"/>
    <w:rsid w:val="00C819CD"/>
    <w:rsid w:val="00C83AA2"/>
    <w:rsid w:val="00C83DCA"/>
    <w:rsid w:val="00C845FC"/>
    <w:rsid w:val="00C85017"/>
    <w:rsid w:val="00C8518F"/>
    <w:rsid w:val="00C85F11"/>
    <w:rsid w:val="00C92637"/>
    <w:rsid w:val="00C927F2"/>
    <w:rsid w:val="00C93877"/>
    <w:rsid w:val="00C93A6F"/>
    <w:rsid w:val="00C93F64"/>
    <w:rsid w:val="00C9692B"/>
    <w:rsid w:val="00CA2279"/>
    <w:rsid w:val="00CA277D"/>
    <w:rsid w:val="00CA30C1"/>
    <w:rsid w:val="00CA3C35"/>
    <w:rsid w:val="00CA52DB"/>
    <w:rsid w:val="00CA6220"/>
    <w:rsid w:val="00CA7615"/>
    <w:rsid w:val="00CB1F08"/>
    <w:rsid w:val="00CC0EFA"/>
    <w:rsid w:val="00CC48A6"/>
    <w:rsid w:val="00CC5239"/>
    <w:rsid w:val="00CD02C5"/>
    <w:rsid w:val="00CD5A3F"/>
    <w:rsid w:val="00CD771A"/>
    <w:rsid w:val="00CD7942"/>
    <w:rsid w:val="00CE0C41"/>
    <w:rsid w:val="00CE1528"/>
    <w:rsid w:val="00CF0C02"/>
    <w:rsid w:val="00CF184B"/>
    <w:rsid w:val="00CF31A3"/>
    <w:rsid w:val="00CF32FD"/>
    <w:rsid w:val="00CF3490"/>
    <w:rsid w:val="00D01A91"/>
    <w:rsid w:val="00D0219C"/>
    <w:rsid w:val="00D03650"/>
    <w:rsid w:val="00D05F49"/>
    <w:rsid w:val="00D06822"/>
    <w:rsid w:val="00D07543"/>
    <w:rsid w:val="00D10F7C"/>
    <w:rsid w:val="00D11992"/>
    <w:rsid w:val="00D132B7"/>
    <w:rsid w:val="00D14220"/>
    <w:rsid w:val="00D14997"/>
    <w:rsid w:val="00D15651"/>
    <w:rsid w:val="00D16474"/>
    <w:rsid w:val="00D16E47"/>
    <w:rsid w:val="00D20FB4"/>
    <w:rsid w:val="00D220B0"/>
    <w:rsid w:val="00D26A25"/>
    <w:rsid w:val="00D30AA2"/>
    <w:rsid w:val="00D34536"/>
    <w:rsid w:val="00D3501E"/>
    <w:rsid w:val="00D36E83"/>
    <w:rsid w:val="00D420D0"/>
    <w:rsid w:val="00D440F1"/>
    <w:rsid w:val="00D4439A"/>
    <w:rsid w:val="00D44CDE"/>
    <w:rsid w:val="00D45458"/>
    <w:rsid w:val="00D45605"/>
    <w:rsid w:val="00D5259C"/>
    <w:rsid w:val="00D53BBB"/>
    <w:rsid w:val="00D56619"/>
    <w:rsid w:val="00D56D86"/>
    <w:rsid w:val="00D627A4"/>
    <w:rsid w:val="00D63970"/>
    <w:rsid w:val="00D63DCA"/>
    <w:rsid w:val="00D6421D"/>
    <w:rsid w:val="00D64BC2"/>
    <w:rsid w:val="00D70670"/>
    <w:rsid w:val="00D71065"/>
    <w:rsid w:val="00D72FE7"/>
    <w:rsid w:val="00D7483B"/>
    <w:rsid w:val="00D7551C"/>
    <w:rsid w:val="00D7661B"/>
    <w:rsid w:val="00D77307"/>
    <w:rsid w:val="00D86F74"/>
    <w:rsid w:val="00D87FED"/>
    <w:rsid w:val="00D9038F"/>
    <w:rsid w:val="00D9291F"/>
    <w:rsid w:val="00DA0780"/>
    <w:rsid w:val="00DA1014"/>
    <w:rsid w:val="00DA2BD7"/>
    <w:rsid w:val="00DA2EB4"/>
    <w:rsid w:val="00DA40EF"/>
    <w:rsid w:val="00DA440C"/>
    <w:rsid w:val="00DB2283"/>
    <w:rsid w:val="00DB4D30"/>
    <w:rsid w:val="00DB542B"/>
    <w:rsid w:val="00DB5553"/>
    <w:rsid w:val="00DB7AC0"/>
    <w:rsid w:val="00DC0396"/>
    <w:rsid w:val="00DC0E5F"/>
    <w:rsid w:val="00DC241B"/>
    <w:rsid w:val="00DD06D3"/>
    <w:rsid w:val="00DD1F74"/>
    <w:rsid w:val="00DD2B24"/>
    <w:rsid w:val="00DD2ECA"/>
    <w:rsid w:val="00DD3AD7"/>
    <w:rsid w:val="00DD43BE"/>
    <w:rsid w:val="00DD59E8"/>
    <w:rsid w:val="00DD60AE"/>
    <w:rsid w:val="00DD7B4B"/>
    <w:rsid w:val="00DE30AF"/>
    <w:rsid w:val="00DE3EFB"/>
    <w:rsid w:val="00DE479C"/>
    <w:rsid w:val="00DE5FA0"/>
    <w:rsid w:val="00DE647A"/>
    <w:rsid w:val="00DE6F8E"/>
    <w:rsid w:val="00DE74A3"/>
    <w:rsid w:val="00DF0B0B"/>
    <w:rsid w:val="00DF1477"/>
    <w:rsid w:val="00DF20EE"/>
    <w:rsid w:val="00DF4A20"/>
    <w:rsid w:val="00DF52BC"/>
    <w:rsid w:val="00DF73B3"/>
    <w:rsid w:val="00DF73F5"/>
    <w:rsid w:val="00E00365"/>
    <w:rsid w:val="00E02E1B"/>
    <w:rsid w:val="00E13423"/>
    <w:rsid w:val="00E23D89"/>
    <w:rsid w:val="00E277DF"/>
    <w:rsid w:val="00E279E7"/>
    <w:rsid w:val="00E307BA"/>
    <w:rsid w:val="00E30D2F"/>
    <w:rsid w:val="00E34207"/>
    <w:rsid w:val="00E353D2"/>
    <w:rsid w:val="00E35A41"/>
    <w:rsid w:val="00E3791E"/>
    <w:rsid w:val="00E413EA"/>
    <w:rsid w:val="00E41940"/>
    <w:rsid w:val="00E41B62"/>
    <w:rsid w:val="00E4210A"/>
    <w:rsid w:val="00E42E89"/>
    <w:rsid w:val="00E4494C"/>
    <w:rsid w:val="00E47A97"/>
    <w:rsid w:val="00E5096E"/>
    <w:rsid w:val="00E50F4C"/>
    <w:rsid w:val="00E539FA"/>
    <w:rsid w:val="00E5593B"/>
    <w:rsid w:val="00E569C5"/>
    <w:rsid w:val="00E5718B"/>
    <w:rsid w:val="00E6127B"/>
    <w:rsid w:val="00E62B2E"/>
    <w:rsid w:val="00E6505D"/>
    <w:rsid w:val="00E66B38"/>
    <w:rsid w:val="00E73D2B"/>
    <w:rsid w:val="00E7455D"/>
    <w:rsid w:val="00E76460"/>
    <w:rsid w:val="00E80181"/>
    <w:rsid w:val="00E81C35"/>
    <w:rsid w:val="00E82995"/>
    <w:rsid w:val="00E842EA"/>
    <w:rsid w:val="00E84AE8"/>
    <w:rsid w:val="00E87D8C"/>
    <w:rsid w:val="00E90CB2"/>
    <w:rsid w:val="00E94E9A"/>
    <w:rsid w:val="00E96FFD"/>
    <w:rsid w:val="00E97603"/>
    <w:rsid w:val="00EA149F"/>
    <w:rsid w:val="00EA188F"/>
    <w:rsid w:val="00EA2148"/>
    <w:rsid w:val="00EA7165"/>
    <w:rsid w:val="00EB273B"/>
    <w:rsid w:val="00EB3F6F"/>
    <w:rsid w:val="00EB3F99"/>
    <w:rsid w:val="00EB43AE"/>
    <w:rsid w:val="00EB44FF"/>
    <w:rsid w:val="00EB562A"/>
    <w:rsid w:val="00EB5C90"/>
    <w:rsid w:val="00EB783D"/>
    <w:rsid w:val="00EC277F"/>
    <w:rsid w:val="00EC5F89"/>
    <w:rsid w:val="00ED2F50"/>
    <w:rsid w:val="00ED72EB"/>
    <w:rsid w:val="00EE0D6D"/>
    <w:rsid w:val="00EE3B8F"/>
    <w:rsid w:val="00EE49C3"/>
    <w:rsid w:val="00EE4D94"/>
    <w:rsid w:val="00EE622D"/>
    <w:rsid w:val="00EF128D"/>
    <w:rsid w:val="00EF1A4A"/>
    <w:rsid w:val="00EF35D3"/>
    <w:rsid w:val="00EF3D4F"/>
    <w:rsid w:val="00EF4F09"/>
    <w:rsid w:val="00EF62CE"/>
    <w:rsid w:val="00F0479E"/>
    <w:rsid w:val="00F049AA"/>
    <w:rsid w:val="00F14C0D"/>
    <w:rsid w:val="00F14F7D"/>
    <w:rsid w:val="00F164ED"/>
    <w:rsid w:val="00F17606"/>
    <w:rsid w:val="00F22E90"/>
    <w:rsid w:val="00F27EE9"/>
    <w:rsid w:val="00F3198E"/>
    <w:rsid w:val="00F3293D"/>
    <w:rsid w:val="00F35CE2"/>
    <w:rsid w:val="00F3691C"/>
    <w:rsid w:val="00F36A87"/>
    <w:rsid w:val="00F370D6"/>
    <w:rsid w:val="00F42131"/>
    <w:rsid w:val="00F51CD4"/>
    <w:rsid w:val="00F54180"/>
    <w:rsid w:val="00F609F4"/>
    <w:rsid w:val="00F619CF"/>
    <w:rsid w:val="00F63E8C"/>
    <w:rsid w:val="00F74F8A"/>
    <w:rsid w:val="00F75773"/>
    <w:rsid w:val="00F773DC"/>
    <w:rsid w:val="00F831B5"/>
    <w:rsid w:val="00F83562"/>
    <w:rsid w:val="00F837E1"/>
    <w:rsid w:val="00F8519E"/>
    <w:rsid w:val="00F86C12"/>
    <w:rsid w:val="00F902DE"/>
    <w:rsid w:val="00F90F4A"/>
    <w:rsid w:val="00F913CD"/>
    <w:rsid w:val="00F94121"/>
    <w:rsid w:val="00F95DC7"/>
    <w:rsid w:val="00F97570"/>
    <w:rsid w:val="00FA16A1"/>
    <w:rsid w:val="00FA413F"/>
    <w:rsid w:val="00FA50BF"/>
    <w:rsid w:val="00FB1343"/>
    <w:rsid w:val="00FB1D2A"/>
    <w:rsid w:val="00FB2061"/>
    <w:rsid w:val="00FB34B9"/>
    <w:rsid w:val="00FB3C48"/>
    <w:rsid w:val="00FB718C"/>
    <w:rsid w:val="00FB7480"/>
    <w:rsid w:val="00FC0394"/>
    <w:rsid w:val="00FC6261"/>
    <w:rsid w:val="00FC7C60"/>
    <w:rsid w:val="00FC7E0C"/>
    <w:rsid w:val="00FD0D38"/>
    <w:rsid w:val="00FD0F7E"/>
    <w:rsid w:val="00FD2B5D"/>
    <w:rsid w:val="00FF000F"/>
    <w:rsid w:val="00FF2684"/>
    <w:rsid w:val="00FF4993"/>
    <w:rsid w:val="00FF4F4B"/>
    <w:rsid w:val="00FF5794"/>
    <w:rsid w:val="00FF5839"/>
    <w:rsid w:val="00FF609D"/>
    <w:rsid w:val="00FF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220D4A"/>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497BF9"/>
    <w:rPr>
      <w:color w:val="605E5C"/>
      <w:shd w:val="clear" w:color="auto" w:fill="E1DFDD"/>
    </w:rPr>
  </w:style>
  <w:style w:type="paragraph" w:styleId="Revision">
    <w:name w:val="Revision"/>
    <w:hidden/>
    <w:uiPriority w:val="99"/>
    <w:semiHidden/>
    <w:rsid w:val="00624F37"/>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publications_category=icb-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580BF-2215-4EF7-B659-3BAD6A9D5799}">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2.xml><?xml version="1.0" encoding="utf-8"?>
<ds:datastoreItem xmlns:ds="http://schemas.openxmlformats.org/officeDocument/2006/customXml" ds:itemID="{BA8D60DF-1540-4CBB-9F2A-9ACCB212DB38}">
  <ds:schemaRefs>
    <ds:schemaRef ds:uri="http://schemas.microsoft.com/sharepoint/v3/contenttype/forms"/>
  </ds:schemaRefs>
</ds:datastoreItem>
</file>

<file path=customXml/itemProps3.xml><?xml version="1.0" encoding="utf-8"?>
<ds:datastoreItem xmlns:ds="http://schemas.openxmlformats.org/officeDocument/2006/customXml" ds:itemID="{A68A044A-CDD2-4E2C-8947-D4E5EE777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66</TotalTime>
  <Pages>19</Pages>
  <Words>4494</Words>
  <Characters>25618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Policy V1.0</vt:lpstr>
    </vt:vector>
  </TitlesOfParts>
  <Manager/>
  <Company/>
  <LinksUpToDate>false</LinksUpToDate>
  <CharactersWithSpaces>30052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V2.0</dc:title>
  <dc:subject/>
  <dc:creator>Adams Nicola (07G) Thurrock CCG</dc:creator>
  <cp:keywords/>
  <dc:description/>
  <cp:lastModifiedBy>CHASNEY, Helen (NHS MID AND SOUTH ESSEX ICB - 07G)</cp:lastModifiedBy>
  <cp:revision>39</cp:revision>
  <cp:lastPrinted>2021-12-03T14:01:00Z</cp:lastPrinted>
  <dcterms:created xsi:type="dcterms:W3CDTF">2024-07-03T14:51:00Z</dcterms:created>
  <dcterms:modified xsi:type="dcterms:W3CDTF">2024-08-02T12:51:00Z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