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BBBE" w14:textId="77777777" w:rsidR="001E1524" w:rsidRDefault="009C523D" w:rsidP="003A663C">
      <w:pPr>
        <w:pStyle w:val="Title"/>
      </w:pPr>
      <w:bookmarkStart w:id="0" w:name="_Toc85717490"/>
      <w:r>
        <w:br/>
      </w:r>
      <w:r>
        <w:br/>
      </w:r>
      <w:r>
        <w:br/>
      </w:r>
      <w:r>
        <w:br/>
      </w:r>
      <w:r>
        <w:br/>
      </w:r>
      <w:bookmarkStart w:id="1" w:name="_Hlk110341091"/>
      <w:bookmarkStart w:id="2" w:name="_Toc88478171"/>
      <w:bookmarkEnd w:id="0"/>
    </w:p>
    <w:p w14:paraId="732C1288" w14:textId="77777777" w:rsidR="001E1524" w:rsidRDefault="001E1524" w:rsidP="003A663C">
      <w:pPr>
        <w:pStyle w:val="Title"/>
      </w:pPr>
    </w:p>
    <w:p w14:paraId="4E4C9FE7" w14:textId="77777777" w:rsidR="001E1524" w:rsidRDefault="001E1524" w:rsidP="003A663C">
      <w:pPr>
        <w:pStyle w:val="Title"/>
      </w:pPr>
    </w:p>
    <w:p w14:paraId="34C8E8B3" w14:textId="77777777" w:rsidR="001E1524" w:rsidRDefault="001E1524" w:rsidP="003A663C">
      <w:pPr>
        <w:pStyle w:val="Title"/>
      </w:pPr>
    </w:p>
    <w:p w14:paraId="381D4638" w14:textId="77777777" w:rsidR="001E1524" w:rsidRDefault="001E1524" w:rsidP="003A663C">
      <w:pPr>
        <w:pStyle w:val="Title"/>
      </w:pPr>
    </w:p>
    <w:p w14:paraId="7DEBA147" w14:textId="77777777" w:rsidR="001E1524" w:rsidRDefault="001E1524" w:rsidP="003A663C">
      <w:pPr>
        <w:pStyle w:val="Title"/>
      </w:pPr>
    </w:p>
    <w:p w14:paraId="158AE1B9" w14:textId="77777777" w:rsidR="00CE658C" w:rsidRDefault="008A617E" w:rsidP="003A663C">
      <w:pPr>
        <w:pStyle w:val="Title"/>
      </w:pPr>
      <w:r>
        <w:t>Financial Allocations</w:t>
      </w:r>
      <w:r w:rsidR="002D1C4B">
        <w:t xml:space="preserve"> </w:t>
      </w:r>
      <w:r w:rsidR="00D75F22">
        <w:t xml:space="preserve">and </w:t>
      </w:r>
      <w:r w:rsidR="00AD7E17">
        <w:t xml:space="preserve">System </w:t>
      </w:r>
      <w:r w:rsidR="00D75F22">
        <w:t xml:space="preserve">Reporting </w:t>
      </w:r>
      <w:r w:rsidR="002D1C4B">
        <w:t>Policy</w:t>
      </w:r>
      <w:bookmarkEnd w:id="1"/>
    </w:p>
    <w:p w14:paraId="14ACB7D8" w14:textId="56E275F5" w:rsidR="003A663C" w:rsidRPr="003A663C" w:rsidRDefault="003A663C" w:rsidP="003A663C">
      <w:pPr>
        <w:pStyle w:val="Title"/>
      </w:pPr>
      <w:r>
        <w:br w:type="page"/>
      </w:r>
    </w:p>
    <w:p w14:paraId="4115932A" w14:textId="77777777" w:rsidR="00FD2B5D" w:rsidRDefault="00FD2B5D" w:rsidP="00FD2B5D">
      <w:pPr>
        <w:pStyle w:val="Heading1"/>
      </w:pPr>
      <w:r w:rsidRPr="00DA22B6">
        <w:t>Document Control:</w:t>
      </w:r>
      <w:bookmarkEnd w:id="2"/>
    </w:p>
    <w:tbl>
      <w:tblPr>
        <w:tblStyle w:val="TableGrid"/>
        <w:tblW w:w="0" w:type="auto"/>
        <w:tblLook w:val="04A0" w:firstRow="1" w:lastRow="0" w:firstColumn="1" w:lastColumn="0" w:noHBand="0" w:noVBand="1"/>
      </w:tblPr>
      <w:tblGrid>
        <w:gridCol w:w="4508"/>
        <w:gridCol w:w="4508"/>
      </w:tblGrid>
      <w:tr w:rsidR="001E1524" w:rsidRPr="001E1524" w14:paraId="7F1FE4AD" w14:textId="77777777" w:rsidTr="001E1524">
        <w:trPr>
          <w:tblHeader/>
        </w:trPr>
        <w:tc>
          <w:tcPr>
            <w:tcW w:w="4508" w:type="dxa"/>
            <w:shd w:val="clear" w:color="auto" w:fill="003087" w:themeFill="accent1"/>
          </w:tcPr>
          <w:p w14:paraId="197A23F0" w14:textId="474B5CB4" w:rsidR="001E1524" w:rsidRPr="001E1524" w:rsidRDefault="001E1524" w:rsidP="001E1524">
            <w:pPr>
              <w:spacing w:before="0" w:after="0"/>
              <w:ind w:left="0"/>
              <w:rPr>
                <w:rFonts w:ascii="Arial" w:eastAsia="Arial" w:hAnsi="Arial"/>
                <w:b/>
                <w:bCs/>
                <w:color w:val="FFFFFF" w:themeColor="background1"/>
              </w:rPr>
            </w:pPr>
            <w:r w:rsidRPr="001E1524">
              <w:rPr>
                <w:rFonts w:ascii="Arial" w:eastAsia="Arial" w:hAnsi="Arial"/>
                <w:b/>
                <w:bCs/>
                <w:color w:val="FFFFFF" w:themeColor="background1"/>
              </w:rPr>
              <w:t xml:space="preserve">Document Control Information: </w:t>
            </w:r>
          </w:p>
        </w:tc>
        <w:tc>
          <w:tcPr>
            <w:tcW w:w="4508" w:type="dxa"/>
          </w:tcPr>
          <w:p w14:paraId="7DC163D5" w14:textId="238E3CEB" w:rsidR="001E1524" w:rsidRPr="001E1524" w:rsidRDefault="001E1524" w:rsidP="001E1524">
            <w:pPr>
              <w:spacing w:before="0" w:after="0"/>
              <w:ind w:left="0"/>
              <w:rPr>
                <w:b/>
                <w:bCs/>
              </w:rPr>
            </w:pPr>
            <w:r w:rsidRPr="001E1524">
              <w:rPr>
                <w:b/>
                <w:bCs/>
              </w:rPr>
              <w:t xml:space="preserve">Details </w:t>
            </w:r>
          </w:p>
        </w:tc>
      </w:tr>
      <w:tr w:rsidR="00B303FD" w14:paraId="72522B01" w14:textId="77777777" w:rsidTr="009C2BC5">
        <w:tc>
          <w:tcPr>
            <w:tcW w:w="4508" w:type="dxa"/>
            <w:shd w:val="clear" w:color="auto" w:fill="003087" w:themeFill="accent1"/>
          </w:tcPr>
          <w:p w14:paraId="4DB7EF42" w14:textId="29ECC7A5" w:rsidR="00B303FD" w:rsidRDefault="009C2BC5" w:rsidP="001E1524">
            <w:pPr>
              <w:spacing w:before="0" w:after="0"/>
              <w:ind w:left="0"/>
            </w:pPr>
            <w:r>
              <w:rPr>
                <w:rFonts w:ascii="Arial" w:eastAsia="Arial" w:hAnsi="Arial"/>
                <w:color w:val="FFFFFF" w:themeColor="background1"/>
              </w:rPr>
              <w:t>Policy Name</w:t>
            </w:r>
          </w:p>
        </w:tc>
        <w:tc>
          <w:tcPr>
            <w:tcW w:w="4508" w:type="dxa"/>
          </w:tcPr>
          <w:p w14:paraId="24628341" w14:textId="597561BA" w:rsidR="00B303FD" w:rsidRDefault="008A617E" w:rsidP="001E1524">
            <w:pPr>
              <w:spacing w:before="0" w:after="0"/>
              <w:ind w:left="0"/>
            </w:pPr>
            <w:r>
              <w:t>Financial Allocations</w:t>
            </w:r>
            <w:r w:rsidR="00284367">
              <w:t xml:space="preserve"> </w:t>
            </w:r>
            <w:r w:rsidR="00D63DCA">
              <w:t>Policy</w:t>
            </w:r>
          </w:p>
        </w:tc>
      </w:tr>
      <w:tr w:rsidR="00B303FD" w14:paraId="67F85A89" w14:textId="77777777" w:rsidTr="009C2BC5">
        <w:tc>
          <w:tcPr>
            <w:tcW w:w="4508" w:type="dxa"/>
            <w:shd w:val="clear" w:color="auto" w:fill="003087" w:themeFill="accent1"/>
          </w:tcPr>
          <w:p w14:paraId="5548AFC3" w14:textId="2FEDD52B" w:rsidR="00B303FD" w:rsidRPr="009C2BC5" w:rsidRDefault="009C2BC5" w:rsidP="001E1524">
            <w:pPr>
              <w:spacing w:before="0" w:after="0"/>
              <w:ind w:left="0"/>
              <w:rPr>
                <w:color w:val="FFFFFF" w:themeColor="background1"/>
              </w:rPr>
            </w:pPr>
            <w:r w:rsidRPr="009C2BC5">
              <w:rPr>
                <w:color w:val="FFFFFF" w:themeColor="background1"/>
              </w:rPr>
              <w:t>Policy Number</w:t>
            </w:r>
          </w:p>
        </w:tc>
        <w:tc>
          <w:tcPr>
            <w:tcW w:w="4508" w:type="dxa"/>
          </w:tcPr>
          <w:p w14:paraId="608BA2FB" w14:textId="72AC15EA" w:rsidR="00B303FD" w:rsidRDefault="00CE658C" w:rsidP="001E1524">
            <w:pPr>
              <w:spacing w:before="0" w:after="0"/>
              <w:ind w:left="0"/>
            </w:pPr>
            <w:r>
              <w:t>MSEICB009</w:t>
            </w:r>
          </w:p>
        </w:tc>
      </w:tr>
      <w:tr w:rsidR="00B303FD" w14:paraId="10214A79" w14:textId="77777777" w:rsidTr="009C2BC5">
        <w:tc>
          <w:tcPr>
            <w:tcW w:w="4508" w:type="dxa"/>
            <w:shd w:val="clear" w:color="auto" w:fill="003087" w:themeFill="accent1"/>
          </w:tcPr>
          <w:p w14:paraId="3DB6346D" w14:textId="4B8C29ED" w:rsidR="00B303FD" w:rsidRPr="009C2BC5" w:rsidRDefault="00430DC6" w:rsidP="001E1524">
            <w:pPr>
              <w:spacing w:before="0" w:after="0"/>
              <w:ind w:left="0"/>
              <w:rPr>
                <w:color w:val="FFFFFF" w:themeColor="background1"/>
              </w:rPr>
            </w:pPr>
            <w:r>
              <w:rPr>
                <w:color w:val="FFFFFF" w:themeColor="background1"/>
              </w:rPr>
              <w:t>Version</w:t>
            </w:r>
          </w:p>
        </w:tc>
        <w:tc>
          <w:tcPr>
            <w:tcW w:w="4508" w:type="dxa"/>
          </w:tcPr>
          <w:p w14:paraId="120620B4" w14:textId="59E1A5E7" w:rsidR="00B303FD" w:rsidRPr="008A617E" w:rsidRDefault="00F670D7" w:rsidP="001E1524">
            <w:pPr>
              <w:spacing w:before="0" w:after="0"/>
              <w:ind w:left="0"/>
            </w:pPr>
            <w:r>
              <w:t>V</w:t>
            </w:r>
            <w:r w:rsidR="00CE658C">
              <w:t>1</w:t>
            </w:r>
            <w:r w:rsidR="00CB1F08" w:rsidRPr="008A617E">
              <w:t>.</w:t>
            </w:r>
            <w:r w:rsidR="00CE658C">
              <w:t>0</w:t>
            </w:r>
          </w:p>
        </w:tc>
      </w:tr>
      <w:tr w:rsidR="00B303FD" w14:paraId="04512574" w14:textId="77777777" w:rsidTr="009C2BC5">
        <w:tc>
          <w:tcPr>
            <w:tcW w:w="4508" w:type="dxa"/>
            <w:shd w:val="clear" w:color="auto" w:fill="003087" w:themeFill="accent1"/>
          </w:tcPr>
          <w:p w14:paraId="6832B675" w14:textId="540BF0A4" w:rsidR="00B303FD" w:rsidRPr="009C2BC5" w:rsidRDefault="00834A93" w:rsidP="001E1524">
            <w:pPr>
              <w:spacing w:before="0" w:after="0"/>
              <w:ind w:left="0"/>
              <w:rPr>
                <w:color w:val="FFFFFF" w:themeColor="background1"/>
              </w:rPr>
            </w:pPr>
            <w:r>
              <w:rPr>
                <w:color w:val="FFFFFF" w:themeColor="background1"/>
              </w:rPr>
              <w:t>Status</w:t>
            </w:r>
          </w:p>
        </w:tc>
        <w:tc>
          <w:tcPr>
            <w:tcW w:w="4508" w:type="dxa"/>
          </w:tcPr>
          <w:p w14:paraId="7C8E90AD" w14:textId="37FC22DF" w:rsidR="00B303FD" w:rsidRPr="008A617E" w:rsidRDefault="009B2E5B" w:rsidP="001E1524">
            <w:pPr>
              <w:spacing w:before="0" w:after="0"/>
              <w:ind w:left="0"/>
            </w:pPr>
            <w:r>
              <w:t xml:space="preserve">Final Draft </w:t>
            </w:r>
          </w:p>
        </w:tc>
      </w:tr>
      <w:tr w:rsidR="00B303FD" w14:paraId="4245E4FC" w14:textId="77777777" w:rsidTr="009C2BC5">
        <w:tc>
          <w:tcPr>
            <w:tcW w:w="4508" w:type="dxa"/>
            <w:shd w:val="clear" w:color="auto" w:fill="003087" w:themeFill="accent1"/>
          </w:tcPr>
          <w:p w14:paraId="38167622" w14:textId="5FFE1BB3" w:rsidR="00B303FD" w:rsidRPr="009C2BC5" w:rsidRDefault="008235E7" w:rsidP="001E1524">
            <w:pPr>
              <w:spacing w:before="0" w:after="0"/>
              <w:ind w:left="0"/>
              <w:rPr>
                <w:color w:val="FFFFFF" w:themeColor="background1"/>
              </w:rPr>
            </w:pPr>
            <w:r>
              <w:rPr>
                <w:color w:val="FFFFFF" w:themeColor="background1"/>
              </w:rPr>
              <w:t>Author / Lead</w:t>
            </w:r>
          </w:p>
        </w:tc>
        <w:tc>
          <w:tcPr>
            <w:tcW w:w="4508" w:type="dxa"/>
          </w:tcPr>
          <w:p w14:paraId="50BEC985" w14:textId="47B742F0" w:rsidR="00B303FD" w:rsidRDefault="008A617E" w:rsidP="001E1524">
            <w:pPr>
              <w:spacing w:before="0" w:after="0"/>
              <w:ind w:left="0"/>
            </w:pPr>
            <w:r>
              <w:t>Jason Skinner, Director of Financial Planning and Reporting</w:t>
            </w:r>
          </w:p>
        </w:tc>
      </w:tr>
      <w:tr w:rsidR="00B303FD" w14:paraId="3A951DDD" w14:textId="77777777" w:rsidTr="009C2BC5">
        <w:tc>
          <w:tcPr>
            <w:tcW w:w="4508" w:type="dxa"/>
            <w:shd w:val="clear" w:color="auto" w:fill="003087" w:themeFill="accent1"/>
          </w:tcPr>
          <w:p w14:paraId="0E6E6015" w14:textId="05DB4D20" w:rsidR="00B303FD" w:rsidRPr="009C2BC5" w:rsidRDefault="00E277DF" w:rsidP="001E1524">
            <w:pPr>
              <w:spacing w:before="0" w:after="0"/>
              <w:ind w:left="0"/>
              <w:rPr>
                <w:color w:val="FFFFFF" w:themeColor="background1"/>
              </w:rPr>
            </w:pPr>
            <w:r>
              <w:rPr>
                <w:color w:val="FFFFFF" w:themeColor="background1"/>
              </w:rPr>
              <w:t>Responsible Executive Director</w:t>
            </w:r>
          </w:p>
        </w:tc>
        <w:tc>
          <w:tcPr>
            <w:tcW w:w="4508" w:type="dxa"/>
          </w:tcPr>
          <w:p w14:paraId="3B68B283" w14:textId="2C5AC086" w:rsidR="00B303FD" w:rsidRDefault="009B2E5B" w:rsidP="001E1524">
            <w:pPr>
              <w:spacing w:before="0" w:after="0"/>
              <w:ind w:left="0"/>
            </w:pPr>
            <w:r>
              <w:t xml:space="preserve">Executive </w:t>
            </w:r>
            <w:r w:rsidR="00D75F22">
              <w:t>Director of Resources</w:t>
            </w:r>
          </w:p>
        </w:tc>
      </w:tr>
      <w:tr w:rsidR="00B303FD" w14:paraId="34E34245" w14:textId="77777777" w:rsidTr="009C2BC5">
        <w:tc>
          <w:tcPr>
            <w:tcW w:w="4508" w:type="dxa"/>
            <w:shd w:val="clear" w:color="auto" w:fill="003087" w:themeFill="accent1"/>
          </w:tcPr>
          <w:p w14:paraId="05A76BB3" w14:textId="43ABDE69" w:rsidR="00337A9E" w:rsidRPr="009C2BC5" w:rsidRDefault="00337A9E" w:rsidP="001E1524">
            <w:pPr>
              <w:spacing w:before="0" w:after="0"/>
              <w:ind w:left="0"/>
              <w:rPr>
                <w:color w:val="FFFFFF" w:themeColor="background1"/>
              </w:rPr>
            </w:pPr>
            <w:r>
              <w:rPr>
                <w:color w:val="FFFFFF" w:themeColor="background1"/>
              </w:rPr>
              <w:t>Responsible Commi</w:t>
            </w:r>
            <w:r w:rsidR="00374C45">
              <w:rPr>
                <w:color w:val="FFFFFF" w:themeColor="background1"/>
              </w:rPr>
              <w:t>ttee</w:t>
            </w:r>
          </w:p>
        </w:tc>
        <w:tc>
          <w:tcPr>
            <w:tcW w:w="4508" w:type="dxa"/>
          </w:tcPr>
          <w:p w14:paraId="02DB5F4A" w14:textId="271FC319" w:rsidR="00B303FD" w:rsidRDefault="00030BDB" w:rsidP="001E1524">
            <w:pPr>
              <w:spacing w:before="0" w:after="0"/>
              <w:ind w:left="0"/>
            </w:pPr>
            <w:r>
              <w:t>Finance and Investment Committee</w:t>
            </w:r>
          </w:p>
        </w:tc>
      </w:tr>
      <w:tr w:rsidR="00B303FD" w14:paraId="2135B8B0" w14:textId="77777777" w:rsidTr="009C2BC5">
        <w:tc>
          <w:tcPr>
            <w:tcW w:w="4508" w:type="dxa"/>
            <w:shd w:val="clear" w:color="auto" w:fill="003087" w:themeFill="accent1"/>
          </w:tcPr>
          <w:p w14:paraId="0D72273D" w14:textId="44B83ADD" w:rsidR="00B303FD" w:rsidRPr="009C2BC5" w:rsidRDefault="007A2B3E" w:rsidP="001E1524">
            <w:pPr>
              <w:spacing w:before="0" w:after="0"/>
              <w:ind w:left="0"/>
              <w:rPr>
                <w:color w:val="FFFFFF" w:themeColor="background1"/>
              </w:rPr>
            </w:pPr>
            <w:r>
              <w:rPr>
                <w:color w:val="FFFFFF" w:themeColor="background1"/>
              </w:rPr>
              <w:t>Date Ratified by Responsible Committee</w:t>
            </w:r>
          </w:p>
        </w:tc>
        <w:tc>
          <w:tcPr>
            <w:tcW w:w="4508" w:type="dxa"/>
          </w:tcPr>
          <w:p w14:paraId="6F58154A" w14:textId="68A20663" w:rsidR="00B303FD" w:rsidRDefault="00030BDB" w:rsidP="001E1524">
            <w:pPr>
              <w:spacing w:before="0" w:after="0"/>
              <w:ind w:left="0"/>
            </w:pPr>
            <w:r w:rsidRPr="00030BDB">
              <w:t>1 February 202</w:t>
            </w:r>
            <w:r w:rsidR="0048548B">
              <w:t>3</w:t>
            </w:r>
          </w:p>
        </w:tc>
      </w:tr>
      <w:tr w:rsidR="00B303FD" w14:paraId="3ED5EF8B" w14:textId="77777777" w:rsidTr="009C2BC5">
        <w:tc>
          <w:tcPr>
            <w:tcW w:w="4508" w:type="dxa"/>
            <w:shd w:val="clear" w:color="auto" w:fill="003087" w:themeFill="accent1"/>
          </w:tcPr>
          <w:p w14:paraId="24FAF4B5" w14:textId="2354B97A" w:rsidR="00B303FD" w:rsidRPr="009C2BC5" w:rsidRDefault="009305D7" w:rsidP="001E1524">
            <w:pPr>
              <w:spacing w:before="0" w:after="0"/>
              <w:ind w:left="0"/>
              <w:rPr>
                <w:color w:val="FFFFFF" w:themeColor="background1"/>
              </w:rPr>
            </w:pPr>
            <w:r>
              <w:rPr>
                <w:color w:val="FFFFFF" w:themeColor="background1"/>
              </w:rPr>
              <w:t>Date Approved by Board/Effective Date</w:t>
            </w:r>
          </w:p>
        </w:tc>
        <w:tc>
          <w:tcPr>
            <w:tcW w:w="4508" w:type="dxa"/>
          </w:tcPr>
          <w:p w14:paraId="4A8A8325" w14:textId="6EE5CFE0" w:rsidR="00B303FD" w:rsidRDefault="00F670D7" w:rsidP="001E1524">
            <w:pPr>
              <w:spacing w:before="0" w:after="0"/>
              <w:ind w:left="0"/>
            </w:pPr>
            <w:r>
              <w:t>16 March</w:t>
            </w:r>
            <w:r w:rsidR="00030BDB">
              <w:t xml:space="preserve"> 202</w:t>
            </w:r>
            <w:r w:rsidR="0048548B">
              <w:t>3</w:t>
            </w:r>
          </w:p>
        </w:tc>
      </w:tr>
      <w:tr w:rsidR="00B303FD" w14:paraId="5C1E2689" w14:textId="77777777" w:rsidTr="009C2BC5">
        <w:tc>
          <w:tcPr>
            <w:tcW w:w="4508" w:type="dxa"/>
            <w:shd w:val="clear" w:color="auto" w:fill="003087" w:themeFill="accent1"/>
          </w:tcPr>
          <w:p w14:paraId="30537DD1" w14:textId="07A32432" w:rsidR="00B303FD" w:rsidRPr="009C2BC5" w:rsidRDefault="005F32B5" w:rsidP="001E1524">
            <w:pPr>
              <w:spacing w:before="0" w:after="0"/>
              <w:ind w:left="0"/>
              <w:rPr>
                <w:color w:val="FFFFFF" w:themeColor="background1"/>
              </w:rPr>
            </w:pPr>
            <w:r>
              <w:rPr>
                <w:color w:val="FFFFFF" w:themeColor="background1"/>
              </w:rPr>
              <w:t>Next Review Date</w:t>
            </w:r>
          </w:p>
        </w:tc>
        <w:tc>
          <w:tcPr>
            <w:tcW w:w="4508" w:type="dxa"/>
          </w:tcPr>
          <w:p w14:paraId="0E0E77FF" w14:textId="6CE1E5AF" w:rsidR="00B303FD" w:rsidRDefault="00F670D7" w:rsidP="001E1524">
            <w:pPr>
              <w:spacing w:before="0" w:after="0"/>
              <w:ind w:left="0"/>
            </w:pPr>
            <w:r>
              <w:t>March</w:t>
            </w:r>
            <w:r w:rsidR="00F83D4A">
              <w:t xml:space="preserve"> 202</w:t>
            </w:r>
            <w:r w:rsidR="00134D77">
              <w:t>5</w:t>
            </w:r>
          </w:p>
        </w:tc>
      </w:tr>
      <w:tr w:rsidR="00F95DC7" w14:paraId="0BA71870" w14:textId="77777777" w:rsidTr="009C2BC5">
        <w:tc>
          <w:tcPr>
            <w:tcW w:w="4508" w:type="dxa"/>
            <w:shd w:val="clear" w:color="auto" w:fill="003087" w:themeFill="accent1"/>
          </w:tcPr>
          <w:p w14:paraId="7A4153F7" w14:textId="3D5544A7" w:rsidR="00F95DC7" w:rsidRDefault="00241631" w:rsidP="001E1524">
            <w:pPr>
              <w:spacing w:before="0" w:after="0"/>
              <w:ind w:left="0"/>
              <w:rPr>
                <w:color w:val="FFFFFF" w:themeColor="background1"/>
              </w:rPr>
            </w:pPr>
            <w:r>
              <w:rPr>
                <w:color w:val="FFFFFF" w:themeColor="background1"/>
              </w:rPr>
              <w:t>Target Audience</w:t>
            </w:r>
          </w:p>
        </w:tc>
        <w:tc>
          <w:tcPr>
            <w:tcW w:w="4508" w:type="dxa"/>
          </w:tcPr>
          <w:p w14:paraId="4F8DF64C" w14:textId="77777777" w:rsidR="00197744" w:rsidRPr="00190D44" w:rsidRDefault="00197744" w:rsidP="001E1524">
            <w:pPr>
              <w:pStyle w:val="ListParagraph"/>
              <w:numPr>
                <w:ilvl w:val="0"/>
                <w:numId w:val="13"/>
              </w:numPr>
              <w:spacing w:before="0" w:after="0"/>
              <w:ind w:left="0"/>
            </w:pPr>
            <w:bookmarkStart w:id="3" w:name="_Hlk95224276"/>
            <w:r w:rsidRPr="00190D44">
              <w:t>MSE ICB staff (including temporary/ bank/agency staff)</w:t>
            </w:r>
          </w:p>
          <w:p w14:paraId="142E9708" w14:textId="77777777" w:rsidR="00197744" w:rsidRPr="00190D44" w:rsidRDefault="00197744" w:rsidP="001E1524">
            <w:pPr>
              <w:pStyle w:val="ListParagraph"/>
              <w:numPr>
                <w:ilvl w:val="0"/>
                <w:numId w:val="13"/>
              </w:numPr>
              <w:spacing w:before="0" w:after="0"/>
              <w:ind w:left="0"/>
            </w:pPr>
            <w:r w:rsidRPr="00190D44">
              <w:t xml:space="preserve">Contractors engaged by the MSE ICB </w:t>
            </w:r>
          </w:p>
          <w:p w14:paraId="373F1F78" w14:textId="5A64C414" w:rsidR="00F95DC7" w:rsidRDefault="00197744" w:rsidP="001E1524">
            <w:pPr>
              <w:spacing w:before="0" w:after="0"/>
              <w:ind w:left="0"/>
            </w:pPr>
            <w:r w:rsidRPr="00190D44">
              <w:t>Staff from other MSE ICS Partnership organisations working on behalf of the ICB</w:t>
            </w:r>
            <w:bookmarkEnd w:id="3"/>
          </w:p>
        </w:tc>
      </w:tr>
      <w:tr w:rsidR="00E22F5F" w14:paraId="277117D8" w14:textId="77777777" w:rsidTr="009C2BC5">
        <w:tc>
          <w:tcPr>
            <w:tcW w:w="4508" w:type="dxa"/>
            <w:shd w:val="clear" w:color="auto" w:fill="003087" w:themeFill="accent1"/>
          </w:tcPr>
          <w:p w14:paraId="73046DC4" w14:textId="30D53234" w:rsidR="00E22F5F" w:rsidRDefault="00E22F5F" w:rsidP="001E1524">
            <w:pPr>
              <w:spacing w:before="0" w:after="0"/>
              <w:ind w:left="0"/>
              <w:rPr>
                <w:color w:val="FFFFFF" w:themeColor="background1"/>
              </w:rPr>
            </w:pPr>
            <w:r>
              <w:rPr>
                <w:color w:val="FFFFFF" w:themeColor="background1"/>
              </w:rPr>
              <w:t>Stakeholders Engaged in Development of Policy (internal and external)</w:t>
            </w:r>
          </w:p>
        </w:tc>
        <w:tc>
          <w:tcPr>
            <w:tcW w:w="4508" w:type="dxa"/>
          </w:tcPr>
          <w:p w14:paraId="785F0A99" w14:textId="77777777" w:rsidR="00E22F5F" w:rsidRDefault="00E22F5F" w:rsidP="001E1524">
            <w:pPr>
              <w:spacing w:before="0" w:after="0"/>
              <w:ind w:left="0"/>
            </w:pPr>
            <w:r>
              <w:t>MSE CCG Deputy Chief Finance Officers</w:t>
            </w:r>
          </w:p>
          <w:p w14:paraId="6FFF3CD6" w14:textId="62DE3F17" w:rsidR="00E22F5F" w:rsidRDefault="00E22F5F" w:rsidP="001E1524">
            <w:pPr>
              <w:spacing w:before="0" w:after="0"/>
              <w:ind w:left="0"/>
            </w:pPr>
            <w:r>
              <w:t xml:space="preserve">MSE </w:t>
            </w:r>
            <w:r w:rsidR="00D75F22">
              <w:t>Director of Resources</w:t>
            </w:r>
            <w:r>
              <w:t xml:space="preserve"> &amp; Director of Financial Planning &amp; Reporting</w:t>
            </w:r>
          </w:p>
          <w:p w14:paraId="0BF3EA53" w14:textId="6CDB7EA2" w:rsidR="00E22F5F" w:rsidRDefault="00E22F5F" w:rsidP="001E1524">
            <w:pPr>
              <w:spacing w:before="0" w:after="0"/>
              <w:ind w:left="0"/>
            </w:pPr>
          </w:p>
        </w:tc>
      </w:tr>
      <w:tr w:rsidR="00B833D7" w14:paraId="63ABF045" w14:textId="77777777" w:rsidTr="009C2BC5">
        <w:tc>
          <w:tcPr>
            <w:tcW w:w="4508" w:type="dxa"/>
            <w:shd w:val="clear" w:color="auto" w:fill="003087" w:themeFill="accent1"/>
          </w:tcPr>
          <w:p w14:paraId="31A21A70" w14:textId="31FD7092" w:rsidR="00B833D7" w:rsidRDefault="00B833D7" w:rsidP="001E1524">
            <w:pPr>
              <w:spacing w:before="0" w:after="0"/>
              <w:ind w:left="0"/>
              <w:rPr>
                <w:color w:val="FFFFFF" w:themeColor="background1"/>
              </w:rPr>
            </w:pPr>
            <w:r>
              <w:rPr>
                <w:color w:val="FFFFFF" w:themeColor="background1"/>
              </w:rPr>
              <w:t>Impact Assessments Undertaken</w:t>
            </w:r>
          </w:p>
        </w:tc>
        <w:tc>
          <w:tcPr>
            <w:tcW w:w="4508" w:type="dxa"/>
          </w:tcPr>
          <w:p w14:paraId="32DD023F" w14:textId="03ADB651" w:rsidR="00B833D7" w:rsidRDefault="00B833D7" w:rsidP="001E1524">
            <w:pPr>
              <w:spacing w:before="0" w:after="0"/>
              <w:ind w:left="0"/>
            </w:pPr>
            <w:r>
              <w:t>Equality &amp; Health Inequalities Impact Assessment</w:t>
            </w:r>
          </w:p>
        </w:tc>
      </w:tr>
    </w:tbl>
    <w:p w14:paraId="7B175A50" w14:textId="28559715" w:rsidR="00FD2B5D" w:rsidRDefault="00FD2B5D">
      <w:pPr>
        <w:spacing w:before="0" w:after="0"/>
        <w:ind w:left="0"/>
      </w:pPr>
    </w:p>
    <w:p w14:paraId="49F0AC0B" w14:textId="77777777" w:rsidR="00FD2B5D" w:rsidRPr="00DA22B6" w:rsidRDefault="00FD2B5D" w:rsidP="00FD2B5D">
      <w:pPr>
        <w:pStyle w:val="Heading1"/>
      </w:pPr>
      <w:bookmarkStart w:id="4" w:name="_Toc88478175"/>
      <w:r w:rsidRPr="00332F7C">
        <w:t>Version History</w:t>
      </w:r>
      <w:bookmarkEnd w:id="4"/>
    </w:p>
    <w:tbl>
      <w:tblPr>
        <w:tblStyle w:val="TableGrid"/>
        <w:tblW w:w="0" w:type="auto"/>
        <w:tblLook w:val="04A0" w:firstRow="1" w:lastRow="0" w:firstColumn="1" w:lastColumn="0" w:noHBand="0" w:noVBand="1"/>
      </w:tblPr>
      <w:tblGrid>
        <w:gridCol w:w="1096"/>
        <w:gridCol w:w="1073"/>
        <w:gridCol w:w="3009"/>
        <w:gridCol w:w="3838"/>
      </w:tblGrid>
      <w:tr w:rsidR="00FD2B5D" w14:paraId="4CEEE9FB" w14:textId="77777777" w:rsidTr="00007FA6">
        <w:trPr>
          <w:trHeight w:val="489"/>
          <w:tblHeader/>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0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8"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CC7D22">
        <w:trPr>
          <w:trHeight w:val="424"/>
        </w:trPr>
        <w:tc>
          <w:tcPr>
            <w:tcW w:w="1096" w:type="dxa"/>
            <w:vAlign w:val="center"/>
          </w:tcPr>
          <w:p w14:paraId="04931F40" w14:textId="676FBE89" w:rsidR="00FD2B5D" w:rsidRDefault="00C93877" w:rsidP="00546A28">
            <w:pPr>
              <w:pStyle w:val="NoSpacing"/>
            </w:pPr>
            <w:r>
              <w:t>0.1</w:t>
            </w:r>
          </w:p>
        </w:tc>
        <w:tc>
          <w:tcPr>
            <w:tcW w:w="1073" w:type="dxa"/>
            <w:vAlign w:val="center"/>
          </w:tcPr>
          <w:p w14:paraId="1B227E4B" w14:textId="47ADE038" w:rsidR="00FD2B5D" w:rsidRDefault="008A617E" w:rsidP="00546A28">
            <w:pPr>
              <w:pStyle w:val="NoSpacing"/>
            </w:pPr>
            <w:r>
              <w:t>24.05.</w:t>
            </w:r>
            <w:r w:rsidR="000D2EF4">
              <w:t>22</w:t>
            </w:r>
          </w:p>
        </w:tc>
        <w:tc>
          <w:tcPr>
            <w:tcW w:w="3009" w:type="dxa"/>
            <w:vAlign w:val="center"/>
          </w:tcPr>
          <w:p w14:paraId="1553C4E3" w14:textId="4601EDF6" w:rsidR="00FD2B5D" w:rsidRDefault="008A617E" w:rsidP="00546A28">
            <w:pPr>
              <w:pStyle w:val="NoSpacing"/>
            </w:pPr>
            <w:r w:rsidRPr="008A617E">
              <w:t xml:space="preserve">Jason Skinner, Director of </w:t>
            </w:r>
            <w:r w:rsidR="00C8645E">
              <w:t xml:space="preserve">System </w:t>
            </w:r>
            <w:r w:rsidRPr="008A617E">
              <w:t xml:space="preserve">Financial Planning </w:t>
            </w:r>
            <w:r w:rsidR="00C8645E">
              <w:t>&amp;</w:t>
            </w:r>
            <w:r w:rsidRPr="008A617E">
              <w:t xml:space="preserve"> Reporting</w:t>
            </w:r>
          </w:p>
        </w:tc>
        <w:tc>
          <w:tcPr>
            <w:tcW w:w="3838" w:type="dxa"/>
            <w:vAlign w:val="center"/>
          </w:tcPr>
          <w:p w14:paraId="49B4F070" w14:textId="41CA6B4E" w:rsidR="00FD2B5D" w:rsidRDefault="00243626" w:rsidP="00546A28">
            <w:pPr>
              <w:pStyle w:val="NoSpacing"/>
            </w:pPr>
            <w:r>
              <w:t>Draft ICB Policy</w:t>
            </w:r>
          </w:p>
        </w:tc>
      </w:tr>
      <w:tr w:rsidR="00FD2B5D" w14:paraId="5743EC0C" w14:textId="77777777" w:rsidTr="00CC7D22">
        <w:trPr>
          <w:trHeight w:val="402"/>
        </w:trPr>
        <w:tc>
          <w:tcPr>
            <w:tcW w:w="1096" w:type="dxa"/>
            <w:vAlign w:val="center"/>
          </w:tcPr>
          <w:p w14:paraId="5D628B89" w14:textId="63E3BF83" w:rsidR="00FD2B5D" w:rsidRDefault="007D6263" w:rsidP="00546A28">
            <w:pPr>
              <w:pStyle w:val="NoSpacing"/>
            </w:pPr>
            <w:r>
              <w:t>0.2</w:t>
            </w:r>
          </w:p>
        </w:tc>
        <w:tc>
          <w:tcPr>
            <w:tcW w:w="1073" w:type="dxa"/>
            <w:vAlign w:val="center"/>
          </w:tcPr>
          <w:p w14:paraId="288FEB7A" w14:textId="54F55047" w:rsidR="00FD2B5D" w:rsidRDefault="007D6263" w:rsidP="00546A28">
            <w:pPr>
              <w:pStyle w:val="NoSpacing"/>
            </w:pPr>
            <w:r>
              <w:t>20.06.22</w:t>
            </w:r>
          </w:p>
        </w:tc>
        <w:tc>
          <w:tcPr>
            <w:tcW w:w="3009" w:type="dxa"/>
            <w:vAlign w:val="center"/>
          </w:tcPr>
          <w:p w14:paraId="34495F98" w14:textId="155CC0D3" w:rsidR="00FD2B5D" w:rsidRDefault="007D6263" w:rsidP="00546A28">
            <w:pPr>
              <w:pStyle w:val="NoSpacing"/>
            </w:pPr>
            <w:r w:rsidRPr="008A617E">
              <w:t xml:space="preserve">Jason Skinner, Director of </w:t>
            </w:r>
            <w:r w:rsidR="00C8645E">
              <w:t xml:space="preserve">System </w:t>
            </w:r>
            <w:r w:rsidRPr="008A617E">
              <w:t xml:space="preserve">Financial Planning </w:t>
            </w:r>
            <w:r w:rsidR="00C8645E">
              <w:t>&amp;</w:t>
            </w:r>
            <w:r w:rsidRPr="008A617E">
              <w:t xml:space="preserve"> Reporting</w:t>
            </w:r>
            <w:r>
              <w:t xml:space="preserve">, Dawn </w:t>
            </w:r>
            <w:proofErr w:type="spellStart"/>
            <w:r>
              <w:t>Scrafield</w:t>
            </w:r>
            <w:proofErr w:type="spellEnd"/>
            <w:r>
              <w:t>, CFO, MSEFT</w:t>
            </w:r>
          </w:p>
        </w:tc>
        <w:tc>
          <w:tcPr>
            <w:tcW w:w="3838" w:type="dxa"/>
            <w:vAlign w:val="center"/>
          </w:tcPr>
          <w:p w14:paraId="7DE50D80" w14:textId="5421C527" w:rsidR="00FD2B5D" w:rsidRDefault="007D6263" w:rsidP="00546A28">
            <w:pPr>
              <w:pStyle w:val="NoSpacing"/>
            </w:pPr>
            <w:r>
              <w:t xml:space="preserve">Updates following feedback </w:t>
            </w:r>
          </w:p>
        </w:tc>
      </w:tr>
      <w:tr w:rsidR="00FD2B5D" w14:paraId="2385A697" w14:textId="77777777" w:rsidTr="00CC7D22">
        <w:trPr>
          <w:trHeight w:val="423"/>
        </w:trPr>
        <w:tc>
          <w:tcPr>
            <w:tcW w:w="1096" w:type="dxa"/>
            <w:vAlign w:val="center"/>
          </w:tcPr>
          <w:p w14:paraId="63C36EA2" w14:textId="341F9B9E" w:rsidR="00FD2B5D" w:rsidRDefault="00C8645E" w:rsidP="00546A28">
            <w:pPr>
              <w:pStyle w:val="NoSpacing"/>
            </w:pPr>
            <w:r>
              <w:t>0.3</w:t>
            </w:r>
          </w:p>
        </w:tc>
        <w:tc>
          <w:tcPr>
            <w:tcW w:w="1073" w:type="dxa"/>
            <w:vAlign w:val="center"/>
          </w:tcPr>
          <w:p w14:paraId="5B783ABB" w14:textId="2F50C855" w:rsidR="00FD2B5D" w:rsidRDefault="00C8645E" w:rsidP="00546A28">
            <w:pPr>
              <w:pStyle w:val="NoSpacing"/>
            </w:pPr>
            <w:r>
              <w:t>21.06.22</w:t>
            </w:r>
          </w:p>
        </w:tc>
        <w:tc>
          <w:tcPr>
            <w:tcW w:w="3009" w:type="dxa"/>
            <w:vAlign w:val="center"/>
          </w:tcPr>
          <w:p w14:paraId="2E71F7C5" w14:textId="5383A12F" w:rsidR="00FD2B5D" w:rsidRDefault="00C8645E" w:rsidP="00546A28">
            <w:pPr>
              <w:pStyle w:val="NoSpacing"/>
            </w:pPr>
            <w:r w:rsidRPr="008A617E">
              <w:t xml:space="preserve">Jason Skinner, Director of </w:t>
            </w:r>
            <w:r>
              <w:t xml:space="preserve">System </w:t>
            </w:r>
            <w:r w:rsidRPr="008A617E">
              <w:t>Financial Planning</w:t>
            </w:r>
            <w:r>
              <w:t xml:space="preserve"> &amp; Reporting+</w:t>
            </w:r>
          </w:p>
        </w:tc>
        <w:tc>
          <w:tcPr>
            <w:tcW w:w="3838" w:type="dxa"/>
            <w:vAlign w:val="center"/>
          </w:tcPr>
          <w:p w14:paraId="653B0041" w14:textId="616D5FC9" w:rsidR="00FD2B5D" w:rsidRDefault="00C8645E" w:rsidP="00546A28">
            <w:pPr>
              <w:pStyle w:val="NoSpacing"/>
            </w:pPr>
            <w:r>
              <w:t xml:space="preserve">Updates following feedback in s.6.2.3 to clarify that SLFG is the forum in which partners can agree distribution of growth funding, but not for SFLG to </w:t>
            </w:r>
            <w:proofErr w:type="gramStart"/>
            <w:r>
              <w:t>made</w:t>
            </w:r>
            <w:proofErr w:type="gramEnd"/>
            <w:r>
              <w:t xml:space="preserve"> the decision.</w:t>
            </w:r>
          </w:p>
        </w:tc>
      </w:tr>
      <w:tr w:rsidR="00CC7D22" w14:paraId="60CB267F" w14:textId="77777777" w:rsidTr="00CC7D22">
        <w:trPr>
          <w:trHeight w:val="423"/>
        </w:trPr>
        <w:tc>
          <w:tcPr>
            <w:tcW w:w="1096" w:type="dxa"/>
            <w:vAlign w:val="center"/>
          </w:tcPr>
          <w:p w14:paraId="5954B4B0" w14:textId="23479E86" w:rsidR="00CC7D22" w:rsidRDefault="00CC7D22" w:rsidP="00CC7D22">
            <w:pPr>
              <w:pStyle w:val="NoSpacing"/>
            </w:pPr>
            <w:r>
              <w:t>0.4</w:t>
            </w:r>
          </w:p>
        </w:tc>
        <w:tc>
          <w:tcPr>
            <w:tcW w:w="1073" w:type="dxa"/>
            <w:vAlign w:val="center"/>
          </w:tcPr>
          <w:p w14:paraId="21A4A8DE" w14:textId="3C7ED93B" w:rsidR="00CC7D22" w:rsidRDefault="00CC7D22" w:rsidP="00CC7D22">
            <w:pPr>
              <w:pStyle w:val="NoSpacing"/>
            </w:pPr>
            <w:r>
              <w:t>26.07.22</w:t>
            </w:r>
          </w:p>
        </w:tc>
        <w:tc>
          <w:tcPr>
            <w:tcW w:w="3009" w:type="dxa"/>
            <w:vAlign w:val="center"/>
          </w:tcPr>
          <w:p w14:paraId="44EF19D3" w14:textId="0E18EB41" w:rsidR="00CC7D22" w:rsidRDefault="00CC7D22" w:rsidP="00CC7D22">
            <w:pPr>
              <w:pStyle w:val="NoSpacing"/>
            </w:pPr>
            <w:r w:rsidRPr="008A617E">
              <w:t xml:space="preserve">Jason Skinner, Director of </w:t>
            </w:r>
            <w:r>
              <w:t xml:space="preserve">System </w:t>
            </w:r>
            <w:r w:rsidRPr="008A617E">
              <w:t>Financial Planning</w:t>
            </w:r>
            <w:r>
              <w:t xml:space="preserve"> &amp; Reporting+</w:t>
            </w:r>
          </w:p>
        </w:tc>
        <w:tc>
          <w:tcPr>
            <w:tcW w:w="3838" w:type="dxa"/>
            <w:vAlign w:val="center"/>
          </w:tcPr>
          <w:p w14:paraId="23BE90F1" w14:textId="7B11386E" w:rsidR="00CC7D22" w:rsidRDefault="00CC7D22" w:rsidP="00CC7D22">
            <w:pPr>
              <w:pStyle w:val="NoSpacing"/>
            </w:pPr>
            <w:r>
              <w:t>Updates following feedback at SFLG including additional reporting items (in section 6.3.3)</w:t>
            </w:r>
          </w:p>
        </w:tc>
      </w:tr>
      <w:tr w:rsidR="00CC7D22" w14:paraId="6122946F" w14:textId="77777777" w:rsidTr="00CC7D22">
        <w:trPr>
          <w:trHeight w:val="423"/>
        </w:trPr>
        <w:tc>
          <w:tcPr>
            <w:tcW w:w="1096" w:type="dxa"/>
            <w:vAlign w:val="center"/>
          </w:tcPr>
          <w:p w14:paraId="6C90B1C6" w14:textId="6F5B576F" w:rsidR="00CC7D22" w:rsidRDefault="00EF7DE9" w:rsidP="00CC7D22">
            <w:pPr>
              <w:pStyle w:val="NoSpacing"/>
            </w:pPr>
            <w:r>
              <w:t>0.5</w:t>
            </w:r>
          </w:p>
        </w:tc>
        <w:tc>
          <w:tcPr>
            <w:tcW w:w="1073" w:type="dxa"/>
            <w:vAlign w:val="center"/>
          </w:tcPr>
          <w:p w14:paraId="0600D864" w14:textId="79390922" w:rsidR="00CC7D22" w:rsidRDefault="00271DEE" w:rsidP="00CC7D22">
            <w:pPr>
              <w:pStyle w:val="NoSpacing"/>
            </w:pPr>
            <w:r>
              <w:t>23.01.23</w:t>
            </w:r>
          </w:p>
        </w:tc>
        <w:tc>
          <w:tcPr>
            <w:tcW w:w="3009" w:type="dxa"/>
            <w:vAlign w:val="center"/>
          </w:tcPr>
          <w:p w14:paraId="697A37B0" w14:textId="2AD66C4C" w:rsidR="00CC7D22" w:rsidRDefault="00271DEE" w:rsidP="00CC7D22">
            <w:pPr>
              <w:pStyle w:val="NoSpacing"/>
            </w:pPr>
            <w:r>
              <w:t xml:space="preserve">Sara </w:t>
            </w:r>
            <w:proofErr w:type="spellStart"/>
            <w:r>
              <w:t>O’Connor</w:t>
            </w:r>
            <w:r w:rsidR="00007FA6">
              <w:t>,</w:t>
            </w:r>
            <w:proofErr w:type="spellEnd"/>
            <w:r w:rsidR="00007FA6">
              <w:t xml:space="preserve"> Head of Governance and Risk</w:t>
            </w:r>
          </w:p>
        </w:tc>
        <w:tc>
          <w:tcPr>
            <w:tcW w:w="3838" w:type="dxa"/>
            <w:vAlign w:val="center"/>
          </w:tcPr>
          <w:p w14:paraId="10B74018" w14:textId="7CDE5C43" w:rsidR="00CC7D22" w:rsidRDefault="00007FA6" w:rsidP="00CC7D22">
            <w:pPr>
              <w:pStyle w:val="NoSpacing"/>
            </w:pPr>
            <w:r>
              <w:t>Final review against policy checklist prior to Committee approval</w:t>
            </w:r>
            <w:r w:rsidR="00FC16E9">
              <w:t xml:space="preserve"> – minor formatting</w:t>
            </w:r>
            <w:r w:rsidR="009C55BF">
              <w:t xml:space="preserve"> changes and amendment to para 6.1.2 (</w:t>
            </w:r>
            <w:r w:rsidR="00A65A56">
              <w:t>agreed by</w:t>
            </w:r>
            <w:r w:rsidR="009C55BF">
              <w:t xml:space="preserve"> J Skinner)</w:t>
            </w:r>
            <w:r>
              <w:t xml:space="preserve">. </w:t>
            </w:r>
          </w:p>
        </w:tc>
      </w:tr>
      <w:tr w:rsidR="00CC7D22" w14:paraId="41393701" w14:textId="77777777" w:rsidTr="00CC7D22">
        <w:trPr>
          <w:trHeight w:val="423"/>
        </w:trPr>
        <w:tc>
          <w:tcPr>
            <w:tcW w:w="1096" w:type="dxa"/>
            <w:vAlign w:val="center"/>
          </w:tcPr>
          <w:p w14:paraId="06A55D9D" w14:textId="2A7E5ED2" w:rsidR="00CC7D22" w:rsidRDefault="0093785F" w:rsidP="00CC7D22">
            <w:pPr>
              <w:pStyle w:val="NoSpacing"/>
            </w:pPr>
            <w:r>
              <w:t>0.6</w:t>
            </w:r>
          </w:p>
        </w:tc>
        <w:tc>
          <w:tcPr>
            <w:tcW w:w="1073" w:type="dxa"/>
            <w:vAlign w:val="center"/>
          </w:tcPr>
          <w:p w14:paraId="11050A1C" w14:textId="36C97628" w:rsidR="00CC7D22" w:rsidRDefault="0093785F" w:rsidP="00CC7D22">
            <w:pPr>
              <w:pStyle w:val="NoSpacing"/>
            </w:pPr>
            <w:r>
              <w:t>24.01.23</w:t>
            </w:r>
          </w:p>
        </w:tc>
        <w:tc>
          <w:tcPr>
            <w:tcW w:w="3009" w:type="dxa"/>
            <w:vAlign w:val="center"/>
          </w:tcPr>
          <w:p w14:paraId="09617EE2" w14:textId="1C40587F" w:rsidR="00CC7D22" w:rsidRDefault="0093785F" w:rsidP="00CC7D22">
            <w:pPr>
              <w:pStyle w:val="NoSpacing"/>
            </w:pPr>
            <w:r>
              <w:t xml:space="preserve">Sara </w:t>
            </w:r>
            <w:proofErr w:type="spellStart"/>
            <w:r>
              <w:t>O’Connor,</w:t>
            </w:r>
            <w:proofErr w:type="spellEnd"/>
            <w:r>
              <w:t xml:space="preserve"> Head of Governance and Risk</w:t>
            </w:r>
          </w:p>
        </w:tc>
        <w:tc>
          <w:tcPr>
            <w:tcW w:w="3838" w:type="dxa"/>
            <w:vAlign w:val="center"/>
          </w:tcPr>
          <w:p w14:paraId="7C4D6C1B" w14:textId="3E7042C2" w:rsidR="00CC7D22" w:rsidRDefault="0093785F" w:rsidP="00CC7D22">
            <w:pPr>
              <w:pStyle w:val="NoSpacing"/>
            </w:pPr>
            <w:r>
              <w:t xml:space="preserve">Updated Version No, date of approval in final version for uploading. </w:t>
            </w:r>
          </w:p>
        </w:tc>
      </w:tr>
      <w:tr w:rsidR="00CC7D22" w14:paraId="52A28005" w14:textId="77777777" w:rsidTr="00CC7D22">
        <w:trPr>
          <w:trHeight w:val="423"/>
        </w:trPr>
        <w:tc>
          <w:tcPr>
            <w:tcW w:w="1096" w:type="dxa"/>
            <w:vAlign w:val="center"/>
          </w:tcPr>
          <w:p w14:paraId="4AFFEA1E" w14:textId="77777777" w:rsidR="00CC7D22" w:rsidRDefault="00CC7D22" w:rsidP="00CC7D22">
            <w:pPr>
              <w:pStyle w:val="NoSpacing"/>
            </w:pPr>
          </w:p>
        </w:tc>
        <w:tc>
          <w:tcPr>
            <w:tcW w:w="1073" w:type="dxa"/>
            <w:vAlign w:val="center"/>
          </w:tcPr>
          <w:p w14:paraId="56C5690C" w14:textId="77777777" w:rsidR="00CC7D22" w:rsidRDefault="00CC7D22" w:rsidP="00CC7D22">
            <w:pPr>
              <w:pStyle w:val="NoSpacing"/>
            </w:pPr>
          </w:p>
        </w:tc>
        <w:tc>
          <w:tcPr>
            <w:tcW w:w="3009" w:type="dxa"/>
            <w:vAlign w:val="center"/>
          </w:tcPr>
          <w:p w14:paraId="6E5BDDA1" w14:textId="77777777" w:rsidR="00CC7D22" w:rsidRDefault="00CC7D22" w:rsidP="00CC7D22">
            <w:pPr>
              <w:pStyle w:val="NoSpacing"/>
            </w:pPr>
          </w:p>
        </w:tc>
        <w:tc>
          <w:tcPr>
            <w:tcW w:w="3838" w:type="dxa"/>
            <w:vAlign w:val="center"/>
          </w:tcPr>
          <w:p w14:paraId="55525562" w14:textId="77777777" w:rsidR="00CC7D22" w:rsidRDefault="00CC7D22" w:rsidP="00CC7D22">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7D6263" w:rsidRDefault="000F560D" w:rsidP="00FD2B5D">
      <w:pPr>
        <w:pStyle w:val="Heading1"/>
      </w:pPr>
      <w:r w:rsidRPr="007D6263">
        <w:t>Contents</w:t>
      </w:r>
    </w:p>
    <w:p w14:paraId="733665F1" w14:textId="5479BA2E" w:rsidR="0093785F" w:rsidRDefault="000665B0">
      <w:pPr>
        <w:pStyle w:val="TOC1"/>
        <w:rPr>
          <w:rFonts w:eastAsiaTheme="minorEastAsia"/>
          <w:b w:val="0"/>
          <w:noProof/>
          <w:color w:val="auto"/>
          <w:sz w:val="22"/>
          <w:szCs w:val="22"/>
          <w:lang w:eastAsia="en-GB"/>
        </w:rPr>
      </w:pPr>
      <w:r w:rsidRPr="007D6263">
        <w:rPr>
          <w:rFonts w:ascii="AppleSystemUIFont" w:hAnsi="AppleSystemUIFont" w:cs="AppleSystemUIFont"/>
          <w:b w:val="0"/>
          <w:sz w:val="26"/>
          <w:szCs w:val="26"/>
        </w:rPr>
        <w:fldChar w:fldCharType="begin"/>
      </w:r>
      <w:r w:rsidRPr="007D6263">
        <w:rPr>
          <w:rFonts w:ascii="AppleSystemUIFont" w:hAnsi="AppleSystemUIFont" w:cs="AppleSystemUIFont"/>
          <w:b w:val="0"/>
          <w:sz w:val="26"/>
          <w:szCs w:val="26"/>
        </w:rPr>
        <w:instrText xml:space="preserve"> TOC \h \z \t "Heading 2,1,Heading 3,2" </w:instrText>
      </w:r>
      <w:r w:rsidRPr="007D6263">
        <w:rPr>
          <w:rFonts w:ascii="AppleSystemUIFont" w:hAnsi="AppleSystemUIFont" w:cs="AppleSystemUIFont"/>
          <w:b w:val="0"/>
          <w:sz w:val="26"/>
          <w:szCs w:val="26"/>
        </w:rPr>
        <w:fldChar w:fldCharType="separate"/>
      </w:r>
      <w:hyperlink w:anchor="_Toc130547093" w:history="1">
        <w:r w:rsidR="0093785F" w:rsidRPr="00F42406">
          <w:rPr>
            <w:rStyle w:val="Hyperlink"/>
            <w:noProof/>
          </w:rPr>
          <w:t>1.</w:t>
        </w:r>
        <w:r w:rsidR="0093785F">
          <w:rPr>
            <w:rFonts w:eastAsiaTheme="minorEastAsia"/>
            <w:b w:val="0"/>
            <w:noProof/>
            <w:color w:val="auto"/>
            <w:sz w:val="22"/>
            <w:szCs w:val="22"/>
            <w:lang w:eastAsia="en-GB"/>
          </w:rPr>
          <w:tab/>
        </w:r>
        <w:r w:rsidR="0093785F" w:rsidRPr="00F42406">
          <w:rPr>
            <w:rStyle w:val="Hyperlink"/>
            <w:noProof/>
          </w:rPr>
          <w:t>Introduction</w:t>
        </w:r>
        <w:r w:rsidR="0093785F">
          <w:rPr>
            <w:noProof/>
            <w:webHidden/>
          </w:rPr>
          <w:tab/>
        </w:r>
        <w:r w:rsidR="0093785F">
          <w:rPr>
            <w:noProof/>
            <w:webHidden/>
          </w:rPr>
          <w:fldChar w:fldCharType="begin"/>
        </w:r>
        <w:r w:rsidR="0093785F">
          <w:rPr>
            <w:noProof/>
            <w:webHidden/>
          </w:rPr>
          <w:instrText xml:space="preserve"> PAGEREF _Toc130547093 \h </w:instrText>
        </w:r>
        <w:r w:rsidR="0093785F">
          <w:rPr>
            <w:noProof/>
            <w:webHidden/>
          </w:rPr>
        </w:r>
        <w:r w:rsidR="0093785F">
          <w:rPr>
            <w:noProof/>
            <w:webHidden/>
          </w:rPr>
          <w:fldChar w:fldCharType="separate"/>
        </w:r>
        <w:r w:rsidR="0093785F">
          <w:rPr>
            <w:noProof/>
            <w:webHidden/>
          </w:rPr>
          <w:t>4</w:t>
        </w:r>
        <w:r w:rsidR="0093785F">
          <w:rPr>
            <w:noProof/>
            <w:webHidden/>
          </w:rPr>
          <w:fldChar w:fldCharType="end"/>
        </w:r>
      </w:hyperlink>
    </w:p>
    <w:p w14:paraId="08F1B6C8" w14:textId="73590F1A" w:rsidR="0093785F" w:rsidRDefault="0093785F">
      <w:pPr>
        <w:pStyle w:val="TOC1"/>
        <w:rPr>
          <w:rFonts w:eastAsiaTheme="minorEastAsia"/>
          <w:b w:val="0"/>
          <w:noProof/>
          <w:color w:val="auto"/>
          <w:sz w:val="22"/>
          <w:szCs w:val="22"/>
          <w:lang w:eastAsia="en-GB"/>
        </w:rPr>
      </w:pPr>
      <w:hyperlink w:anchor="_Toc130547094" w:history="1">
        <w:r w:rsidRPr="00F42406">
          <w:rPr>
            <w:rStyle w:val="Hyperlink"/>
            <w:noProof/>
          </w:rPr>
          <w:t>2.</w:t>
        </w:r>
        <w:r>
          <w:rPr>
            <w:rFonts w:eastAsiaTheme="minorEastAsia"/>
            <w:b w:val="0"/>
            <w:noProof/>
            <w:color w:val="auto"/>
            <w:sz w:val="22"/>
            <w:szCs w:val="22"/>
            <w:lang w:eastAsia="en-GB"/>
          </w:rPr>
          <w:tab/>
        </w:r>
        <w:r w:rsidRPr="00F42406">
          <w:rPr>
            <w:rStyle w:val="Hyperlink"/>
            <w:noProof/>
          </w:rPr>
          <w:t>Purpose / Policy Statement</w:t>
        </w:r>
        <w:r>
          <w:rPr>
            <w:noProof/>
            <w:webHidden/>
          </w:rPr>
          <w:tab/>
        </w:r>
        <w:r>
          <w:rPr>
            <w:noProof/>
            <w:webHidden/>
          </w:rPr>
          <w:fldChar w:fldCharType="begin"/>
        </w:r>
        <w:r>
          <w:rPr>
            <w:noProof/>
            <w:webHidden/>
          </w:rPr>
          <w:instrText xml:space="preserve"> PAGEREF _Toc130547094 \h </w:instrText>
        </w:r>
        <w:r>
          <w:rPr>
            <w:noProof/>
            <w:webHidden/>
          </w:rPr>
        </w:r>
        <w:r>
          <w:rPr>
            <w:noProof/>
            <w:webHidden/>
          </w:rPr>
          <w:fldChar w:fldCharType="separate"/>
        </w:r>
        <w:r>
          <w:rPr>
            <w:noProof/>
            <w:webHidden/>
          </w:rPr>
          <w:t>4</w:t>
        </w:r>
        <w:r>
          <w:rPr>
            <w:noProof/>
            <w:webHidden/>
          </w:rPr>
          <w:fldChar w:fldCharType="end"/>
        </w:r>
      </w:hyperlink>
    </w:p>
    <w:p w14:paraId="3BFDBD3F" w14:textId="6A1C843F" w:rsidR="0093785F" w:rsidRDefault="0093785F">
      <w:pPr>
        <w:pStyle w:val="TOC1"/>
        <w:rPr>
          <w:rFonts w:eastAsiaTheme="minorEastAsia"/>
          <w:b w:val="0"/>
          <w:noProof/>
          <w:color w:val="auto"/>
          <w:sz w:val="22"/>
          <w:szCs w:val="22"/>
          <w:lang w:eastAsia="en-GB"/>
        </w:rPr>
      </w:pPr>
      <w:hyperlink w:anchor="_Toc130547095" w:history="1">
        <w:r w:rsidRPr="00F42406">
          <w:rPr>
            <w:rStyle w:val="Hyperlink"/>
            <w:noProof/>
          </w:rPr>
          <w:t>3.</w:t>
        </w:r>
        <w:r>
          <w:rPr>
            <w:rFonts w:eastAsiaTheme="minorEastAsia"/>
            <w:b w:val="0"/>
            <w:noProof/>
            <w:color w:val="auto"/>
            <w:sz w:val="22"/>
            <w:szCs w:val="22"/>
            <w:lang w:eastAsia="en-GB"/>
          </w:rPr>
          <w:tab/>
        </w:r>
        <w:r w:rsidRPr="00F42406">
          <w:rPr>
            <w:rStyle w:val="Hyperlink"/>
            <w:noProof/>
          </w:rPr>
          <w:t>Remit</w:t>
        </w:r>
        <w:r>
          <w:rPr>
            <w:noProof/>
            <w:webHidden/>
          </w:rPr>
          <w:tab/>
        </w:r>
        <w:r>
          <w:rPr>
            <w:noProof/>
            <w:webHidden/>
          </w:rPr>
          <w:fldChar w:fldCharType="begin"/>
        </w:r>
        <w:r>
          <w:rPr>
            <w:noProof/>
            <w:webHidden/>
          </w:rPr>
          <w:instrText xml:space="preserve"> PAGEREF _Toc130547095 \h </w:instrText>
        </w:r>
        <w:r>
          <w:rPr>
            <w:noProof/>
            <w:webHidden/>
          </w:rPr>
        </w:r>
        <w:r>
          <w:rPr>
            <w:noProof/>
            <w:webHidden/>
          </w:rPr>
          <w:fldChar w:fldCharType="separate"/>
        </w:r>
        <w:r>
          <w:rPr>
            <w:noProof/>
            <w:webHidden/>
          </w:rPr>
          <w:t>4</w:t>
        </w:r>
        <w:r>
          <w:rPr>
            <w:noProof/>
            <w:webHidden/>
          </w:rPr>
          <w:fldChar w:fldCharType="end"/>
        </w:r>
      </w:hyperlink>
    </w:p>
    <w:p w14:paraId="1051E245" w14:textId="57C5A90E" w:rsidR="0093785F" w:rsidRDefault="0093785F">
      <w:pPr>
        <w:pStyle w:val="TOC1"/>
        <w:rPr>
          <w:rFonts w:eastAsiaTheme="minorEastAsia"/>
          <w:b w:val="0"/>
          <w:noProof/>
          <w:color w:val="auto"/>
          <w:sz w:val="22"/>
          <w:szCs w:val="22"/>
          <w:lang w:eastAsia="en-GB"/>
        </w:rPr>
      </w:pPr>
      <w:hyperlink w:anchor="_Toc130547096" w:history="1">
        <w:r w:rsidRPr="00F42406">
          <w:rPr>
            <w:rStyle w:val="Hyperlink"/>
            <w:noProof/>
          </w:rPr>
          <w:t>4.</w:t>
        </w:r>
        <w:r>
          <w:rPr>
            <w:rFonts w:eastAsiaTheme="minorEastAsia"/>
            <w:b w:val="0"/>
            <w:noProof/>
            <w:color w:val="auto"/>
            <w:sz w:val="22"/>
            <w:szCs w:val="22"/>
            <w:lang w:eastAsia="en-GB"/>
          </w:rPr>
          <w:tab/>
        </w:r>
        <w:r w:rsidRPr="00F42406">
          <w:rPr>
            <w:rStyle w:val="Hyperlink"/>
            <w:noProof/>
          </w:rPr>
          <w:t>Definitions</w:t>
        </w:r>
        <w:r>
          <w:rPr>
            <w:noProof/>
            <w:webHidden/>
          </w:rPr>
          <w:tab/>
        </w:r>
        <w:r>
          <w:rPr>
            <w:noProof/>
            <w:webHidden/>
          </w:rPr>
          <w:fldChar w:fldCharType="begin"/>
        </w:r>
        <w:r>
          <w:rPr>
            <w:noProof/>
            <w:webHidden/>
          </w:rPr>
          <w:instrText xml:space="preserve"> PAGEREF _Toc130547096 \h </w:instrText>
        </w:r>
        <w:r>
          <w:rPr>
            <w:noProof/>
            <w:webHidden/>
          </w:rPr>
        </w:r>
        <w:r>
          <w:rPr>
            <w:noProof/>
            <w:webHidden/>
          </w:rPr>
          <w:fldChar w:fldCharType="separate"/>
        </w:r>
        <w:r>
          <w:rPr>
            <w:noProof/>
            <w:webHidden/>
          </w:rPr>
          <w:t>4</w:t>
        </w:r>
        <w:r>
          <w:rPr>
            <w:noProof/>
            <w:webHidden/>
          </w:rPr>
          <w:fldChar w:fldCharType="end"/>
        </w:r>
      </w:hyperlink>
    </w:p>
    <w:p w14:paraId="30623660" w14:textId="4E896AB3" w:rsidR="0093785F" w:rsidRDefault="0093785F">
      <w:pPr>
        <w:pStyle w:val="TOC1"/>
        <w:rPr>
          <w:rFonts w:eastAsiaTheme="minorEastAsia"/>
          <w:b w:val="0"/>
          <w:noProof/>
          <w:color w:val="auto"/>
          <w:sz w:val="22"/>
          <w:szCs w:val="22"/>
          <w:lang w:eastAsia="en-GB"/>
        </w:rPr>
      </w:pPr>
      <w:hyperlink w:anchor="_Toc130547097" w:history="1">
        <w:r w:rsidRPr="00F42406">
          <w:rPr>
            <w:rStyle w:val="Hyperlink"/>
            <w:noProof/>
          </w:rPr>
          <w:t>5.</w:t>
        </w:r>
        <w:r>
          <w:rPr>
            <w:rFonts w:eastAsiaTheme="minorEastAsia"/>
            <w:b w:val="0"/>
            <w:noProof/>
            <w:color w:val="auto"/>
            <w:sz w:val="22"/>
            <w:szCs w:val="22"/>
            <w:lang w:eastAsia="en-GB"/>
          </w:rPr>
          <w:tab/>
        </w:r>
        <w:r w:rsidRPr="00F42406">
          <w:rPr>
            <w:rStyle w:val="Hyperlink"/>
            <w:noProof/>
          </w:rPr>
          <w:t>Roles and Responsibilities</w:t>
        </w:r>
        <w:r>
          <w:rPr>
            <w:noProof/>
            <w:webHidden/>
          </w:rPr>
          <w:tab/>
        </w:r>
        <w:r>
          <w:rPr>
            <w:noProof/>
            <w:webHidden/>
          </w:rPr>
          <w:fldChar w:fldCharType="begin"/>
        </w:r>
        <w:r>
          <w:rPr>
            <w:noProof/>
            <w:webHidden/>
          </w:rPr>
          <w:instrText xml:space="preserve"> PAGEREF _Toc130547097 \h </w:instrText>
        </w:r>
        <w:r>
          <w:rPr>
            <w:noProof/>
            <w:webHidden/>
          </w:rPr>
        </w:r>
        <w:r>
          <w:rPr>
            <w:noProof/>
            <w:webHidden/>
          </w:rPr>
          <w:fldChar w:fldCharType="separate"/>
        </w:r>
        <w:r>
          <w:rPr>
            <w:noProof/>
            <w:webHidden/>
          </w:rPr>
          <w:t>5</w:t>
        </w:r>
        <w:r>
          <w:rPr>
            <w:noProof/>
            <w:webHidden/>
          </w:rPr>
          <w:fldChar w:fldCharType="end"/>
        </w:r>
      </w:hyperlink>
    </w:p>
    <w:p w14:paraId="42CCDB63" w14:textId="1BE2F971" w:rsidR="0093785F" w:rsidRDefault="0093785F">
      <w:pPr>
        <w:pStyle w:val="TOC2"/>
        <w:tabs>
          <w:tab w:val="right" w:leader="underscore" w:pos="9016"/>
        </w:tabs>
        <w:rPr>
          <w:rFonts w:eastAsiaTheme="minorEastAsia"/>
          <w:noProof/>
          <w:color w:val="auto"/>
          <w:sz w:val="22"/>
          <w:szCs w:val="22"/>
          <w:lang w:eastAsia="en-GB"/>
        </w:rPr>
      </w:pPr>
      <w:hyperlink w:anchor="_Toc130547098" w:history="1">
        <w:r w:rsidRPr="00F42406">
          <w:rPr>
            <w:rStyle w:val="Hyperlink"/>
            <w:bCs/>
            <w:noProof/>
          </w:rPr>
          <w:t>5.1.</w:t>
        </w:r>
        <w:r>
          <w:rPr>
            <w:rFonts w:eastAsiaTheme="minorEastAsia"/>
            <w:noProof/>
            <w:color w:val="auto"/>
            <w:sz w:val="22"/>
            <w:szCs w:val="22"/>
            <w:lang w:eastAsia="en-GB"/>
          </w:rPr>
          <w:tab/>
        </w:r>
        <w:r w:rsidRPr="00F42406">
          <w:rPr>
            <w:rStyle w:val="Hyperlink"/>
            <w:noProof/>
          </w:rPr>
          <w:t>Executive Director of Resources</w:t>
        </w:r>
        <w:r>
          <w:rPr>
            <w:noProof/>
            <w:webHidden/>
          </w:rPr>
          <w:tab/>
        </w:r>
        <w:r>
          <w:rPr>
            <w:noProof/>
            <w:webHidden/>
          </w:rPr>
          <w:fldChar w:fldCharType="begin"/>
        </w:r>
        <w:r>
          <w:rPr>
            <w:noProof/>
            <w:webHidden/>
          </w:rPr>
          <w:instrText xml:space="preserve"> PAGEREF _Toc130547098 \h </w:instrText>
        </w:r>
        <w:r>
          <w:rPr>
            <w:noProof/>
            <w:webHidden/>
          </w:rPr>
        </w:r>
        <w:r>
          <w:rPr>
            <w:noProof/>
            <w:webHidden/>
          </w:rPr>
          <w:fldChar w:fldCharType="separate"/>
        </w:r>
        <w:r>
          <w:rPr>
            <w:noProof/>
            <w:webHidden/>
          </w:rPr>
          <w:t>5</w:t>
        </w:r>
        <w:r>
          <w:rPr>
            <w:noProof/>
            <w:webHidden/>
          </w:rPr>
          <w:fldChar w:fldCharType="end"/>
        </w:r>
      </w:hyperlink>
    </w:p>
    <w:p w14:paraId="48094EFD" w14:textId="71CDBE69" w:rsidR="0093785F" w:rsidRDefault="0093785F">
      <w:pPr>
        <w:pStyle w:val="TOC2"/>
        <w:tabs>
          <w:tab w:val="right" w:leader="underscore" w:pos="9016"/>
        </w:tabs>
        <w:rPr>
          <w:rFonts w:eastAsiaTheme="minorEastAsia"/>
          <w:noProof/>
          <w:color w:val="auto"/>
          <w:sz w:val="22"/>
          <w:szCs w:val="22"/>
          <w:lang w:eastAsia="en-GB"/>
        </w:rPr>
      </w:pPr>
      <w:hyperlink w:anchor="_Toc130547099" w:history="1">
        <w:r w:rsidRPr="00F42406">
          <w:rPr>
            <w:rStyle w:val="Hyperlink"/>
            <w:bCs/>
            <w:noProof/>
          </w:rPr>
          <w:t>5.2.</w:t>
        </w:r>
        <w:r>
          <w:rPr>
            <w:rFonts w:eastAsiaTheme="minorEastAsia"/>
            <w:noProof/>
            <w:color w:val="auto"/>
            <w:sz w:val="22"/>
            <w:szCs w:val="22"/>
            <w:lang w:eastAsia="en-GB"/>
          </w:rPr>
          <w:tab/>
        </w:r>
        <w:r w:rsidRPr="00F42406">
          <w:rPr>
            <w:rStyle w:val="Hyperlink"/>
            <w:noProof/>
          </w:rPr>
          <w:t>Finance &amp; Investment Committee</w:t>
        </w:r>
        <w:r>
          <w:rPr>
            <w:noProof/>
            <w:webHidden/>
          </w:rPr>
          <w:tab/>
        </w:r>
        <w:r>
          <w:rPr>
            <w:noProof/>
            <w:webHidden/>
          </w:rPr>
          <w:fldChar w:fldCharType="begin"/>
        </w:r>
        <w:r>
          <w:rPr>
            <w:noProof/>
            <w:webHidden/>
          </w:rPr>
          <w:instrText xml:space="preserve"> PAGEREF _Toc130547099 \h </w:instrText>
        </w:r>
        <w:r>
          <w:rPr>
            <w:noProof/>
            <w:webHidden/>
          </w:rPr>
        </w:r>
        <w:r>
          <w:rPr>
            <w:noProof/>
            <w:webHidden/>
          </w:rPr>
          <w:fldChar w:fldCharType="separate"/>
        </w:r>
        <w:r>
          <w:rPr>
            <w:noProof/>
            <w:webHidden/>
          </w:rPr>
          <w:t>6</w:t>
        </w:r>
        <w:r>
          <w:rPr>
            <w:noProof/>
            <w:webHidden/>
          </w:rPr>
          <w:fldChar w:fldCharType="end"/>
        </w:r>
      </w:hyperlink>
    </w:p>
    <w:p w14:paraId="28281A93" w14:textId="1F455C03" w:rsidR="0093785F" w:rsidRDefault="0093785F">
      <w:pPr>
        <w:pStyle w:val="TOC2"/>
        <w:tabs>
          <w:tab w:val="right" w:leader="underscore" w:pos="9016"/>
        </w:tabs>
        <w:rPr>
          <w:rFonts w:eastAsiaTheme="minorEastAsia"/>
          <w:noProof/>
          <w:color w:val="auto"/>
          <w:sz w:val="22"/>
          <w:szCs w:val="22"/>
          <w:lang w:eastAsia="en-GB"/>
        </w:rPr>
      </w:pPr>
      <w:hyperlink w:anchor="_Toc130547100" w:history="1">
        <w:r w:rsidRPr="00F42406">
          <w:rPr>
            <w:rStyle w:val="Hyperlink"/>
            <w:bCs/>
            <w:noProof/>
          </w:rPr>
          <w:t>5.3.</w:t>
        </w:r>
        <w:r>
          <w:rPr>
            <w:rFonts w:eastAsiaTheme="minorEastAsia"/>
            <w:noProof/>
            <w:color w:val="auto"/>
            <w:sz w:val="22"/>
            <w:szCs w:val="22"/>
            <w:lang w:eastAsia="en-GB"/>
          </w:rPr>
          <w:tab/>
        </w:r>
        <w:r w:rsidRPr="00F42406">
          <w:rPr>
            <w:rStyle w:val="Hyperlink"/>
            <w:noProof/>
          </w:rPr>
          <w:t>System Finance Leaders Group</w:t>
        </w:r>
        <w:r>
          <w:rPr>
            <w:noProof/>
            <w:webHidden/>
          </w:rPr>
          <w:tab/>
        </w:r>
        <w:r>
          <w:rPr>
            <w:noProof/>
            <w:webHidden/>
          </w:rPr>
          <w:fldChar w:fldCharType="begin"/>
        </w:r>
        <w:r>
          <w:rPr>
            <w:noProof/>
            <w:webHidden/>
          </w:rPr>
          <w:instrText xml:space="preserve"> PAGEREF _Toc130547100 \h </w:instrText>
        </w:r>
        <w:r>
          <w:rPr>
            <w:noProof/>
            <w:webHidden/>
          </w:rPr>
        </w:r>
        <w:r>
          <w:rPr>
            <w:noProof/>
            <w:webHidden/>
          </w:rPr>
          <w:fldChar w:fldCharType="separate"/>
        </w:r>
        <w:r>
          <w:rPr>
            <w:noProof/>
            <w:webHidden/>
          </w:rPr>
          <w:t>6</w:t>
        </w:r>
        <w:r>
          <w:rPr>
            <w:noProof/>
            <w:webHidden/>
          </w:rPr>
          <w:fldChar w:fldCharType="end"/>
        </w:r>
      </w:hyperlink>
    </w:p>
    <w:p w14:paraId="25904B00" w14:textId="3411CD32" w:rsidR="0093785F" w:rsidRDefault="0093785F">
      <w:pPr>
        <w:pStyle w:val="TOC2"/>
        <w:tabs>
          <w:tab w:val="right" w:leader="underscore" w:pos="9016"/>
        </w:tabs>
        <w:rPr>
          <w:rFonts w:eastAsiaTheme="minorEastAsia"/>
          <w:noProof/>
          <w:color w:val="auto"/>
          <w:sz w:val="22"/>
          <w:szCs w:val="22"/>
          <w:lang w:eastAsia="en-GB"/>
        </w:rPr>
      </w:pPr>
      <w:hyperlink w:anchor="_Toc130547101" w:history="1">
        <w:r w:rsidRPr="00F42406">
          <w:rPr>
            <w:rStyle w:val="Hyperlink"/>
            <w:bCs/>
            <w:noProof/>
          </w:rPr>
          <w:t>5.4.</w:t>
        </w:r>
        <w:r>
          <w:rPr>
            <w:rFonts w:eastAsiaTheme="minorEastAsia"/>
            <w:noProof/>
            <w:color w:val="auto"/>
            <w:sz w:val="22"/>
            <w:szCs w:val="22"/>
            <w:lang w:eastAsia="en-GB"/>
          </w:rPr>
          <w:tab/>
        </w:r>
        <w:r w:rsidRPr="00F42406">
          <w:rPr>
            <w:rStyle w:val="Hyperlink"/>
            <w:noProof/>
          </w:rPr>
          <w:t>Executive Directors</w:t>
        </w:r>
        <w:r>
          <w:rPr>
            <w:noProof/>
            <w:webHidden/>
          </w:rPr>
          <w:tab/>
        </w:r>
        <w:r>
          <w:rPr>
            <w:noProof/>
            <w:webHidden/>
          </w:rPr>
          <w:fldChar w:fldCharType="begin"/>
        </w:r>
        <w:r>
          <w:rPr>
            <w:noProof/>
            <w:webHidden/>
          </w:rPr>
          <w:instrText xml:space="preserve"> PAGEREF _Toc130547101 \h </w:instrText>
        </w:r>
        <w:r>
          <w:rPr>
            <w:noProof/>
            <w:webHidden/>
          </w:rPr>
        </w:r>
        <w:r>
          <w:rPr>
            <w:noProof/>
            <w:webHidden/>
          </w:rPr>
          <w:fldChar w:fldCharType="separate"/>
        </w:r>
        <w:r>
          <w:rPr>
            <w:noProof/>
            <w:webHidden/>
          </w:rPr>
          <w:t>6</w:t>
        </w:r>
        <w:r>
          <w:rPr>
            <w:noProof/>
            <w:webHidden/>
          </w:rPr>
          <w:fldChar w:fldCharType="end"/>
        </w:r>
      </w:hyperlink>
    </w:p>
    <w:p w14:paraId="2B9A116C" w14:textId="64C5E4A4" w:rsidR="0093785F" w:rsidRDefault="0093785F">
      <w:pPr>
        <w:pStyle w:val="TOC1"/>
        <w:rPr>
          <w:rFonts w:eastAsiaTheme="minorEastAsia"/>
          <w:b w:val="0"/>
          <w:noProof/>
          <w:color w:val="auto"/>
          <w:sz w:val="22"/>
          <w:szCs w:val="22"/>
          <w:lang w:eastAsia="en-GB"/>
        </w:rPr>
      </w:pPr>
      <w:hyperlink w:anchor="_Toc130547102" w:history="1">
        <w:r w:rsidRPr="00F42406">
          <w:rPr>
            <w:rStyle w:val="Hyperlink"/>
            <w:noProof/>
          </w:rPr>
          <w:t>6.</w:t>
        </w:r>
        <w:r>
          <w:rPr>
            <w:rFonts w:eastAsiaTheme="minorEastAsia"/>
            <w:b w:val="0"/>
            <w:noProof/>
            <w:color w:val="auto"/>
            <w:sz w:val="22"/>
            <w:szCs w:val="22"/>
            <w:lang w:eastAsia="en-GB"/>
          </w:rPr>
          <w:tab/>
        </w:r>
        <w:r w:rsidRPr="00F42406">
          <w:rPr>
            <w:rStyle w:val="Hyperlink"/>
            <w:noProof/>
          </w:rPr>
          <w:t>Policy Detail</w:t>
        </w:r>
        <w:r>
          <w:rPr>
            <w:noProof/>
            <w:webHidden/>
          </w:rPr>
          <w:tab/>
        </w:r>
        <w:r>
          <w:rPr>
            <w:noProof/>
            <w:webHidden/>
          </w:rPr>
          <w:fldChar w:fldCharType="begin"/>
        </w:r>
        <w:r>
          <w:rPr>
            <w:noProof/>
            <w:webHidden/>
          </w:rPr>
          <w:instrText xml:space="preserve"> PAGEREF _Toc130547102 \h </w:instrText>
        </w:r>
        <w:r>
          <w:rPr>
            <w:noProof/>
            <w:webHidden/>
          </w:rPr>
        </w:r>
        <w:r>
          <w:rPr>
            <w:noProof/>
            <w:webHidden/>
          </w:rPr>
          <w:fldChar w:fldCharType="separate"/>
        </w:r>
        <w:r>
          <w:rPr>
            <w:noProof/>
            <w:webHidden/>
          </w:rPr>
          <w:t>7</w:t>
        </w:r>
        <w:r>
          <w:rPr>
            <w:noProof/>
            <w:webHidden/>
          </w:rPr>
          <w:fldChar w:fldCharType="end"/>
        </w:r>
      </w:hyperlink>
    </w:p>
    <w:p w14:paraId="509B2E94" w14:textId="463D6790" w:rsidR="0093785F" w:rsidRDefault="0093785F">
      <w:pPr>
        <w:pStyle w:val="TOC2"/>
        <w:tabs>
          <w:tab w:val="right" w:leader="underscore" w:pos="9016"/>
        </w:tabs>
        <w:rPr>
          <w:rFonts w:eastAsiaTheme="minorEastAsia"/>
          <w:noProof/>
          <w:color w:val="auto"/>
          <w:sz w:val="22"/>
          <w:szCs w:val="22"/>
          <w:lang w:eastAsia="en-GB"/>
        </w:rPr>
      </w:pPr>
      <w:hyperlink w:anchor="_Toc130547103" w:history="1">
        <w:r w:rsidRPr="00F42406">
          <w:rPr>
            <w:rStyle w:val="Hyperlink"/>
            <w:bCs/>
            <w:noProof/>
          </w:rPr>
          <w:t>6.1.</w:t>
        </w:r>
        <w:r>
          <w:rPr>
            <w:rFonts w:eastAsiaTheme="minorEastAsia"/>
            <w:noProof/>
            <w:color w:val="auto"/>
            <w:sz w:val="22"/>
            <w:szCs w:val="22"/>
            <w:lang w:eastAsia="en-GB"/>
          </w:rPr>
          <w:tab/>
        </w:r>
        <w:r w:rsidRPr="00F42406">
          <w:rPr>
            <w:rStyle w:val="Hyperlink"/>
            <w:noProof/>
          </w:rPr>
          <w:t>Revenue Allocations</w:t>
        </w:r>
        <w:r>
          <w:rPr>
            <w:noProof/>
            <w:webHidden/>
          </w:rPr>
          <w:tab/>
        </w:r>
        <w:r>
          <w:rPr>
            <w:noProof/>
            <w:webHidden/>
          </w:rPr>
          <w:fldChar w:fldCharType="begin"/>
        </w:r>
        <w:r>
          <w:rPr>
            <w:noProof/>
            <w:webHidden/>
          </w:rPr>
          <w:instrText xml:space="preserve"> PAGEREF _Toc130547103 \h </w:instrText>
        </w:r>
        <w:r>
          <w:rPr>
            <w:noProof/>
            <w:webHidden/>
          </w:rPr>
        </w:r>
        <w:r>
          <w:rPr>
            <w:noProof/>
            <w:webHidden/>
          </w:rPr>
          <w:fldChar w:fldCharType="separate"/>
        </w:r>
        <w:r>
          <w:rPr>
            <w:noProof/>
            <w:webHidden/>
          </w:rPr>
          <w:t>7</w:t>
        </w:r>
        <w:r>
          <w:rPr>
            <w:noProof/>
            <w:webHidden/>
          </w:rPr>
          <w:fldChar w:fldCharType="end"/>
        </w:r>
      </w:hyperlink>
    </w:p>
    <w:p w14:paraId="6C56D581" w14:textId="08B9E3D4" w:rsidR="0093785F" w:rsidRDefault="0093785F">
      <w:pPr>
        <w:pStyle w:val="TOC2"/>
        <w:tabs>
          <w:tab w:val="right" w:leader="underscore" w:pos="9016"/>
        </w:tabs>
        <w:rPr>
          <w:rFonts w:eastAsiaTheme="minorEastAsia"/>
          <w:noProof/>
          <w:color w:val="auto"/>
          <w:sz w:val="22"/>
          <w:szCs w:val="22"/>
          <w:lang w:eastAsia="en-GB"/>
        </w:rPr>
      </w:pPr>
      <w:hyperlink w:anchor="_Toc130547104" w:history="1">
        <w:r w:rsidRPr="00F42406">
          <w:rPr>
            <w:rStyle w:val="Hyperlink"/>
            <w:bCs/>
            <w:noProof/>
          </w:rPr>
          <w:t>6.2.</w:t>
        </w:r>
        <w:r>
          <w:rPr>
            <w:rFonts w:eastAsiaTheme="minorEastAsia"/>
            <w:noProof/>
            <w:color w:val="auto"/>
            <w:sz w:val="22"/>
            <w:szCs w:val="22"/>
            <w:lang w:eastAsia="en-GB"/>
          </w:rPr>
          <w:tab/>
        </w:r>
        <w:r w:rsidRPr="00F42406">
          <w:rPr>
            <w:rStyle w:val="Hyperlink"/>
            <w:noProof/>
          </w:rPr>
          <w:t>Distribution of allocations</w:t>
        </w:r>
        <w:r>
          <w:rPr>
            <w:noProof/>
            <w:webHidden/>
          </w:rPr>
          <w:tab/>
        </w:r>
        <w:r>
          <w:rPr>
            <w:noProof/>
            <w:webHidden/>
          </w:rPr>
          <w:fldChar w:fldCharType="begin"/>
        </w:r>
        <w:r>
          <w:rPr>
            <w:noProof/>
            <w:webHidden/>
          </w:rPr>
          <w:instrText xml:space="preserve"> PAGEREF _Toc130547104 \h </w:instrText>
        </w:r>
        <w:r>
          <w:rPr>
            <w:noProof/>
            <w:webHidden/>
          </w:rPr>
        </w:r>
        <w:r>
          <w:rPr>
            <w:noProof/>
            <w:webHidden/>
          </w:rPr>
          <w:fldChar w:fldCharType="separate"/>
        </w:r>
        <w:r>
          <w:rPr>
            <w:noProof/>
            <w:webHidden/>
          </w:rPr>
          <w:t>7</w:t>
        </w:r>
        <w:r>
          <w:rPr>
            <w:noProof/>
            <w:webHidden/>
          </w:rPr>
          <w:fldChar w:fldCharType="end"/>
        </w:r>
      </w:hyperlink>
    </w:p>
    <w:p w14:paraId="5A49ABB9" w14:textId="63ADA2BC" w:rsidR="0093785F" w:rsidRDefault="0093785F">
      <w:pPr>
        <w:pStyle w:val="TOC2"/>
        <w:tabs>
          <w:tab w:val="right" w:leader="underscore" w:pos="9016"/>
        </w:tabs>
        <w:rPr>
          <w:rFonts w:eastAsiaTheme="minorEastAsia"/>
          <w:noProof/>
          <w:color w:val="auto"/>
          <w:sz w:val="22"/>
          <w:szCs w:val="22"/>
          <w:lang w:eastAsia="en-GB"/>
        </w:rPr>
      </w:pPr>
      <w:hyperlink w:anchor="_Toc130547105" w:history="1">
        <w:r w:rsidRPr="00F42406">
          <w:rPr>
            <w:rStyle w:val="Hyperlink"/>
            <w:bCs/>
            <w:noProof/>
          </w:rPr>
          <w:t>6.3.</w:t>
        </w:r>
        <w:r>
          <w:rPr>
            <w:rFonts w:eastAsiaTheme="minorEastAsia"/>
            <w:noProof/>
            <w:color w:val="auto"/>
            <w:sz w:val="22"/>
            <w:szCs w:val="22"/>
            <w:lang w:eastAsia="en-GB"/>
          </w:rPr>
          <w:tab/>
        </w:r>
        <w:r w:rsidRPr="00F42406">
          <w:rPr>
            <w:rStyle w:val="Hyperlink"/>
            <w:noProof/>
          </w:rPr>
          <w:t>System Headline Monthly Reporting</w:t>
        </w:r>
        <w:r>
          <w:rPr>
            <w:noProof/>
            <w:webHidden/>
          </w:rPr>
          <w:tab/>
        </w:r>
        <w:r>
          <w:rPr>
            <w:noProof/>
            <w:webHidden/>
          </w:rPr>
          <w:fldChar w:fldCharType="begin"/>
        </w:r>
        <w:r>
          <w:rPr>
            <w:noProof/>
            <w:webHidden/>
          </w:rPr>
          <w:instrText xml:space="preserve"> PAGEREF _Toc130547105 \h </w:instrText>
        </w:r>
        <w:r>
          <w:rPr>
            <w:noProof/>
            <w:webHidden/>
          </w:rPr>
        </w:r>
        <w:r>
          <w:rPr>
            <w:noProof/>
            <w:webHidden/>
          </w:rPr>
          <w:fldChar w:fldCharType="separate"/>
        </w:r>
        <w:r>
          <w:rPr>
            <w:noProof/>
            <w:webHidden/>
          </w:rPr>
          <w:t>9</w:t>
        </w:r>
        <w:r>
          <w:rPr>
            <w:noProof/>
            <w:webHidden/>
          </w:rPr>
          <w:fldChar w:fldCharType="end"/>
        </w:r>
      </w:hyperlink>
    </w:p>
    <w:p w14:paraId="574DCDC5" w14:textId="74E72BFE" w:rsidR="0093785F" w:rsidRDefault="0093785F">
      <w:pPr>
        <w:pStyle w:val="TOC2"/>
        <w:tabs>
          <w:tab w:val="right" w:leader="underscore" w:pos="9016"/>
        </w:tabs>
        <w:rPr>
          <w:rFonts w:eastAsiaTheme="minorEastAsia"/>
          <w:noProof/>
          <w:color w:val="auto"/>
          <w:sz w:val="22"/>
          <w:szCs w:val="22"/>
          <w:lang w:eastAsia="en-GB"/>
        </w:rPr>
      </w:pPr>
      <w:hyperlink w:anchor="_Toc130547106" w:history="1">
        <w:r w:rsidRPr="00F42406">
          <w:rPr>
            <w:rStyle w:val="Hyperlink"/>
            <w:bCs/>
            <w:noProof/>
          </w:rPr>
          <w:t>6.4.</w:t>
        </w:r>
        <w:r>
          <w:rPr>
            <w:rFonts w:eastAsiaTheme="minorEastAsia"/>
            <w:noProof/>
            <w:color w:val="auto"/>
            <w:sz w:val="22"/>
            <w:szCs w:val="22"/>
            <w:lang w:eastAsia="en-GB"/>
          </w:rPr>
          <w:tab/>
        </w:r>
        <w:r w:rsidRPr="00F42406">
          <w:rPr>
            <w:rStyle w:val="Hyperlink"/>
            <w:noProof/>
          </w:rPr>
          <w:t>Other System Reporting</w:t>
        </w:r>
        <w:r>
          <w:rPr>
            <w:noProof/>
            <w:webHidden/>
          </w:rPr>
          <w:tab/>
        </w:r>
        <w:r>
          <w:rPr>
            <w:noProof/>
            <w:webHidden/>
          </w:rPr>
          <w:fldChar w:fldCharType="begin"/>
        </w:r>
        <w:r>
          <w:rPr>
            <w:noProof/>
            <w:webHidden/>
          </w:rPr>
          <w:instrText xml:space="preserve"> PAGEREF _Toc130547106 \h </w:instrText>
        </w:r>
        <w:r>
          <w:rPr>
            <w:noProof/>
            <w:webHidden/>
          </w:rPr>
        </w:r>
        <w:r>
          <w:rPr>
            <w:noProof/>
            <w:webHidden/>
          </w:rPr>
          <w:fldChar w:fldCharType="separate"/>
        </w:r>
        <w:r>
          <w:rPr>
            <w:noProof/>
            <w:webHidden/>
          </w:rPr>
          <w:t>10</w:t>
        </w:r>
        <w:r>
          <w:rPr>
            <w:noProof/>
            <w:webHidden/>
          </w:rPr>
          <w:fldChar w:fldCharType="end"/>
        </w:r>
      </w:hyperlink>
    </w:p>
    <w:p w14:paraId="5EDBD82E" w14:textId="13D37633" w:rsidR="0093785F" w:rsidRDefault="0093785F">
      <w:pPr>
        <w:pStyle w:val="TOC1"/>
        <w:rPr>
          <w:rFonts w:eastAsiaTheme="minorEastAsia"/>
          <w:b w:val="0"/>
          <w:noProof/>
          <w:color w:val="auto"/>
          <w:sz w:val="22"/>
          <w:szCs w:val="22"/>
          <w:lang w:eastAsia="en-GB"/>
        </w:rPr>
      </w:pPr>
      <w:hyperlink w:anchor="_Toc130547107" w:history="1">
        <w:r w:rsidRPr="00F42406">
          <w:rPr>
            <w:rStyle w:val="Hyperlink"/>
            <w:noProof/>
          </w:rPr>
          <w:t>7.</w:t>
        </w:r>
        <w:r>
          <w:rPr>
            <w:rFonts w:eastAsiaTheme="minorEastAsia"/>
            <w:b w:val="0"/>
            <w:noProof/>
            <w:color w:val="auto"/>
            <w:sz w:val="22"/>
            <w:szCs w:val="22"/>
            <w:lang w:eastAsia="en-GB"/>
          </w:rPr>
          <w:tab/>
        </w:r>
        <w:r w:rsidRPr="00F42406">
          <w:rPr>
            <w:rStyle w:val="Hyperlink"/>
            <w:noProof/>
          </w:rPr>
          <w:t>Staff Training</w:t>
        </w:r>
        <w:r>
          <w:rPr>
            <w:noProof/>
            <w:webHidden/>
          </w:rPr>
          <w:tab/>
        </w:r>
        <w:r>
          <w:rPr>
            <w:noProof/>
            <w:webHidden/>
          </w:rPr>
          <w:fldChar w:fldCharType="begin"/>
        </w:r>
        <w:r>
          <w:rPr>
            <w:noProof/>
            <w:webHidden/>
          </w:rPr>
          <w:instrText xml:space="preserve"> PAGEREF _Toc130547107 \h </w:instrText>
        </w:r>
        <w:r>
          <w:rPr>
            <w:noProof/>
            <w:webHidden/>
          </w:rPr>
        </w:r>
        <w:r>
          <w:rPr>
            <w:noProof/>
            <w:webHidden/>
          </w:rPr>
          <w:fldChar w:fldCharType="separate"/>
        </w:r>
        <w:r>
          <w:rPr>
            <w:noProof/>
            <w:webHidden/>
          </w:rPr>
          <w:t>11</w:t>
        </w:r>
        <w:r>
          <w:rPr>
            <w:noProof/>
            <w:webHidden/>
          </w:rPr>
          <w:fldChar w:fldCharType="end"/>
        </w:r>
      </w:hyperlink>
    </w:p>
    <w:p w14:paraId="33013FD8" w14:textId="3B82F5E3" w:rsidR="0093785F" w:rsidRDefault="0093785F">
      <w:pPr>
        <w:pStyle w:val="TOC1"/>
        <w:rPr>
          <w:rFonts w:eastAsiaTheme="minorEastAsia"/>
          <w:b w:val="0"/>
          <w:noProof/>
          <w:color w:val="auto"/>
          <w:sz w:val="22"/>
          <w:szCs w:val="22"/>
          <w:lang w:eastAsia="en-GB"/>
        </w:rPr>
      </w:pPr>
      <w:hyperlink w:anchor="_Toc130547108" w:history="1">
        <w:r w:rsidRPr="00F42406">
          <w:rPr>
            <w:rStyle w:val="Hyperlink"/>
            <w:noProof/>
          </w:rPr>
          <w:t>8.</w:t>
        </w:r>
        <w:r>
          <w:rPr>
            <w:rFonts w:eastAsiaTheme="minorEastAsia"/>
            <w:b w:val="0"/>
            <w:noProof/>
            <w:color w:val="auto"/>
            <w:sz w:val="22"/>
            <w:szCs w:val="22"/>
            <w:lang w:eastAsia="en-GB"/>
          </w:rPr>
          <w:tab/>
        </w:r>
        <w:r w:rsidRPr="00F42406">
          <w:rPr>
            <w:rStyle w:val="Hyperlink"/>
            <w:noProof/>
          </w:rPr>
          <w:t>Arrangements for Review</w:t>
        </w:r>
        <w:r>
          <w:rPr>
            <w:noProof/>
            <w:webHidden/>
          </w:rPr>
          <w:tab/>
        </w:r>
        <w:r>
          <w:rPr>
            <w:noProof/>
            <w:webHidden/>
          </w:rPr>
          <w:fldChar w:fldCharType="begin"/>
        </w:r>
        <w:r>
          <w:rPr>
            <w:noProof/>
            <w:webHidden/>
          </w:rPr>
          <w:instrText xml:space="preserve"> PAGEREF _Toc130547108 \h </w:instrText>
        </w:r>
        <w:r>
          <w:rPr>
            <w:noProof/>
            <w:webHidden/>
          </w:rPr>
        </w:r>
        <w:r>
          <w:rPr>
            <w:noProof/>
            <w:webHidden/>
          </w:rPr>
          <w:fldChar w:fldCharType="separate"/>
        </w:r>
        <w:r>
          <w:rPr>
            <w:noProof/>
            <w:webHidden/>
          </w:rPr>
          <w:t>11</w:t>
        </w:r>
        <w:r>
          <w:rPr>
            <w:noProof/>
            <w:webHidden/>
          </w:rPr>
          <w:fldChar w:fldCharType="end"/>
        </w:r>
      </w:hyperlink>
    </w:p>
    <w:p w14:paraId="51FB00DB" w14:textId="3D40748B" w:rsidR="0093785F" w:rsidRDefault="0093785F">
      <w:pPr>
        <w:pStyle w:val="TOC1"/>
        <w:rPr>
          <w:rFonts w:eastAsiaTheme="minorEastAsia"/>
          <w:b w:val="0"/>
          <w:noProof/>
          <w:color w:val="auto"/>
          <w:sz w:val="22"/>
          <w:szCs w:val="22"/>
          <w:lang w:eastAsia="en-GB"/>
        </w:rPr>
      </w:pPr>
      <w:hyperlink w:anchor="_Toc130547109" w:history="1">
        <w:r w:rsidRPr="00F42406">
          <w:rPr>
            <w:rStyle w:val="Hyperlink"/>
            <w:noProof/>
          </w:rPr>
          <w:t>9.</w:t>
        </w:r>
        <w:r>
          <w:rPr>
            <w:rFonts w:eastAsiaTheme="minorEastAsia"/>
            <w:b w:val="0"/>
            <w:noProof/>
            <w:color w:val="auto"/>
            <w:sz w:val="22"/>
            <w:szCs w:val="22"/>
            <w:lang w:eastAsia="en-GB"/>
          </w:rPr>
          <w:tab/>
        </w:r>
        <w:r w:rsidRPr="00F42406">
          <w:rPr>
            <w:rStyle w:val="Hyperlink"/>
            <w:noProof/>
          </w:rPr>
          <w:t>Associated Policies, Guidance and Documents</w:t>
        </w:r>
        <w:r>
          <w:rPr>
            <w:noProof/>
            <w:webHidden/>
          </w:rPr>
          <w:tab/>
        </w:r>
        <w:r>
          <w:rPr>
            <w:noProof/>
            <w:webHidden/>
          </w:rPr>
          <w:fldChar w:fldCharType="begin"/>
        </w:r>
        <w:r>
          <w:rPr>
            <w:noProof/>
            <w:webHidden/>
          </w:rPr>
          <w:instrText xml:space="preserve"> PAGEREF _Toc130547109 \h </w:instrText>
        </w:r>
        <w:r>
          <w:rPr>
            <w:noProof/>
            <w:webHidden/>
          </w:rPr>
        </w:r>
        <w:r>
          <w:rPr>
            <w:noProof/>
            <w:webHidden/>
          </w:rPr>
          <w:fldChar w:fldCharType="separate"/>
        </w:r>
        <w:r>
          <w:rPr>
            <w:noProof/>
            <w:webHidden/>
          </w:rPr>
          <w:t>11</w:t>
        </w:r>
        <w:r>
          <w:rPr>
            <w:noProof/>
            <w:webHidden/>
          </w:rPr>
          <w:fldChar w:fldCharType="end"/>
        </w:r>
      </w:hyperlink>
    </w:p>
    <w:p w14:paraId="255CC506" w14:textId="61957F84" w:rsidR="0093785F" w:rsidRDefault="0093785F">
      <w:pPr>
        <w:pStyle w:val="TOC1"/>
        <w:rPr>
          <w:rFonts w:eastAsiaTheme="minorEastAsia"/>
          <w:b w:val="0"/>
          <w:noProof/>
          <w:color w:val="auto"/>
          <w:sz w:val="22"/>
          <w:szCs w:val="22"/>
          <w:lang w:eastAsia="en-GB"/>
        </w:rPr>
      </w:pPr>
      <w:hyperlink w:anchor="_Toc130547110" w:history="1">
        <w:r w:rsidRPr="00F42406">
          <w:rPr>
            <w:rStyle w:val="Hyperlink"/>
            <w:noProof/>
          </w:rPr>
          <w:t>10.</w:t>
        </w:r>
        <w:r>
          <w:rPr>
            <w:rFonts w:eastAsiaTheme="minorEastAsia"/>
            <w:b w:val="0"/>
            <w:noProof/>
            <w:color w:val="auto"/>
            <w:sz w:val="22"/>
            <w:szCs w:val="22"/>
            <w:lang w:eastAsia="en-GB"/>
          </w:rPr>
          <w:tab/>
        </w:r>
        <w:r w:rsidRPr="00F42406">
          <w:rPr>
            <w:rStyle w:val="Hyperlink"/>
            <w:noProof/>
          </w:rPr>
          <w:t>References</w:t>
        </w:r>
        <w:r>
          <w:rPr>
            <w:noProof/>
            <w:webHidden/>
          </w:rPr>
          <w:tab/>
        </w:r>
        <w:r>
          <w:rPr>
            <w:noProof/>
            <w:webHidden/>
          </w:rPr>
          <w:fldChar w:fldCharType="begin"/>
        </w:r>
        <w:r>
          <w:rPr>
            <w:noProof/>
            <w:webHidden/>
          </w:rPr>
          <w:instrText xml:space="preserve"> PAGEREF _Toc130547110 \h </w:instrText>
        </w:r>
        <w:r>
          <w:rPr>
            <w:noProof/>
            <w:webHidden/>
          </w:rPr>
        </w:r>
        <w:r>
          <w:rPr>
            <w:noProof/>
            <w:webHidden/>
          </w:rPr>
          <w:fldChar w:fldCharType="separate"/>
        </w:r>
        <w:r>
          <w:rPr>
            <w:noProof/>
            <w:webHidden/>
          </w:rPr>
          <w:t>11</w:t>
        </w:r>
        <w:r>
          <w:rPr>
            <w:noProof/>
            <w:webHidden/>
          </w:rPr>
          <w:fldChar w:fldCharType="end"/>
        </w:r>
      </w:hyperlink>
    </w:p>
    <w:p w14:paraId="72FF4D7F" w14:textId="5D676C98" w:rsidR="0093785F" w:rsidRDefault="0093785F">
      <w:pPr>
        <w:pStyle w:val="TOC1"/>
        <w:rPr>
          <w:rFonts w:eastAsiaTheme="minorEastAsia"/>
          <w:b w:val="0"/>
          <w:noProof/>
          <w:color w:val="auto"/>
          <w:sz w:val="22"/>
          <w:szCs w:val="22"/>
          <w:lang w:eastAsia="en-GB"/>
        </w:rPr>
      </w:pPr>
      <w:hyperlink w:anchor="_Toc130547111" w:history="1">
        <w:r w:rsidRPr="00F42406">
          <w:rPr>
            <w:rStyle w:val="Hyperlink"/>
            <w:noProof/>
          </w:rPr>
          <w:t>11.</w:t>
        </w:r>
        <w:r>
          <w:rPr>
            <w:rFonts w:eastAsiaTheme="minorEastAsia"/>
            <w:b w:val="0"/>
            <w:noProof/>
            <w:color w:val="auto"/>
            <w:sz w:val="22"/>
            <w:szCs w:val="22"/>
            <w:lang w:eastAsia="en-GB"/>
          </w:rPr>
          <w:tab/>
        </w:r>
        <w:r w:rsidRPr="00F42406">
          <w:rPr>
            <w:rStyle w:val="Hyperlink"/>
            <w:noProof/>
          </w:rPr>
          <w:t>Equality Impact Assessment</w:t>
        </w:r>
        <w:r>
          <w:rPr>
            <w:noProof/>
            <w:webHidden/>
          </w:rPr>
          <w:tab/>
        </w:r>
        <w:r>
          <w:rPr>
            <w:noProof/>
            <w:webHidden/>
          </w:rPr>
          <w:fldChar w:fldCharType="begin"/>
        </w:r>
        <w:r>
          <w:rPr>
            <w:noProof/>
            <w:webHidden/>
          </w:rPr>
          <w:instrText xml:space="preserve"> PAGEREF _Toc130547111 \h </w:instrText>
        </w:r>
        <w:r>
          <w:rPr>
            <w:noProof/>
            <w:webHidden/>
          </w:rPr>
        </w:r>
        <w:r>
          <w:rPr>
            <w:noProof/>
            <w:webHidden/>
          </w:rPr>
          <w:fldChar w:fldCharType="separate"/>
        </w:r>
        <w:r>
          <w:rPr>
            <w:noProof/>
            <w:webHidden/>
          </w:rPr>
          <w:t>11</w:t>
        </w:r>
        <w:r>
          <w:rPr>
            <w:noProof/>
            <w:webHidden/>
          </w:rPr>
          <w:fldChar w:fldCharType="end"/>
        </w:r>
      </w:hyperlink>
    </w:p>
    <w:p w14:paraId="474CE491" w14:textId="17FA2275" w:rsidR="0093785F" w:rsidRDefault="0093785F">
      <w:pPr>
        <w:pStyle w:val="TOC1"/>
        <w:rPr>
          <w:rFonts w:eastAsiaTheme="minorEastAsia"/>
          <w:b w:val="0"/>
          <w:noProof/>
          <w:color w:val="auto"/>
          <w:sz w:val="22"/>
          <w:szCs w:val="22"/>
          <w:lang w:eastAsia="en-GB"/>
        </w:rPr>
      </w:pPr>
      <w:hyperlink w:anchor="_Toc130547112" w:history="1">
        <w:r w:rsidRPr="00F42406">
          <w:rPr>
            <w:rStyle w:val="Hyperlink"/>
            <w:noProof/>
          </w:rPr>
          <w:t>Appendix A - Equality Impact Assessment</w:t>
        </w:r>
        <w:r>
          <w:rPr>
            <w:noProof/>
            <w:webHidden/>
          </w:rPr>
          <w:tab/>
        </w:r>
        <w:r>
          <w:rPr>
            <w:noProof/>
            <w:webHidden/>
          </w:rPr>
          <w:fldChar w:fldCharType="begin"/>
        </w:r>
        <w:r>
          <w:rPr>
            <w:noProof/>
            <w:webHidden/>
          </w:rPr>
          <w:instrText xml:space="preserve"> PAGEREF _Toc130547112 \h </w:instrText>
        </w:r>
        <w:r>
          <w:rPr>
            <w:noProof/>
            <w:webHidden/>
          </w:rPr>
        </w:r>
        <w:r>
          <w:rPr>
            <w:noProof/>
            <w:webHidden/>
          </w:rPr>
          <w:fldChar w:fldCharType="separate"/>
        </w:r>
        <w:r>
          <w:rPr>
            <w:noProof/>
            <w:webHidden/>
          </w:rPr>
          <w:t>12</w:t>
        </w:r>
        <w:r>
          <w:rPr>
            <w:noProof/>
            <w:webHidden/>
          </w:rPr>
          <w:fldChar w:fldCharType="end"/>
        </w:r>
      </w:hyperlink>
    </w:p>
    <w:p w14:paraId="79AC109D" w14:textId="6BE96A03" w:rsidR="00F913CD" w:rsidRPr="007D6263" w:rsidRDefault="000665B0">
      <w:pPr>
        <w:spacing w:before="0" w:after="0"/>
        <w:ind w:left="0"/>
        <w:rPr>
          <w:rFonts w:ascii="AppleSystemUIFont" w:hAnsi="AppleSystemUIFont" w:cs="AppleSystemUIFont"/>
          <w:sz w:val="26"/>
          <w:szCs w:val="26"/>
        </w:rPr>
      </w:pPr>
      <w:r w:rsidRPr="007D6263">
        <w:rPr>
          <w:rFonts w:ascii="AppleSystemUIFont" w:hAnsi="AppleSystemUIFont" w:cs="AppleSystemUIFont"/>
          <w:b/>
          <w:sz w:val="26"/>
          <w:szCs w:val="26"/>
        </w:rPr>
        <w:fldChar w:fldCharType="end"/>
      </w:r>
      <w:r w:rsidR="00F913CD" w:rsidRPr="007D6263">
        <w:rPr>
          <w:rFonts w:ascii="AppleSystemUIFont" w:hAnsi="AppleSystemUIFont" w:cs="AppleSystemUIFont"/>
          <w:sz w:val="26"/>
          <w:szCs w:val="26"/>
        </w:rPr>
        <w:br w:type="page"/>
      </w:r>
    </w:p>
    <w:p w14:paraId="09092E0D" w14:textId="116CA611" w:rsidR="00E82995" w:rsidRPr="007D6263" w:rsidRDefault="00F913CD" w:rsidP="00246DAE">
      <w:pPr>
        <w:pStyle w:val="Heading2"/>
        <w:rPr>
          <w:b w:val="0"/>
          <w:color w:val="231F20" w:themeColor="text1"/>
          <w:sz w:val="24"/>
          <w:szCs w:val="24"/>
        </w:rPr>
      </w:pPr>
      <w:bookmarkStart w:id="5" w:name="_Toc84611043"/>
      <w:bookmarkStart w:id="6" w:name="_Toc89326544"/>
      <w:bookmarkStart w:id="7" w:name="_Toc130547093"/>
      <w:r w:rsidRPr="007D6263">
        <w:t>Introduction</w:t>
      </w:r>
      <w:bookmarkEnd w:id="5"/>
      <w:bookmarkEnd w:id="6"/>
      <w:bookmarkEnd w:id="7"/>
    </w:p>
    <w:p w14:paraId="6F2B4C33" w14:textId="4E807799" w:rsidR="00A018BB" w:rsidRPr="007D6263" w:rsidRDefault="00E0628A" w:rsidP="00444746">
      <w:pPr>
        <w:pStyle w:val="Style1"/>
        <w:rPr>
          <w:rFonts w:eastAsia="Arial"/>
        </w:rPr>
      </w:pPr>
      <w:bookmarkStart w:id="8" w:name="_Hlk110339884"/>
      <w:r w:rsidRPr="007D6263">
        <w:rPr>
          <w:rFonts w:eastAsia="Arial"/>
        </w:rPr>
        <w:t>The I</w:t>
      </w:r>
      <w:r w:rsidR="00B21761" w:rsidRPr="007D6263">
        <w:rPr>
          <w:rFonts w:eastAsia="Arial"/>
        </w:rPr>
        <w:t xml:space="preserve">ntegrated </w:t>
      </w:r>
      <w:r w:rsidRPr="007D6263">
        <w:rPr>
          <w:rFonts w:eastAsia="Arial"/>
        </w:rPr>
        <w:t>C</w:t>
      </w:r>
      <w:r w:rsidR="00B21761" w:rsidRPr="007D6263">
        <w:rPr>
          <w:rFonts w:eastAsia="Arial"/>
        </w:rPr>
        <w:t xml:space="preserve">are </w:t>
      </w:r>
      <w:r w:rsidRPr="007D6263">
        <w:rPr>
          <w:rFonts w:eastAsia="Arial"/>
        </w:rPr>
        <w:t>B</w:t>
      </w:r>
      <w:r w:rsidR="00B21761" w:rsidRPr="007D6263">
        <w:rPr>
          <w:rFonts w:eastAsia="Arial"/>
        </w:rPr>
        <w:t>oard (ICB)</w:t>
      </w:r>
      <w:r w:rsidRPr="007D6263">
        <w:rPr>
          <w:rFonts w:eastAsia="Arial"/>
        </w:rPr>
        <w:t xml:space="preserve"> Chief Executive is personally accountable to NHS</w:t>
      </w:r>
      <w:r w:rsidR="000A6701" w:rsidRPr="007D6263">
        <w:rPr>
          <w:rFonts w:eastAsia="Arial"/>
        </w:rPr>
        <w:t xml:space="preserve"> England (NHSE)</w:t>
      </w:r>
      <w:r w:rsidR="00A92D1D" w:rsidRPr="007D6263">
        <w:rPr>
          <w:rFonts w:eastAsia="Arial"/>
        </w:rPr>
        <w:t xml:space="preserve"> for stewardship of the ICB’s allocated resources</w:t>
      </w:r>
      <w:r w:rsidR="000A6701" w:rsidRPr="007D6263">
        <w:rPr>
          <w:rFonts w:eastAsia="Arial"/>
        </w:rPr>
        <w:t xml:space="preserve">. </w:t>
      </w:r>
      <w:r w:rsidR="000024EC" w:rsidRPr="007D6263">
        <w:rPr>
          <w:rFonts w:eastAsia="Arial"/>
        </w:rPr>
        <w:t xml:space="preserve">Section 3.2 of the </w:t>
      </w:r>
      <w:r w:rsidR="000A6701" w:rsidRPr="007D6263">
        <w:rPr>
          <w:rFonts w:eastAsia="Arial"/>
        </w:rPr>
        <w:t xml:space="preserve">ICB’s </w:t>
      </w:r>
      <w:r w:rsidR="000024EC" w:rsidRPr="007D6263">
        <w:rPr>
          <w:rFonts w:eastAsia="Arial"/>
        </w:rPr>
        <w:t xml:space="preserve">Standing Financial Instructions </w:t>
      </w:r>
      <w:r w:rsidR="000A6701" w:rsidRPr="007D6263">
        <w:rPr>
          <w:rFonts w:eastAsia="Arial"/>
        </w:rPr>
        <w:t xml:space="preserve">(SFIs) </w:t>
      </w:r>
      <w:r w:rsidR="000024EC" w:rsidRPr="007D6263">
        <w:rPr>
          <w:rFonts w:eastAsia="Arial"/>
        </w:rPr>
        <w:t>sets out</w:t>
      </w:r>
      <w:r w:rsidR="00BA085B" w:rsidRPr="007D6263">
        <w:rPr>
          <w:rFonts w:eastAsia="Arial"/>
        </w:rPr>
        <w:t xml:space="preserve"> </w:t>
      </w:r>
      <w:r w:rsidR="00EE06DF" w:rsidRPr="007D6263">
        <w:rPr>
          <w:rFonts w:eastAsia="Arial"/>
        </w:rPr>
        <w:t xml:space="preserve">the </w:t>
      </w:r>
      <w:r w:rsidR="00BA085B" w:rsidRPr="007D6263">
        <w:rPr>
          <w:rFonts w:eastAsia="Arial"/>
        </w:rPr>
        <w:t xml:space="preserve">roles </w:t>
      </w:r>
      <w:r w:rsidR="00EE06DF" w:rsidRPr="007D6263">
        <w:rPr>
          <w:rFonts w:eastAsia="Arial"/>
        </w:rPr>
        <w:t xml:space="preserve">the Chief Executive </w:t>
      </w:r>
      <w:r w:rsidR="00BA085B" w:rsidRPr="007D6263">
        <w:rPr>
          <w:rFonts w:eastAsia="Arial"/>
        </w:rPr>
        <w:t>delegate</w:t>
      </w:r>
      <w:r w:rsidR="00EE06DF" w:rsidRPr="007D6263">
        <w:rPr>
          <w:rFonts w:eastAsia="Arial"/>
        </w:rPr>
        <w:t>s</w:t>
      </w:r>
      <w:r w:rsidR="00BA085B" w:rsidRPr="007D6263">
        <w:rPr>
          <w:rFonts w:eastAsia="Arial"/>
        </w:rPr>
        <w:t xml:space="preserve"> to the </w:t>
      </w:r>
      <w:r w:rsidR="0064353D">
        <w:rPr>
          <w:rFonts w:eastAsia="Arial"/>
        </w:rPr>
        <w:t xml:space="preserve">Executive </w:t>
      </w:r>
      <w:r w:rsidR="00D75F22" w:rsidRPr="007D6263">
        <w:rPr>
          <w:rFonts w:eastAsia="Arial"/>
        </w:rPr>
        <w:t>Director of Resources</w:t>
      </w:r>
      <w:r w:rsidR="00BA085B" w:rsidRPr="007D6263">
        <w:rPr>
          <w:rFonts w:eastAsia="Arial"/>
        </w:rPr>
        <w:t xml:space="preserve">. </w:t>
      </w:r>
      <w:r w:rsidR="00C54F13" w:rsidRPr="007D6263">
        <w:rPr>
          <w:rFonts w:eastAsia="Arial"/>
        </w:rPr>
        <w:t xml:space="preserve">This includes that the </w:t>
      </w:r>
      <w:r w:rsidR="0064353D">
        <w:rPr>
          <w:rFonts w:eastAsia="Arial"/>
        </w:rPr>
        <w:t xml:space="preserve">Executive </w:t>
      </w:r>
      <w:r w:rsidR="00D75F22" w:rsidRPr="007D6263">
        <w:rPr>
          <w:rFonts w:eastAsia="Arial"/>
        </w:rPr>
        <w:t>Director of Resources</w:t>
      </w:r>
      <w:r w:rsidR="00C54F13" w:rsidRPr="007D6263">
        <w:rPr>
          <w:rFonts w:eastAsia="Arial"/>
        </w:rPr>
        <w:t xml:space="preserve"> is responsible for</w:t>
      </w:r>
      <w:r w:rsidR="00A018BB" w:rsidRPr="007D6263">
        <w:rPr>
          <w:rFonts w:eastAsia="Arial"/>
        </w:rPr>
        <w:t>:</w:t>
      </w:r>
      <w:r w:rsidR="00C54F13" w:rsidRPr="007D6263">
        <w:rPr>
          <w:rFonts w:eastAsia="Arial"/>
        </w:rPr>
        <w:t xml:space="preserve"> </w:t>
      </w:r>
    </w:p>
    <w:p w14:paraId="102B86C3" w14:textId="3886E14A" w:rsidR="007B4BDD" w:rsidRPr="007D6263" w:rsidRDefault="004C5D93" w:rsidP="004C5D93">
      <w:pPr>
        <w:pStyle w:val="Style2"/>
        <w:numPr>
          <w:ilvl w:val="2"/>
          <w:numId w:val="17"/>
        </w:numPr>
        <w:ind w:left="1701" w:hanging="567"/>
      </w:pPr>
      <w:r>
        <w:t>E</w:t>
      </w:r>
      <w:r w:rsidR="00C54F13" w:rsidRPr="007D6263">
        <w:t>nsuring there is an effective financial control framework in place to support accurate financial reporting, safeguard</w:t>
      </w:r>
      <w:r w:rsidR="00B21761" w:rsidRPr="007D6263">
        <w:t xml:space="preserve"> assets and minimise risk of financial loss</w:t>
      </w:r>
      <w:r>
        <w:t xml:space="preserve">. </w:t>
      </w:r>
    </w:p>
    <w:p w14:paraId="40BE02A2" w14:textId="302152A7" w:rsidR="00A018BB" w:rsidRPr="007D6263" w:rsidRDefault="004C5D93" w:rsidP="004C5D93">
      <w:pPr>
        <w:pStyle w:val="Style2"/>
        <w:numPr>
          <w:ilvl w:val="2"/>
          <w:numId w:val="17"/>
        </w:numPr>
        <w:ind w:left="1701" w:hanging="567"/>
      </w:pPr>
      <w:r>
        <w:t>E</w:t>
      </w:r>
      <w:r w:rsidR="00A018BB" w:rsidRPr="007D6263">
        <w:t>nsuring that the allocated annual revenue and capital resource limits are not exceeded, jointly, with system partners</w:t>
      </w:r>
      <w:r>
        <w:t>.</w:t>
      </w:r>
    </w:p>
    <w:p w14:paraId="152B72F2" w14:textId="11AD1584" w:rsidR="00BC6324" w:rsidRPr="007D6263" w:rsidRDefault="00F913CD" w:rsidP="00BC6324">
      <w:pPr>
        <w:pStyle w:val="Heading2"/>
      </w:pPr>
      <w:bookmarkStart w:id="9" w:name="_Toc89326545"/>
      <w:bookmarkStart w:id="10" w:name="_Toc130547094"/>
      <w:bookmarkEnd w:id="8"/>
      <w:r w:rsidRPr="007D6263">
        <w:t>Purpose / Policy Statement</w:t>
      </w:r>
      <w:bookmarkEnd w:id="9"/>
      <w:bookmarkEnd w:id="10"/>
    </w:p>
    <w:p w14:paraId="3331D5BA" w14:textId="38293C63" w:rsidR="001516D8" w:rsidRPr="007D6263" w:rsidRDefault="002B26AF" w:rsidP="008C447C">
      <w:pPr>
        <w:pStyle w:val="Style1"/>
        <w:rPr>
          <w:rFonts w:eastAsia="Arial"/>
          <w:b/>
        </w:rPr>
      </w:pPr>
      <w:bookmarkStart w:id="11" w:name="_Hlk110339956"/>
      <w:r w:rsidRPr="007D6263">
        <w:rPr>
          <w:rFonts w:eastAsia="Arial"/>
        </w:rPr>
        <w:t xml:space="preserve">This policy is </w:t>
      </w:r>
      <w:r w:rsidR="006071D1" w:rsidRPr="007D6263">
        <w:rPr>
          <w:rFonts w:eastAsia="Arial"/>
        </w:rPr>
        <w:t>part</w:t>
      </w:r>
      <w:r w:rsidRPr="007D6263">
        <w:rPr>
          <w:rFonts w:eastAsia="Arial"/>
        </w:rPr>
        <w:t xml:space="preserve"> of the ICB’s internal control environment </w:t>
      </w:r>
      <w:r w:rsidR="00E6505D" w:rsidRPr="007D6263">
        <w:rPr>
          <w:rFonts w:eastAsia="Arial"/>
        </w:rPr>
        <w:t xml:space="preserve">and describes </w:t>
      </w:r>
      <w:r w:rsidR="00A67A16" w:rsidRPr="007D6263">
        <w:rPr>
          <w:rFonts w:eastAsia="Arial"/>
        </w:rPr>
        <w:t xml:space="preserve">the </w:t>
      </w:r>
      <w:r w:rsidR="006071D1" w:rsidRPr="007D6263">
        <w:rPr>
          <w:rFonts w:eastAsia="Arial"/>
        </w:rPr>
        <w:t xml:space="preserve">key elements of the </w:t>
      </w:r>
      <w:r w:rsidR="00A018BB" w:rsidRPr="007D6263">
        <w:rPr>
          <w:rFonts w:eastAsia="Arial"/>
        </w:rPr>
        <w:t>methodology and controls to fairly</w:t>
      </w:r>
      <w:r w:rsidR="008E4A2A" w:rsidRPr="007D6263">
        <w:rPr>
          <w:rFonts w:eastAsia="Arial"/>
        </w:rPr>
        <w:t xml:space="preserve"> allocate resources</w:t>
      </w:r>
      <w:r w:rsidR="00A018BB" w:rsidRPr="007D6263">
        <w:rPr>
          <w:rFonts w:eastAsia="Arial"/>
        </w:rPr>
        <w:t xml:space="preserve"> within the system</w:t>
      </w:r>
      <w:bookmarkEnd w:id="11"/>
      <w:r w:rsidR="008E4A2A" w:rsidRPr="007D6263">
        <w:rPr>
          <w:rFonts w:eastAsia="Arial"/>
        </w:rPr>
        <w:t>.</w:t>
      </w:r>
    </w:p>
    <w:p w14:paraId="33D9D5BD" w14:textId="0C259C24" w:rsidR="00F913CD" w:rsidRPr="007D6263" w:rsidRDefault="00544FA6" w:rsidP="008E4397">
      <w:pPr>
        <w:pStyle w:val="Heading2"/>
      </w:pPr>
      <w:bookmarkStart w:id="12" w:name="_Toc89326546"/>
      <w:bookmarkStart w:id="13" w:name="_Toc130547095"/>
      <w:r w:rsidRPr="007D6263">
        <w:t>Remit</w:t>
      </w:r>
      <w:bookmarkEnd w:id="12"/>
      <w:bookmarkEnd w:id="13"/>
    </w:p>
    <w:p w14:paraId="5CDDC3E1" w14:textId="6E657A34" w:rsidR="004D66D3" w:rsidRPr="007D6263" w:rsidRDefault="004D66D3" w:rsidP="00557B0D">
      <w:pPr>
        <w:pStyle w:val="Style1"/>
      </w:pPr>
      <w:bookmarkStart w:id="14" w:name="_Hlk100577103"/>
      <w:r w:rsidRPr="007D6263">
        <w:rPr>
          <w:rFonts w:eastAsia="Arial"/>
        </w:rPr>
        <w:t>This policy applies to all ICB staff (including temporary/ bank/agency staff), contractors engaged by the ICB and staff from other MSE ICS Partnership organisations working on behalf of the ICB</w:t>
      </w:r>
      <w:r w:rsidR="00A740FC" w:rsidRPr="007D6263">
        <w:rPr>
          <w:rFonts w:eastAsia="Arial"/>
        </w:rPr>
        <w:t>.</w:t>
      </w:r>
    </w:p>
    <w:p w14:paraId="719ACBDA" w14:textId="03D8B860" w:rsidR="00544FA6" w:rsidRPr="007D6263" w:rsidRDefault="00557B0D" w:rsidP="00544FA6">
      <w:pPr>
        <w:pStyle w:val="Heading2"/>
      </w:pPr>
      <w:bookmarkStart w:id="15" w:name="_Toc130547096"/>
      <w:bookmarkEnd w:id="14"/>
      <w:r w:rsidRPr="007D6263">
        <w:t>D</w:t>
      </w:r>
      <w:r w:rsidR="00544FA6" w:rsidRPr="007D6263">
        <w:t>efinitions</w:t>
      </w:r>
      <w:bookmarkEnd w:id="15"/>
    </w:p>
    <w:p w14:paraId="0500F931" w14:textId="091749E4" w:rsidR="0064645B" w:rsidRPr="007D6263" w:rsidRDefault="0064645B" w:rsidP="00FB3C48">
      <w:pPr>
        <w:pStyle w:val="ListParagraph"/>
      </w:pPr>
      <w:r w:rsidRPr="007D6263">
        <w:rPr>
          <w:b/>
          <w:bCs/>
        </w:rPr>
        <w:t>Allocations</w:t>
      </w:r>
      <w:r w:rsidRPr="007D6263">
        <w:t xml:space="preserve"> – NHSE </w:t>
      </w:r>
      <w:r w:rsidR="009E3A07" w:rsidRPr="007D6263">
        <w:t xml:space="preserve">transfers the ICB’s funding for the year </w:t>
      </w:r>
      <w:r w:rsidR="00046196" w:rsidRPr="007D6263">
        <w:t>as baseline allocations (</w:t>
      </w:r>
      <w:r w:rsidR="001E2785" w:rsidRPr="007D6263">
        <w:t>based on a formula which aims to make geographic</w:t>
      </w:r>
      <w:r w:rsidR="00986AD7" w:rsidRPr="007D6263">
        <w:t xml:space="preserve"> distribution fair and objective and reflective o</w:t>
      </w:r>
      <w:r w:rsidR="00CC6BDC" w:rsidRPr="007D6263">
        <w:t>f</w:t>
      </w:r>
      <w:r w:rsidR="00986AD7" w:rsidRPr="007D6263">
        <w:t xml:space="preserve"> local healthcare needs). During the year </w:t>
      </w:r>
      <w:r w:rsidR="00665756" w:rsidRPr="007D6263">
        <w:t>additional revenue funds are made available usually for specific ring-fenced projects or initiatives.</w:t>
      </w:r>
    </w:p>
    <w:p w14:paraId="4841CDC9" w14:textId="3385CA38" w:rsidR="00310849" w:rsidRPr="007D6263" w:rsidRDefault="00BB1651" w:rsidP="00BB1651">
      <w:pPr>
        <w:pStyle w:val="ListParagraph"/>
        <w:rPr>
          <w:b/>
          <w:bCs/>
        </w:rPr>
      </w:pPr>
      <w:r w:rsidRPr="007D6263">
        <w:rPr>
          <w:b/>
          <w:bCs/>
        </w:rPr>
        <w:t xml:space="preserve">Budget </w:t>
      </w:r>
      <w:r w:rsidR="008F1984" w:rsidRPr="007D6263">
        <w:t>–</w:t>
      </w:r>
      <w:r w:rsidRPr="007D6263">
        <w:t xml:space="preserve"> </w:t>
      </w:r>
      <w:r w:rsidR="008F1984" w:rsidRPr="007D6263">
        <w:t>a plan expressed in financial terms</w:t>
      </w:r>
      <w:r w:rsidR="003021FD" w:rsidRPr="007D6263">
        <w:t xml:space="preserve"> which is prepared and approved prior to</w:t>
      </w:r>
      <w:r w:rsidR="00AE5624" w:rsidRPr="007D6263">
        <w:t xml:space="preserve"> the start of the </w:t>
      </w:r>
      <w:r w:rsidR="0072544F" w:rsidRPr="007D6263">
        <w:t>period (usually one year).</w:t>
      </w:r>
    </w:p>
    <w:p w14:paraId="34922AB1" w14:textId="3691F73D" w:rsidR="00145E54" w:rsidRPr="007D6263" w:rsidRDefault="00D13ACF" w:rsidP="00FB3C48">
      <w:pPr>
        <w:pStyle w:val="ListParagraph"/>
        <w:rPr>
          <w:b/>
          <w:bCs/>
        </w:rPr>
      </w:pPr>
      <w:r w:rsidRPr="007D6263">
        <w:rPr>
          <w:b/>
          <w:bCs/>
        </w:rPr>
        <w:t xml:space="preserve">Budgetary Control </w:t>
      </w:r>
      <w:r w:rsidR="00230F4A" w:rsidRPr="007D6263">
        <w:t>–</w:t>
      </w:r>
      <w:r w:rsidRPr="007D6263">
        <w:t xml:space="preserve"> </w:t>
      </w:r>
      <w:r w:rsidR="00230F4A" w:rsidRPr="007D6263">
        <w:t>the management of approved budgets which involves regularly comparing actual spend with planned spend</w:t>
      </w:r>
      <w:r w:rsidR="00D04A41" w:rsidRPr="007D6263">
        <w:t xml:space="preserve"> to identify whether corrective action is required</w:t>
      </w:r>
      <w:r w:rsidR="00F42886" w:rsidRPr="007D6263">
        <w:t>.</w:t>
      </w:r>
    </w:p>
    <w:p w14:paraId="7154BA03" w14:textId="4213F71F" w:rsidR="00D04A41" w:rsidRPr="007D6263" w:rsidRDefault="004953DE" w:rsidP="00FB3C48">
      <w:pPr>
        <w:pStyle w:val="ListParagraph"/>
        <w:rPr>
          <w:b/>
          <w:bCs/>
        </w:rPr>
      </w:pPr>
      <w:r w:rsidRPr="007D6263">
        <w:rPr>
          <w:b/>
          <w:bCs/>
        </w:rPr>
        <w:t>Budget Holder</w:t>
      </w:r>
      <w:r w:rsidR="006338E0" w:rsidRPr="007D6263">
        <w:t xml:space="preserve"> – a </w:t>
      </w:r>
      <w:proofErr w:type="gramStart"/>
      <w:r w:rsidR="006338E0" w:rsidRPr="007D6263">
        <w:t>Director</w:t>
      </w:r>
      <w:proofErr w:type="gramEnd"/>
      <w:r w:rsidR="006338E0" w:rsidRPr="007D6263">
        <w:t xml:space="preserve"> or </w:t>
      </w:r>
      <w:r w:rsidR="00650BD6" w:rsidRPr="007D6263">
        <w:t>other senior employee</w:t>
      </w:r>
      <w:r w:rsidR="00DF48FA" w:rsidRPr="007D6263">
        <w:t xml:space="preserve"> with delegated authority to manage finances in a specified area of the organisation</w:t>
      </w:r>
      <w:r w:rsidR="00C1230E" w:rsidRPr="007D6263">
        <w:t>.</w:t>
      </w:r>
    </w:p>
    <w:p w14:paraId="12FC45DE" w14:textId="7F69CBEB" w:rsidR="00E676F7" w:rsidRPr="007D6263" w:rsidRDefault="00E676F7" w:rsidP="00E676F7">
      <w:pPr>
        <w:pStyle w:val="ListParagraph"/>
        <w:rPr>
          <w:b/>
          <w:bCs/>
        </w:rPr>
      </w:pPr>
      <w:r w:rsidRPr="007D6263">
        <w:rPr>
          <w:b/>
          <w:bCs/>
        </w:rPr>
        <w:t>Capital Expenditure</w:t>
      </w:r>
      <w:r w:rsidRPr="007D6263">
        <w:t xml:space="preserve"> - spend on an asset (or group of functionally interdependent assets) with a useful life of more than one year and a cost of £5,000 or more. This could include buildings, equipment, and software.</w:t>
      </w:r>
    </w:p>
    <w:p w14:paraId="2D938255" w14:textId="4FD77932" w:rsidR="00947840" w:rsidRPr="007D6263" w:rsidRDefault="006B669B" w:rsidP="00F66581">
      <w:pPr>
        <w:pStyle w:val="ListParagraph"/>
        <w:rPr>
          <w:b/>
          <w:bCs/>
        </w:rPr>
      </w:pPr>
      <w:r w:rsidRPr="007D6263">
        <w:rPr>
          <w:b/>
          <w:bCs/>
        </w:rPr>
        <w:t>Control Total</w:t>
      </w:r>
      <w:r w:rsidRPr="007D6263">
        <w:t xml:space="preserve"> </w:t>
      </w:r>
      <w:r w:rsidR="000972A0" w:rsidRPr="007D6263">
        <w:t>–</w:t>
      </w:r>
      <w:r w:rsidRPr="007D6263">
        <w:t xml:space="preserve"> </w:t>
      </w:r>
      <w:r w:rsidR="000972A0" w:rsidRPr="007D6263">
        <w:t xml:space="preserve">agreed </w:t>
      </w:r>
      <w:r w:rsidR="007835DF" w:rsidRPr="007D6263">
        <w:t>surplus or deficit position for an NHS system for the year</w:t>
      </w:r>
      <w:r w:rsidR="00F66581" w:rsidRPr="007D6263">
        <w:t>.</w:t>
      </w:r>
    </w:p>
    <w:p w14:paraId="3C8148C3" w14:textId="11955FF1" w:rsidR="00785524" w:rsidRPr="007D6263" w:rsidRDefault="00785524" w:rsidP="009B6056">
      <w:pPr>
        <w:pStyle w:val="ListParagraph"/>
      </w:pPr>
      <w:r w:rsidRPr="007D6263">
        <w:rPr>
          <w:b/>
          <w:bCs/>
        </w:rPr>
        <w:t>ICS</w:t>
      </w:r>
      <w:r w:rsidRPr="007D6263">
        <w:t xml:space="preserve"> – Integrated Care System - </w:t>
      </w:r>
      <w:r w:rsidR="009B6056" w:rsidRPr="007D6263">
        <w:t xml:space="preserve">the partners of Mid and South Essex Integrated Care System are Mid and South Essex </w:t>
      </w:r>
      <w:r w:rsidR="00C1708F" w:rsidRPr="007D6263">
        <w:t xml:space="preserve">NHS </w:t>
      </w:r>
      <w:r w:rsidR="009B6056" w:rsidRPr="007D6263">
        <w:t xml:space="preserve">Foundation Trust, Mid and South Essex Integrated Care Board, Essex Partnership </w:t>
      </w:r>
      <w:r w:rsidR="00B003BE" w:rsidRPr="007D6263">
        <w:t xml:space="preserve">University NHS </w:t>
      </w:r>
      <w:r w:rsidR="009B6056" w:rsidRPr="007D6263">
        <w:t>Foundation</w:t>
      </w:r>
      <w:r w:rsidR="00B003BE" w:rsidRPr="007D6263">
        <w:t xml:space="preserve"> </w:t>
      </w:r>
      <w:r w:rsidR="009B6056" w:rsidRPr="007D6263">
        <w:t xml:space="preserve">Trust, </w:t>
      </w:r>
      <w:proofErr w:type="gramStart"/>
      <w:r w:rsidR="009B6056" w:rsidRPr="007D6263">
        <w:t>North East</w:t>
      </w:r>
      <w:proofErr w:type="gramEnd"/>
      <w:r w:rsidR="009B6056" w:rsidRPr="007D6263">
        <w:t xml:space="preserve"> London NHS Foundation Trust, Essex County Council, Southend Borough Council, Thurrock Borough Council and Provide Community Interest Company.</w:t>
      </w:r>
    </w:p>
    <w:p w14:paraId="55A1AF24" w14:textId="16A57DF1" w:rsidR="00B53EAB" w:rsidRPr="007D6263" w:rsidRDefault="00B53EAB" w:rsidP="00B53EAB">
      <w:pPr>
        <w:pStyle w:val="ListParagraph"/>
      </w:pPr>
      <w:r w:rsidRPr="007D6263">
        <w:rPr>
          <w:b/>
          <w:bCs/>
        </w:rPr>
        <w:t>ISFE</w:t>
      </w:r>
      <w:r w:rsidR="00A96370">
        <w:rPr>
          <w:b/>
          <w:bCs/>
        </w:rPr>
        <w:t xml:space="preserve"> </w:t>
      </w:r>
      <w:r w:rsidRPr="007D6263">
        <w:t>- Integrated Single Financial Environment – uses standard NHS Oracle Release 12 platform to provide a common accounting system with a single Chart of Accounts and standardised processes and reporting to all ICBs.</w:t>
      </w:r>
    </w:p>
    <w:p w14:paraId="206B8D74" w14:textId="221B9D20" w:rsidR="00440AE1" w:rsidRPr="007D6263" w:rsidRDefault="00440AE1" w:rsidP="00FB3C48">
      <w:pPr>
        <w:pStyle w:val="ListParagraph"/>
        <w:rPr>
          <w:b/>
          <w:bCs/>
        </w:rPr>
      </w:pPr>
      <w:r w:rsidRPr="007D6263">
        <w:rPr>
          <w:b/>
          <w:bCs/>
        </w:rPr>
        <w:t>NHSE</w:t>
      </w:r>
      <w:r w:rsidRPr="007D6263">
        <w:t xml:space="preserve"> – NHS England</w:t>
      </w:r>
      <w:r w:rsidR="00203D55" w:rsidRPr="007D6263">
        <w:t>.</w:t>
      </w:r>
    </w:p>
    <w:p w14:paraId="16BFB710" w14:textId="0140433F" w:rsidR="00A43795" w:rsidRPr="007D6263" w:rsidRDefault="00A43795" w:rsidP="00FB3C48">
      <w:pPr>
        <w:pStyle w:val="ListParagraph"/>
        <w:rPr>
          <w:b/>
          <w:bCs/>
        </w:rPr>
      </w:pPr>
      <w:r w:rsidRPr="007D6263">
        <w:rPr>
          <w:b/>
          <w:bCs/>
        </w:rPr>
        <w:t>Resource limit</w:t>
      </w:r>
      <w:r w:rsidRPr="007D6263">
        <w:t xml:space="preserve"> – the amount </w:t>
      </w:r>
      <w:r w:rsidR="008105E0" w:rsidRPr="007D6263">
        <w:t xml:space="preserve">that the ICB can spend in any given year – the ICB will be given a revenue </w:t>
      </w:r>
      <w:r w:rsidR="009E091A" w:rsidRPr="007D6263">
        <w:t xml:space="preserve">resource limit </w:t>
      </w:r>
      <w:r w:rsidR="008105E0" w:rsidRPr="007D6263">
        <w:t>and a capital resource limit.</w:t>
      </w:r>
    </w:p>
    <w:p w14:paraId="19607508" w14:textId="0EE38536" w:rsidR="00AD7E17" w:rsidRPr="007D6263" w:rsidRDefault="00AD7E17" w:rsidP="00FB3C48">
      <w:pPr>
        <w:pStyle w:val="ListParagraph"/>
        <w:rPr>
          <w:b/>
          <w:bCs/>
        </w:rPr>
      </w:pPr>
      <w:r w:rsidRPr="007D6263">
        <w:rPr>
          <w:b/>
          <w:bCs/>
        </w:rPr>
        <w:t xml:space="preserve">Revenue Expenditure </w:t>
      </w:r>
      <w:r w:rsidR="00FA78B1" w:rsidRPr="007D6263">
        <w:t>–</w:t>
      </w:r>
      <w:r w:rsidRPr="007D6263">
        <w:t xml:space="preserve"> </w:t>
      </w:r>
      <w:r w:rsidR="00FA78B1" w:rsidRPr="007D6263">
        <w:t>all spend not categorised as capital; pay and non-pay expenditure for services and any assets with a useful life of no more than one year and/or a cost of under £5,000. This includes and expenditure with other partners through contractual arrangements.</w:t>
      </w:r>
    </w:p>
    <w:p w14:paraId="4E8BE400" w14:textId="40363EB3" w:rsidR="00696F1F" w:rsidRPr="007D6263" w:rsidRDefault="00696F1F" w:rsidP="00FB3C48">
      <w:pPr>
        <w:pStyle w:val="ListParagraph"/>
        <w:rPr>
          <w:b/>
          <w:bCs/>
        </w:rPr>
      </w:pPr>
      <w:r w:rsidRPr="007D6263">
        <w:rPr>
          <w:b/>
          <w:bCs/>
        </w:rPr>
        <w:t>Sche</w:t>
      </w:r>
      <w:r w:rsidR="00E972AA" w:rsidRPr="007D6263">
        <w:rPr>
          <w:b/>
          <w:bCs/>
        </w:rPr>
        <w:t>dul</w:t>
      </w:r>
      <w:r w:rsidRPr="007D6263">
        <w:rPr>
          <w:b/>
          <w:bCs/>
        </w:rPr>
        <w:t xml:space="preserve">e of </w:t>
      </w:r>
      <w:r w:rsidR="00E972AA" w:rsidRPr="007D6263">
        <w:rPr>
          <w:b/>
          <w:bCs/>
        </w:rPr>
        <w:t xml:space="preserve">detailed </w:t>
      </w:r>
      <w:r w:rsidRPr="007D6263">
        <w:rPr>
          <w:b/>
          <w:bCs/>
        </w:rPr>
        <w:t>delegat</w:t>
      </w:r>
      <w:r w:rsidR="00E972AA" w:rsidRPr="007D6263">
        <w:rPr>
          <w:b/>
          <w:bCs/>
        </w:rPr>
        <w:t>ed financial limits</w:t>
      </w:r>
      <w:r w:rsidRPr="007D6263">
        <w:t xml:space="preserve"> – document which </w:t>
      </w:r>
      <w:r w:rsidR="00916AB9" w:rsidRPr="007D6263">
        <w:t>shows what authority the Board has delegated to committees or s</w:t>
      </w:r>
      <w:r w:rsidR="00655FCF" w:rsidRPr="007D6263">
        <w:t xml:space="preserve">taff under the powers of the Constitution. </w:t>
      </w:r>
      <w:r w:rsidR="00E972AA" w:rsidRPr="007D6263">
        <w:t xml:space="preserve">This is </w:t>
      </w:r>
      <w:r w:rsidR="007C47B1" w:rsidRPr="007D6263">
        <w:t>a schedule within the Scheme of Reservation and Delegation (</w:t>
      </w:r>
      <w:proofErr w:type="spellStart"/>
      <w:r w:rsidR="007C47B1" w:rsidRPr="007D6263">
        <w:t>SoRD</w:t>
      </w:r>
      <w:proofErr w:type="spellEnd"/>
      <w:r w:rsidR="007C47B1" w:rsidRPr="007D6263">
        <w:t xml:space="preserve">) within the Constitution. </w:t>
      </w:r>
    </w:p>
    <w:p w14:paraId="7C102D78" w14:textId="2914CD6D" w:rsidR="00A018BB" w:rsidRPr="007D6263" w:rsidRDefault="00A018BB" w:rsidP="00FB3C48">
      <w:pPr>
        <w:pStyle w:val="ListParagraph"/>
        <w:rPr>
          <w:b/>
          <w:bCs/>
        </w:rPr>
      </w:pPr>
      <w:r w:rsidRPr="007D6263">
        <w:rPr>
          <w:b/>
          <w:bCs/>
        </w:rPr>
        <w:t xml:space="preserve">System Development Funding (SDF) </w:t>
      </w:r>
      <w:r w:rsidRPr="007D6263">
        <w:t>– additional allocations, received either recurrently or non-recurrently, to support identified programmes of investment and transformation within the system</w:t>
      </w:r>
      <w:r w:rsidR="00CA5103">
        <w:t>.</w:t>
      </w:r>
    </w:p>
    <w:p w14:paraId="2AF5510B" w14:textId="3AE4489B" w:rsidR="00F913CD" w:rsidRPr="007D6263" w:rsidRDefault="00F913CD" w:rsidP="00AD3A30">
      <w:pPr>
        <w:pStyle w:val="Heading2"/>
      </w:pPr>
      <w:bookmarkStart w:id="16" w:name="_Toc89326547"/>
      <w:bookmarkStart w:id="17" w:name="_Toc130547097"/>
      <w:r w:rsidRPr="007D6263">
        <w:t>Roles and Responsibiliti</w:t>
      </w:r>
      <w:bookmarkEnd w:id="16"/>
      <w:r w:rsidR="009E091A" w:rsidRPr="007D6263">
        <w:t>es</w:t>
      </w:r>
      <w:bookmarkEnd w:id="17"/>
    </w:p>
    <w:p w14:paraId="2032CA85" w14:textId="21233BFA" w:rsidR="00F913CD" w:rsidRPr="007D6263" w:rsidRDefault="00A2489F" w:rsidP="00732AFE">
      <w:pPr>
        <w:pStyle w:val="Heading3"/>
      </w:pPr>
      <w:bookmarkStart w:id="18" w:name="_Toc130547098"/>
      <w:r>
        <w:t xml:space="preserve">Executive </w:t>
      </w:r>
      <w:r w:rsidR="00D75F22" w:rsidRPr="007D6263">
        <w:t>Director of Resources</w:t>
      </w:r>
      <w:bookmarkEnd w:id="18"/>
    </w:p>
    <w:p w14:paraId="00975F01" w14:textId="038328A5" w:rsidR="007D5498" w:rsidRPr="007D6263" w:rsidRDefault="006018A1" w:rsidP="00CC71AE">
      <w:pPr>
        <w:pStyle w:val="Style2"/>
      </w:pPr>
      <w:r w:rsidRPr="007D6263">
        <w:t xml:space="preserve">The </w:t>
      </w:r>
      <w:r w:rsidR="00A2489F">
        <w:t xml:space="preserve">Executive </w:t>
      </w:r>
      <w:r w:rsidR="00D75F22" w:rsidRPr="007D6263">
        <w:t>Director of Resources</w:t>
      </w:r>
      <w:r w:rsidRPr="007D6263">
        <w:t xml:space="preserve"> is responsible </w:t>
      </w:r>
      <w:r w:rsidR="00ED33E3" w:rsidRPr="007D6263">
        <w:t>for ensuring that allocated annual revenue and capital resource limits are not exceeded</w:t>
      </w:r>
      <w:r w:rsidR="003D77F5" w:rsidRPr="007D6263">
        <w:t>,</w:t>
      </w:r>
      <w:r w:rsidR="00ED33E3" w:rsidRPr="007D6263">
        <w:t xml:space="preserve"> jointly, with system partners</w:t>
      </w:r>
      <w:r w:rsidR="00906618" w:rsidRPr="007D6263">
        <w:t xml:space="preserve"> and that the system meets financial targets set by NHSE.</w:t>
      </w:r>
    </w:p>
    <w:p w14:paraId="4AD1A79D" w14:textId="77777777" w:rsidR="007D5498" w:rsidRPr="007D6263" w:rsidRDefault="007D5498" w:rsidP="007D5498">
      <w:pPr>
        <w:pStyle w:val="Style2"/>
        <w:numPr>
          <w:ilvl w:val="0"/>
          <w:numId w:val="0"/>
        </w:numPr>
      </w:pPr>
    </w:p>
    <w:p w14:paraId="555FC69F" w14:textId="4FE47F2E" w:rsidR="00FA78B1" w:rsidRPr="007D6263" w:rsidRDefault="00F27514" w:rsidP="00FA78B1">
      <w:pPr>
        <w:pStyle w:val="Style2"/>
      </w:pPr>
      <w:r w:rsidRPr="007D6263">
        <w:t xml:space="preserve">Prior to the start of each financial year </w:t>
      </w:r>
      <w:r w:rsidR="00371B1A" w:rsidRPr="007D6263">
        <w:t xml:space="preserve">the </w:t>
      </w:r>
      <w:r w:rsidR="003525C7">
        <w:t xml:space="preserve">Executive </w:t>
      </w:r>
      <w:r w:rsidR="00D75F22" w:rsidRPr="007D6263">
        <w:t>Director of Resources</w:t>
      </w:r>
      <w:r w:rsidR="00371B1A" w:rsidRPr="007D6263">
        <w:t xml:space="preserve"> will </w:t>
      </w:r>
      <w:r w:rsidRPr="007D6263">
        <w:t>submit to the</w:t>
      </w:r>
      <w:r w:rsidR="00371B1A" w:rsidRPr="007D6263">
        <w:t xml:space="preserve"> ICB</w:t>
      </w:r>
      <w:r w:rsidRPr="007D6263">
        <w:t xml:space="preserve"> </w:t>
      </w:r>
      <w:r w:rsidR="00371B1A" w:rsidRPr="007D6263">
        <w:t>Board</w:t>
      </w:r>
      <w:r w:rsidR="00D91C55" w:rsidRPr="007D6263">
        <w:t>,</w:t>
      </w:r>
      <w:r w:rsidRPr="007D6263">
        <w:t xml:space="preserve"> for approval, a report showing the total allocations received and their proposed distribution including any sums to be held in</w:t>
      </w:r>
      <w:r w:rsidR="00A91548" w:rsidRPr="007D6263">
        <w:t xml:space="preserve"> </w:t>
      </w:r>
      <w:r w:rsidRPr="007D6263">
        <w:t>reserve.</w:t>
      </w:r>
      <w:r w:rsidR="00D0219C" w:rsidRPr="007D6263">
        <w:t xml:space="preserve"> </w:t>
      </w:r>
      <w:r w:rsidR="00A91548" w:rsidRPr="007D6263">
        <w:t xml:space="preserve">During the year the Board will be notified regularly of any updates to </w:t>
      </w:r>
      <w:r w:rsidR="0067772D" w:rsidRPr="007D6263">
        <w:t>allocations and the purpose for which they have been received.</w:t>
      </w:r>
      <w:r w:rsidR="002400B0" w:rsidRPr="007D6263">
        <w:t xml:space="preserve"> The</w:t>
      </w:r>
      <w:r w:rsidR="003525C7">
        <w:t xml:space="preserve"> Executive</w:t>
      </w:r>
      <w:r w:rsidR="002400B0" w:rsidRPr="007D6263">
        <w:t xml:space="preserve"> </w:t>
      </w:r>
      <w:r w:rsidR="00D75F22" w:rsidRPr="007D6263">
        <w:t>Director of Resources</w:t>
      </w:r>
      <w:r w:rsidR="002400B0" w:rsidRPr="007D6263">
        <w:t xml:space="preserve"> is responsible for </w:t>
      </w:r>
      <w:r w:rsidR="002A6EE4" w:rsidRPr="007D6263">
        <w:t xml:space="preserve">ensuring that </w:t>
      </w:r>
      <w:r w:rsidR="00281CCC" w:rsidRPr="007D6263">
        <w:t xml:space="preserve">both the year to date and forecast financial position are clearly </w:t>
      </w:r>
      <w:r w:rsidR="007B437E" w:rsidRPr="007D6263">
        <w:t>articulated internally and externally as required</w:t>
      </w:r>
      <w:r w:rsidR="00EE0034" w:rsidRPr="007D6263">
        <w:t>.</w:t>
      </w:r>
    </w:p>
    <w:p w14:paraId="2CE7D83F" w14:textId="77777777" w:rsidR="00FA78B1" w:rsidRPr="007D6263" w:rsidRDefault="00FA78B1" w:rsidP="00FA78B1">
      <w:pPr>
        <w:pStyle w:val="Style2"/>
        <w:numPr>
          <w:ilvl w:val="0"/>
          <w:numId w:val="0"/>
        </w:numPr>
        <w:ind w:left="1134"/>
      </w:pPr>
    </w:p>
    <w:p w14:paraId="7A2D40D1" w14:textId="569F7166" w:rsidR="00FA78B1" w:rsidRPr="007D6263" w:rsidRDefault="00D75F22" w:rsidP="00FA78B1">
      <w:pPr>
        <w:pStyle w:val="Style2"/>
      </w:pPr>
      <w:r w:rsidRPr="007D6263">
        <w:t xml:space="preserve">The </w:t>
      </w:r>
      <w:r w:rsidR="00B22217">
        <w:t xml:space="preserve">Executive </w:t>
      </w:r>
      <w:r w:rsidRPr="007D6263">
        <w:t xml:space="preserve">Director of Resources will ensure, on behalf of the Accountable Officer and ICB board, that the ICB is in </w:t>
      </w:r>
      <w:r w:rsidR="00CA440A">
        <w:t xml:space="preserve">the </w:t>
      </w:r>
      <w:r w:rsidRPr="007D6263">
        <w:t>position to produce its required monthly reporting, annual report, and accounts, as part of the setup of the new organisation</w:t>
      </w:r>
    </w:p>
    <w:p w14:paraId="732C00F2" w14:textId="77777777" w:rsidR="00FA78B1" w:rsidRPr="007D6263" w:rsidRDefault="00FA78B1" w:rsidP="00FA78B1">
      <w:pPr>
        <w:pStyle w:val="Style2"/>
        <w:numPr>
          <w:ilvl w:val="0"/>
          <w:numId w:val="0"/>
        </w:numPr>
        <w:ind w:left="1134"/>
      </w:pPr>
    </w:p>
    <w:p w14:paraId="070C29CA" w14:textId="09AE7F72" w:rsidR="00FA78B1" w:rsidRPr="007D6263" w:rsidRDefault="00FA78B1" w:rsidP="00FA78B1">
      <w:pPr>
        <w:pStyle w:val="Style2"/>
      </w:pPr>
      <w:r w:rsidRPr="007D6263">
        <w:t xml:space="preserve">The </w:t>
      </w:r>
      <w:r w:rsidR="00B22217">
        <w:t xml:space="preserve">Executive </w:t>
      </w:r>
      <w:r w:rsidRPr="007D6263">
        <w:t xml:space="preserve">Director of Resources will ensure, on behalf of the ICS, that reporting is provided on the utilisation of system resources to the </w:t>
      </w:r>
      <w:r w:rsidR="00161C11">
        <w:t>I</w:t>
      </w:r>
      <w:r w:rsidRPr="007D6263">
        <w:t>CS executive leadership and is available to all system partners.</w:t>
      </w:r>
    </w:p>
    <w:p w14:paraId="6DCAFF2D" w14:textId="77777777" w:rsidR="00D75F22" w:rsidRPr="007D6263" w:rsidRDefault="00D75F22" w:rsidP="00FA78B1">
      <w:pPr>
        <w:pStyle w:val="Style2"/>
        <w:numPr>
          <w:ilvl w:val="0"/>
          <w:numId w:val="0"/>
        </w:numPr>
      </w:pPr>
    </w:p>
    <w:p w14:paraId="2768268E" w14:textId="5920B6A7" w:rsidR="00D75F22" w:rsidRPr="007D6263" w:rsidRDefault="00D75F22" w:rsidP="00D75F22">
      <w:pPr>
        <w:pStyle w:val="Style2"/>
      </w:pPr>
      <w:r w:rsidRPr="007D6263">
        <w:t xml:space="preserve">The </w:t>
      </w:r>
      <w:r w:rsidR="00B22217">
        <w:t xml:space="preserve">Executive </w:t>
      </w:r>
      <w:r w:rsidRPr="007D6263">
        <w:t>Director of Resources and any senior officer responsible for finance within the ICB should also promote a culture where budget holders and decision makers consult their finance business partners in key strategic decisions that carry a financial impact.</w:t>
      </w:r>
    </w:p>
    <w:p w14:paraId="45C19DB8" w14:textId="77777777" w:rsidR="00EE0034" w:rsidRPr="007D6263" w:rsidRDefault="00EE0034" w:rsidP="00FA78B1">
      <w:pPr>
        <w:pStyle w:val="Style2"/>
        <w:numPr>
          <w:ilvl w:val="0"/>
          <w:numId w:val="0"/>
        </w:numPr>
      </w:pPr>
    </w:p>
    <w:p w14:paraId="4E5B0CF9" w14:textId="51C40B0B" w:rsidR="00F913CD" w:rsidRPr="007D6263" w:rsidRDefault="00D0044A" w:rsidP="00732AFE">
      <w:pPr>
        <w:pStyle w:val="Heading3"/>
      </w:pPr>
      <w:bookmarkStart w:id="19" w:name="_Toc130547099"/>
      <w:r w:rsidRPr="007D6263">
        <w:t>Finance &amp; Investment Committee</w:t>
      </w:r>
      <w:bookmarkEnd w:id="19"/>
    </w:p>
    <w:p w14:paraId="07875DC5" w14:textId="6BD0EEC7" w:rsidR="004A6BDA" w:rsidRPr="007D6263" w:rsidRDefault="004A6BDA" w:rsidP="004A6BDA">
      <w:pPr>
        <w:pStyle w:val="Style2"/>
        <w:rPr>
          <w:color w:val="auto"/>
        </w:rPr>
      </w:pPr>
      <w:bookmarkStart w:id="20" w:name="_Hlk110339761"/>
      <w:r w:rsidRPr="007D6263">
        <w:t xml:space="preserve">The Finance &amp; Investment Committee </w:t>
      </w:r>
      <w:r w:rsidR="006410E2" w:rsidRPr="007D6263">
        <w:t>is</w:t>
      </w:r>
      <w:r w:rsidRPr="007D6263">
        <w:t xml:space="preserve"> responsible for </w:t>
      </w:r>
      <w:r w:rsidR="00122A70" w:rsidRPr="007D6263">
        <w:t xml:space="preserve">ensuring financial information systems and processes are established to make </w:t>
      </w:r>
      <w:r w:rsidR="00E965C0">
        <w:t>r</w:t>
      </w:r>
      <w:r w:rsidR="00122A70" w:rsidRPr="007D6263">
        <w:t xml:space="preserve">ecommendations to the Board on financial planning in line with the </w:t>
      </w:r>
      <w:r w:rsidR="005D763F" w:rsidRPr="007D6263">
        <w:t xml:space="preserve">strategy and national guidance (Finance and Investment Committee Terms of Reference). </w:t>
      </w:r>
    </w:p>
    <w:bookmarkEnd w:id="20"/>
    <w:p w14:paraId="453BC0DD" w14:textId="69D1B5D3" w:rsidR="008D0711" w:rsidRPr="007D6263" w:rsidRDefault="008D0711" w:rsidP="008D0711">
      <w:pPr>
        <w:pStyle w:val="Style2"/>
        <w:numPr>
          <w:ilvl w:val="0"/>
          <w:numId w:val="0"/>
        </w:numPr>
        <w:ind w:left="1134"/>
        <w:rPr>
          <w:color w:val="auto"/>
        </w:rPr>
      </w:pPr>
    </w:p>
    <w:p w14:paraId="49775A90" w14:textId="6AD0A8DE" w:rsidR="009D530F" w:rsidRPr="007D6263" w:rsidRDefault="009D530F" w:rsidP="009D530F">
      <w:pPr>
        <w:pStyle w:val="Heading3"/>
      </w:pPr>
      <w:bookmarkStart w:id="21" w:name="_Toc130547100"/>
      <w:r w:rsidRPr="007D6263">
        <w:t>System Finance Leaders Group</w:t>
      </w:r>
      <w:bookmarkEnd w:id="21"/>
    </w:p>
    <w:p w14:paraId="638877B9" w14:textId="56D9D77B" w:rsidR="00710321" w:rsidRPr="007D6263" w:rsidRDefault="00710321" w:rsidP="00710321">
      <w:pPr>
        <w:pStyle w:val="Style2"/>
      </w:pPr>
      <w:r w:rsidRPr="007D6263">
        <w:t>The System Finance Leaders Group is responsible for ensuring the further development of the system by delivery of the key activities identified, including:</w:t>
      </w:r>
    </w:p>
    <w:p w14:paraId="0565DA90" w14:textId="77777777" w:rsidR="00710321" w:rsidRPr="007D6263" w:rsidRDefault="00710321" w:rsidP="00710321">
      <w:pPr>
        <w:pStyle w:val="Style2"/>
        <w:numPr>
          <w:ilvl w:val="0"/>
          <w:numId w:val="0"/>
        </w:numPr>
        <w:ind w:left="1134"/>
      </w:pPr>
    </w:p>
    <w:p w14:paraId="2F7E7E6F" w14:textId="4AF9CECC" w:rsidR="00710321" w:rsidRPr="007D6263" w:rsidRDefault="00710321" w:rsidP="002861D7">
      <w:pPr>
        <w:pStyle w:val="Style2"/>
        <w:numPr>
          <w:ilvl w:val="0"/>
          <w:numId w:val="15"/>
        </w:numPr>
        <w:ind w:left="1560" w:hanging="426"/>
      </w:pPr>
      <w:r w:rsidRPr="007D6263">
        <w:t>Development of system financial governance and working towards having a system control total</w:t>
      </w:r>
      <w:r w:rsidR="00D946CA">
        <w:t>.</w:t>
      </w:r>
    </w:p>
    <w:p w14:paraId="38C4D91E" w14:textId="43AE6F4F" w:rsidR="00710321" w:rsidRPr="007D6263" w:rsidRDefault="00710321" w:rsidP="002861D7">
      <w:pPr>
        <w:pStyle w:val="Style2"/>
        <w:numPr>
          <w:ilvl w:val="0"/>
          <w:numId w:val="15"/>
        </w:numPr>
        <w:ind w:left="1560" w:hanging="426"/>
      </w:pPr>
      <w:r w:rsidRPr="007D6263">
        <w:t>Development of in year financial reporting for the system</w:t>
      </w:r>
      <w:r w:rsidR="00D946CA">
        <w:t>.</w:t>
      </w:r>
    </w:p>
    <w:p w14:paraId="7DFFAA29" w14:textId="15F0FF32" w:rsidR="00710321" w:rsidRPr="007D6263" w:rsidRDefault="00CA440A" w:rsidP="002861D7">
      <w:pPr>
        <w:pStyle w:val="Style2"/>
        <w:numPr>
          <w:ilvl w:val="0"/>
          <w:numId w:val="15"/>
        </w:numPr>
        <w:ind w:left="1560" w:hanging="426"/>
      </w:pPr>
      <w:r>
        <w:t>R</w:t>
      </w:r>
      <w:r w:rsidR="00710321" w:rsidRPr="007D6263">
        <w:t>ecommending approval of the use of all Partnership resources</w:t>
      </w:r>
      <w:r w:rsidR="00D946CA">
        <w:t>.</w:t>
      </w:r>
    </w:p>
    <w:p w14:paraId="02DA2F5E" w14:textId="05ACA375" w:rsidR="009D530F" w:rsidRPr="007D6263" w:rsidRDefault="001F4BCE" w:rsidP="00710321">
      <w:pPr>
        <w:pStyle w:val="Style2"/>
        <w:numPr>
          <w:ilvl w:val="0"/>
          <w:numId w:val="0"/>
        </w:numPr>
        <w:ind w:left="1134"/>
        <w:rPr>
          <w:color w:val="auto"/>
        </w:rPr>
      </w:pPr>
      <w:r w:rsidRPr="007D6263">
        <w:tab/>
      </w:r>
      <w:r w:rsidR="009D530F" w:rsidRPr="007D6263">
        <w:t xml:space="preserve"> </w:t>
      </w:r>
    </w:p>
    <w:p w14:paraId="4B076FAF" w14:textId="6788AB7C" w:rsidR="00710321" w:rsidRPr="007D6263" w:rsidRDefault="00710321" w:rsidP="009D530F">
      <w:pPr>
        <w:pStyle w:val="Style2"/>
        <w:rPr>
          <w:color w:val="auto"/>
        </w:rPr>
      </w:pPr>
      <w:proofErr w:type="gramStart"/>
      <w:r w:rsidRPr="007D6263">
        <w:rPr>
          <w:color w:val="auto"/>
        </w:rPr>
        <w:t>In order to</w:t>
      </w:r>
      <w:proofErr w:type="gramEnd"/>
      <w:r w:rsidRPr="007D6263">
        <w:rPr>
          <w:color w:val="auto"/>
        </w:rPr>
        <w:t xml:space="preserve"> achieve these activities, the System Finance Leaders Group </w:t>
      </w:r>
      <w:r w:rsidR="00D946CA">
        <w:rPr>
          <w:color w:val="auto"/>
        </w:rPr>
        <w:t xml:space="preserve">(SFLG) </w:t>
      </w:r>
      <w:r w:rsidRPr="007D6263">
        <w:rPr>
          <w:color w:val="auto"/>
        </w:rPr>
        <w:t>makes recommendations on the utilisation of system funding allocations as part of the overall financial planning process each year.</w:t>
      </w:r>
    </w:p>
    <w:p w14:paraId="2D395CC9" w14:textId="77777777" w:rsidR="009D530F" w:rsidRPr="007D6263" w:rsidRDefault="009D530F" w:rsidP="008D0711">
      <w:pPr>
        <w:pStyle w:val="Style2"/>
        <w:numPr>
          <w:ilvl w:val="0"/>
          <w:numId w:val="0"/>
        </w:numPr>
        <w:ind w:left="1134"/>
        <w:rPr>
          <w:color w:val="auto"/>
        </w:rPr>
      </w:pPr>
    </w:p>
    <w:p w14:paraId="1C28462F" w14:textId="5C6F0810" w:rsidR="00F913CD" w:rsidRPr="007D6263" w:rsidRDefault="00400E06" w:rsidP="009B07B3">
      <w:pPr>
        <w:pStyle w:val="Heading3"/>
      </w:pPr>
      <w:bookmarkStart w:id="22" w:name="_Toc130547101"/>
      <w:r w:rsidRPr="007D6263">
        <w:t>Executive Directors</w:t>
      </w:r>
      <w:bookmarkEnd w:id="22"/>
    </w:p>
    <w:p w14:paraId="2A954673" w14:textId="6DC8BC4C" w:rsidR="00400E06" w:rsidRPr="007D6263" w:rsidRDefault="0002717C" w:rsidP="00400E06">
      <w:pPr>
        <w:pStyle w:val="Style2"/>
      </w:pPr>
      <w:r w:rsidRPr="007D6263">
        <w:t xml:space="preserve">Directors will work with the </w:t>
      </w:r>
      <w:r w:rsidR="00B61F13">
        <w:t xml:space="preserve">Executive </w:t>
      </w:r>
      <w:r w:rsidR="00D75F22" w:rsidRPr="007D6263">
        <w:t>Director of Resources</w:t>
      </w:r>
      <w:r w:rsidRPr="007D6263">
        <w:t xml:space="preserve"> to </w:t>
      </w:r>
      <w:r w:rsidR="00C16756" w:rsidRPr="007D6263">
        <w:t>compile budgets for their delegated areas of responsibility</w:t>
      </w:r>
      <w:r w:rsidR="009D530F" w:rsidRPr="007D6263">
        <w:t>.</w:t>
      </w:r>
      <w:r w:rsidR="00D61AFA" w:rsidRPr="007D6263">
        <w:t xml:space="preserve"> Directors are responsible for ensuring that </w:t>
      </w:r>
      <w:r w:rsidR="009D530F" w:rsidRPr="007D6263">
        <w:t>expenditure is managed within the allocated budgets for each area which in turn will be funded from the system allocation received at the start of the financial year and through additional allocations made received the financial year</w:t>
      </w:r>
      <w:r w:rsidR="00FE23B5" w:rsidRPr="007D6263">
        <w:t xml:space="preserve">. </w:t>
      </w:r>
      <w:r w:rsidR="001C399A" w:rsidRPr="007D6263">
        <w:t xml:space="preserve"> </w:t>
      </w:r>
    </w:p>
    <w:p w14:paraId="37866B28" w14:textId="77777777" w:rsidR="00FA78B1" w:rsidRPr="007D6263" w:rsidRDefault="00FA78B1" w:rsidP="00FA78B1">
      <w:pPr>
        <w:pStyle w:val="Style2"/>
        <w:numPr>
          <w:ilvl w:val="0"/>
          <w:numId w:val="0"/>
        </w:numPr>
        <w:ind w:left="1134"/>
      </w:pPr>
    </w:p>
    <w:p w14:paraId="10A57CC2" w14:textId="6060872F" w:rsidR="00D75F22" w:rsidRPr="007D6263" w:rsidRDefault="00D75F22" w:rsidP="00D75F22">
      <w:pPr>
        <w:pStyle w:val="Style2"/>
      </w:pPr>
      <w:r w:rsidRPr="007D6263">
        <w:t>Any senior officer responsible for finance within the ICB should promote a culture where budget holders and decision makers consult their finance business partners in key strategic decisions that carry a financial impact.</w:t>
      </w:r>
    </w:p>
    <w:p w14:paraId="79501794" w14:textId="77777777" w:rsidR="00D75F22" w:rsidRPr="007D6263" w:rsidRDefault="00D75F22" w:rsidP="00D75F22">
      <w:pPr>
        <w:pStyle w:val="Style2"/>
        <w:numPr>
          <w:ilvl w:val="0"/>
          <w:numId w:val="0"/>
        </w:numPr>
      </w:pPr>
    </w:p>
    <w:p w14:paraId="0079C255" w14:textId="397B9BFF" w:rsidR="00F913CD" w:rsidRPr="007D6263" w:rsidRDefault="00D75F22" w:rsidP="00250FB0">
      <w:pPr>
        <w:pStyle w:val="Heading2"/>
      </w:pPr>
      <w:bookmarkStart w:id="23" w:name="_Toc130547102"/>
      <w:r w:rsidRPr="007D6263">
        <w:t>Policy Detail</w:t>
      </w:r>
      <w:bookmarkEnd w:id="23"/>
    </w:p>
    <w:p w14:paraId="5A20E99B" w14:textId="6BAAC906" w:rsidR="00F913CD" w:rsidRPr="007D6263" w:rsidRDefault="00D75F22" w:rsidP="00C4088C">
      <w:pPr>
        <w:pStyle w:val="Heading3"/>
      </w:pPr>
      <w:bookmarkStart w:id="24" w:name="_Toc130547103"/>
      <w:r w:rsidRPr="007D6263">
        <w:t xml:space="preserve">Revenue </w:t>
      </w:r>
      <w:r w:rsidR="00775400" w:rsidRPr="007D6263">
        <w:t>Allocations</w:t>
      </w:r>
      <w:bookmarkEnd w:id="24"/>
    </w:p>
    <w:p w14:paraId="3D6C1A88" w14:textId="36585EFE" w:rsidR="00710321" w:rsidRPr="007D6263" w:rsidRDefault="00775400" w:rsidP="00775400">
      <w:pPr>
        <w:pStyle w:val="Style2"/>
      </w:pPr>
      <w:bookmarkStart w:id="25" w:name="_Hlk110340057"/>
      <w:r w:rsidRPr="007D6263">
        <w:t xml:space="preserve">The NHSE allocations process uses a formula to make geographic distribution fair </w:t>
      </w:r>
      <w:r w:rsidR="007B1D00" w:rsidRPr="007D6263">
        <w:t xml:space="preserve">and objective to reflect local healthcare needs. </w:t>
      </w:r>
    </w:p>
    <w:p w14:paraId="7740F68F" w14:textId="77777777" w:rsidR="00710321" w:rsidRPr="007D6263" w:rsidRDefault="00710321" w:rsidP="00710321">
      <w:pPr>
        <w:pStyle w:val="Style2"/>
        <w:numPr>
          <w:ilvl w:val="0"/>
          <w:numId w:val="0"/>
        </w:numPr>
        <w:ind w:left="1134"/>
      </w:pPr>
    </w:p>
    <w:p w14:paraId="51E55B6E" w14:textId="3F7357CE" w:rsidR="00775400" w:rsidRPr="007D6263" w:rsidRDefault="00710321" w:rsidP="00775400">
      <w:pPr>
        <w:pStyle w:val="Style2"/>
      </w:pPr>
      <w:r w:rsidRPr="007D6263">
        <w:t xml:space="preserve">Allocations are received </w:t>
      </w:r>
      <w:r w:rsidR="0069333A" w:rsidRPr="007D6263">
        <w:t xml:space="preserve">by the ICB </w:t>
      </w:r>
      <w:r w:rsidRPr="007D6263">
        <w:t xml:space="preserve">in the following </w:t>
      </w:r>
      <w:r w:rsidR="0069333A" w:rsidRPr="007D6263">
        <w:t>categories</w:t>
      </w:r>
      <w:r w:rsidRPr="007D6263">
        <w:t>:</w:t>
      </w:r>
    </w:p>
    <w:p w14:paraId="6C13A9D9" w14:textId="7AC405A5" w:rsidR="00710321" w:rsidRPr="007D6263" w:rsidRDefault="00710321" w:rsidP="00710321">
      <w:pPr>
        <w:pStyle w:val="ListParagraph"/>
      </w:pPr>
      <w:r w:rsidRPr="007D6263">
        <w:t>Revenue Allocations, received either as an annual allocation at the star</w:t>
      </w:r>
      <w:r w:rsidR="00302775" w:rsidRPr="007D6263">
        <w:t>t</w:t>
      </w:r>
      <w:r w:rsidRPr="007D6263">
        <w:t xml:space="preserve"> of the financial year or as further allocations during the year</w:t>
      </w:r>
      <w:r w:rsidR="00E72F72" w:rsidRPr="007D6263">
        <w:t xml:space="preserve"> (usually in addition to the opening agreed budget)</w:t>
      </w:r>
      <w:r w:rsidR="0005076C">
        <w:t>:</w:t>
      </w:r>
    </w:p>
    <w:p w14:paraId="391A14B7" w14:textId="6743E477" w:rsidR="00710321" w:rsidRPr="007D6263" w:rsidRDefault="00710321" w:rsidP="00DB46D1">
      <w:pPr>
        <w:pStyle w:val="ListParagraph"/>
        <w:numPr>
          <w:ilvl w:val="0"/>
          <w:numId w:val="18"/>
        </w:numPr>
        <w:ind w:left="2127" w:hanging="284"/>
      </w:pPr>
      <w:r w:rsidRPr="007D6263">
        <w:t>Annual recurrent allocations, representing the baseline allocations for the system, adjusted for nationally set methodologies to ensure that funding is in line with the national fair shares allocation calculations where different</w:t>
      </w:r>
      <w:r w:rsidR="0005076C">
        <w:t>.</w:t>
      </w:r>
    </w:p>
    <w:p w14:paraId="62FD4414" w14:textId="32A084CB" w:rsidR="00710321" w:rsidRPr="007D6263" w:rsidRDefault="00710321" w:rsidP="00DB46D1">
      <w:pPr>
        <w:pStyle w:val="ListParagraph"/>
        <w:numPr>
          <w:ilvl w:val="0"/>
          <w:numId w:val="18"/>
        </w:numPr>
        <w:ind w:left="2127" w:hanging="284"/>
      </w:pPr>
      <w:r w:rsidRPr="007D6263">
        <w:t>Annual recurrent growth allocations</w:t>
      </w:r>
      <w:r w:rsidR="0005076C">
        <w:t>.</w:t>
      </w:r>
    </w:p>
    <w:p w14:paraId="3EF3F4DE" w14:textId="5313383C" w:rsidR="00710321" w:rsidRPr="007D6263" w:rsidRDefault="00710321" w:rsidP="00DB46D1">
      <w:pPr>
        <w:pStyle w:val="ListParagraph"/>
        <w:numPr>
          <w:ilvl w:val="0"/>
          <w:numId w:val="18"/>
        </w:numPr>
        <w:ind w:left="2127" w:hanging="284"/>
      </w:pPr>
      <w:r w:rsidRPr="007D6263">
        <w:t>Annual System Development Funding (SDF)</w:t>
      </w:r>
      <w:r w:rsidR="0005076C">
        <w:t>.</w:t>
      </w:r>
      <w:r w:rsidRPr="007D6263">
        <w:t xml:space="preserve"> </w:t>
      </w:r>
    </w:p>
    <w:p w14:paraId="1B202362" w14:textId="33BD6E38" w:rsidR="00710321" w:rsidRDefault="00710321" w:rsidP="00DB46D1">
      <w:pPr>
        <w:pStyle w:val="ListParagraph"/>
        <w:numPr>
          <w:ilvl w:val="0"/>
          <w:numId w:val="18"/>
        </w:numPr>
        <w:ind w:left="2127" w:hanging="284"/>
      </w:pPr>
      <w:r w:rsidRPr="007D6263">
        <w:t xml:space="preserve">Other non-recurrent allocations, representing allocations for operational need, either one-off specific allocations or recurring allocations for which the calculation changes annually (and hence the allocation is made non-recurrently). </w:t>
      </w:r>
    </w:p>
    <w:p w14:paraId="51BA1A4B" w14:textId="35C05A2C" w:rsidR="00B5689C" w:rsidRPr="007D6263" w:rsidRDefault="00B5689C" w:rsidP="00B5689C">
      <w:pPr>
        <w:pStyle w:val="ListParagraph"/>
      </w:pPr>
      <w:r w:rsidRPr="00B5689C">
        <w:t>Capital Allocations. The ICB does not receive a capital allocation, with Primary Care capital held in the ledgers of NHS England. Any utilisation of such allocations is covered in the Capital Investment Policy(</w:t>
      </w:r>
      <w:proofErr w:type="spellStart"/>
      <w:r w:rsidRPr="00B5689C">
        <w:t>ies</w:t>
      </w:r>
      <w:proofErr w:type="spellEnd"/>
      <w:r w:rsidRPr="00B5689C">
        <w:t>) of NHS England.</w:t>
      </w:r>
    </w:p>
    <w:p w14:paraId="5E81AC7B" w14:textId="77777777" w:rsidR="00146EC8" w:rsidRPr="007D6263" w:rsidRDefault="00146EC8" w:rsidP="00146EC8">
      <w:pPr>
        <w:pStyle w:val="Heading3"/>
      </w:pPr>
      <w:bookmarkStart w:id="26" w:name="_Toc130547104"/>
      <w:bookmarkEnd w:id="25"/>
      <w:r w:rsidRPr="007D6263">
        <w:t>Distribution of allocations</w:t>
      </w:r>
      <w:bookmarkEnd w:id="26"/>
    </w:p>
    <w:p w14:paraId="6D543A59" w14:textId="534F6A42" w:rsidR="007D6263" w:rsidRPr="007D6263" w:rsidRDefault="007D6263" w:rsidP="00146EC8">
      <w:pPr>
        <w:pStyle w:val="Style2"/>
      </w:pPr>
      <w:r w:rsidRPr="007D6263">
        <w:t xml:space="preserve">Through the ICB, MSE are allocated a healthcare resource to secure the provision of healthcare services for the local population. The ambition is for this resource to be used in a way that achieves the best outcomes for patients, securing the maximum amount of care within the available resources.  </w:t>
      </w:r>
    </w:p>
    <w:p w14:paraId="28AC3E9E" w14:textId="77777777" w:rsidR="007D6263" w:rsidRPr="007D6263" w:rsidRDefault="007D6263" w:rsidP="007D6263">
      <w:pPr>
        <w:pStyle w:val="Style2"/>
        <w:numPr>
          <w:ilvl w:val="0"/>
          <w:numId w:val="0"/>
        </w:numPr>
        <w:ind w:left="1134"/>
      </w:pPr>
    </w:p>
    <w:p w14:paraId="2FC2CE0A" w14:textId="353CC567" w:rsidR="00146EC8" w:rsidRPr="007D6263" w:rsidRDefault="00146EC8" w:rsidP="00146EC8">
      <w:pPr>
        <w:pStyle w:val="Style2"/>
      </w:pPr>
      <w:bookmarkStart w:id="27" w:name="_Hlk110340250"/>
      <w:r w:rsidRPr="007D6263">
        <w:t>Annual Recurrent Allocations</w:t>
      </w:r>
      <w:r w:rsidR="004B750C">
        <w:t xml:space="preserve"> -</w:t>
      </w:r>
      <w:r w:rsidRPr="007D6263">
        <w:t xml:space="preserve"> </w:t>
      </w:r>
      <w:r w:rsidR="00996482" w:rsidRPr="007D6263">
        <w:t>the baseline allocations will be distributed in line with the prior year position used to inform the baseline position. This will largely provide funding for the ICB to use as determined by ICB leaders, with funding passing to other system partners transferred via contractual arrangements in place. This funding may include specific pass-through funding for nationally identified allocations included, but not limited to, top-up funding and other recurrent allocations.</w:t>
      </w:r>
    </w:p>
    <w:p w14:paraId="3A7C1A0A" w14:textId="77777777" w:rsidR="00817D6B" w:rsidRPr="007D6263" w:rsidRDefault="00817D6B" w:rsidP="00817D6B">
      <w:pPr>
        <w:pStyle w:val="Style2"/>
        <w:numPr>
          <w:ilvl w:val="0"/>
          <w:numId w:val="0"/>
        </w:numPr>
        <w:ind w:left="1134"/>
      </w:pPr>
    </w:p>
    <w:p w14:paraId="3F51F0A9" w14:textId="2E19D70F" w:rsidR="00817D6B" w:rsidRPr="007D6263" w:rsidRDefault="00996482" w:rsidP="00817D6B">
      <w:pPr>
        <w:pStyle w:val="Style2"/>
      </w:pPr>
      <w:r w:rsidRPr="007D6263">
        <w:t xml:space="preserve">Annual Recurrent Growth </w:t>
      </w:r>
      <w:proofErr w:type="gramStart"/>
      <w:r w:rsidRPr="007D6263">
        <w:t>Allocations;</w:t>
      </w:r>
      <w:proofErr w:type="gramEnd"/>
      <w:r w:rsidRPr="007D6263">
        <w:t xml:space="preserve"> additional funding received by the ICB on behalf of the system will be allocated as follows:</w:t>
      </w:r>
    </w:p>
    <w:p w14:paraId="01EB6A19" w14:textId="77777777" w:rsidR="00817D6B" w:rsidRPr="007D6263" w:rsidRDefault="00817D6B" w:rsidP="00817D6B">
      <w:pPr>
        <w:pStyle w:val="Style2"/>
        <w:numPr>
          <w:ilvl w:val="0"/>
          <w:numId w:val="0"/>
        </w:numPr>
        <w:ind w:left="1134"/>
      </w:pPr>
    </w:p>
    <w:p w14:paraId="24EDC474" w14:textId="6492D943" w:rsidR="00996482" w:rsidRPr="007D6263" w:rsidRDefault="00996482" w:rsidP="002861D7">
      <w:pPr>
        <w:pStyle w:val="Style2"/>
        <w:numPr>
          <w:ilvl w:val="3"/>
          <w:numId w:val="2"/>
        </w:numPr>
      </w:pPr>
      <w:r w:rsidRPr="007D6263">
        <w:t>Inflationary growth funding</w:t>
      </w:r>
      <w:r w:rsidR="00161C11">
        <w:t xml:space="preserve"> will be</w:t>
      </w:r>
      <w:r w:rsidRPr="007D6263">
        <w:t xml:space="preserve"> distributed using inflationary indices as directed by </w:t>
      </w:r>
      <w:proofErr w:type="gramStart"/>
      <w:r w:rsidRPr="007D6263">
        <w:t>NHSE/I</w:t>
      </w:r>
      <w:proofErr w:type="gramEnd"/>
      <w:r w:rsidRPr="007D6263">
        <w:t xml:space="preserve"> planning guidance or, with agreement</w:t>
      </w:r>
      <w:r w:rsidR="00C8645E">
        <w:t xml:space="preserve"> by all system partners at SFLG</w:t>
      </w:r>
      <w:r w:rsidRPr="007D6263">
        <w:t xml:space="preserve">, using other indices as </w:t>
      </w:r>
      <w:r w:rsidR="00C8645E">
        <w:t>appropriate</w:t>
      </w:r>
      <w:r w:rsidR="00161C11">
        <w:t xml:space="preserve">. Funding to </w:t>
      </w:r>
      <w:r w:rsidR="00161C11" w:rsidRPr="007D6263">
        <w:t>system partners</w:t>
      </w:r>
      <w:r w:rsidR="00161C11">
        <w:t xml:space="preserve"> will be made via uplifts to contracts between the ICB and those partners</w:t>
      </w:r>
      <w:r w:rsidR="00161C11" w:rsidRPr="007D6263">
        <w:t xml:space="preserve"> and </w:t>
      </w:r>
      <w:r w:rsidR="00161C11">
        <w:t>for other ICB held</w:t>
      </w:r>
      <w:r w:rsidR="00161C11" w:rsidRPr="007D6263">
        <w:t xml:space="preserve"> budgets </w:t>
      </w:r>
      <w:r w:rsidR="00161C11">
        <w:t>through budget adjustments.</w:t>
      </w:r>
    </w:p>
    <w:p w14:paraId="3EB9140D" w14:textId="77777777" w:rsidR="00817D6B" w:rsidRPr="007D6263" w:rsidRDefault="00817D6B" w:rsidP="00817D6B">
      <w:pPr>
        <w:pStyle w:val="Style2"/>
        <w:numPr>
          <w:ilvl w:val="0"/>
          <w:numId w:val="0"/>
        </w:numPr>
        <w:ind w:left="1134"/>
      </w:pPr>
    </w:p>
    <w:p w14:paraId="24D1B793" w14:textId="52C689DF" w:rsidR="00817D6B" w:rsidRPr="007D6263" w:rsidRDefault="00996482" w:rsidP="002861D7">
      <w:pPr>
        <w:pStyle w:val="Style2"/>
        <w:numPr>
          <w:ilvl w:val="3"/>
          <w:numId w:val="2"/>
        </w:numPr>
      </w:pPr>
      <w:r w:rsidRPr="007D6263">
        <w:t>Other generic growth funding, including activity related inflationary funding, to be held by the ICB on behalf of the system</w:t>
      </w:r>
      <w:r w:rsidR="00302775" w:rsidRPr="007D6263">
        <w:t>. The principle for financial planning is to set a system operating budget and in the first instance productivity will drive the resource requirement for growth. Any residual growth funding will in the first instance be used to mitigate growth in the deficit position. Any such residual allocation will</w:t>
      </w:r>
      <w:r w:rsidRPr="007D6263">
        <w:t xml:space="preserve"> be utilised as </w:t>
      </w:r>
      <w:r w:rsidR="00C8645E">
        <w:t xml:space="preserve">agreed </w:t>
      </w:r>
      <w:r w:rsidRPr="007D6263">
        <w:t xml:space="preserve">by </w:t>
      </w:r>
      <w:r w:rsidR="00C8645E">
        <w:t xml:space="preserve">systems partners at </w:t>
      </w:r>
      <w:r w:rsidRPr="007D6263">
        <w:t>SFL</w:t>
      </w:r>
      <w:r w:rsidR="00817D6B" w:rsidRPr="007D6263">
        <w:t>G.</w:t>
      </w:r>
    </w:p>
    <w:p w14:paraId="6F44287A" w14:textId="77777777" w:rsidR="00817D6B" w:rsidRPr="007D6263" w:rsidRDefault="00817D6B" w:rsidP="00817D6B">
      <w:pPr>
        <w:pStyle w:val="Style2"/>
        <w:numPr>
          <w:ilvl w:val="0"/>
          <w:numId w:val="0"/>
        </w:numPr>
        <w:ind w:left="1134"/>
      </w:pPr>
    </w:p>
    <w:p w14:paraId="32315D57" w14:textId="6ED2D6E2" w:rsidR="00817D6B" w:rsidRPr="007D6263" w:rsidRDefault="00996482" w:rsidP="002861D7">
      <w:pPr>
        <w:pStyle w:val="Style2"/>
        <w:numPr>
          <w:ilvl w:val="3"/>
          <w:numId w:val="2"/>
        </w:numPr>
      </w:pPr>
      <w:r w:rsidRPr="007D6263">
        <w:t xml:space="preserve">Other specific allocations included within the growth funding, as set out in NHSE/I </w:t>
      </w:r>
      <w:proofErr w:type="gramStart"/>
      <w:r w:rsidRPr="007D6263">
        <w:t>planning</w:t>
      </w:r>
      <w:proofErr w:type="gramEnd"/>
      <w:r w:rsidRPr="007D6263">
        <w:t xml:space="preserve"> guidance, to be distributed to the relevant partner(s) within the system. Allocations where the ultimate utilisation is not confirmed at the time of finalising financial plans will be held by the ICB on behalf of the system pending confirmation of how that funding will be used.</w:t>
      </w:r>
    </w:p>
    <w:p w14:paraId="09D10173" w14:textId="77777777" w:rsidR="00817D6B" w:rsidRPr="007D6263" w:rsidRDefault="00817D6B" w:rsidP="00817D6B">
      <w:pPr>
        <w:pStyle w:val="Style2"/>
        <w:numPr>
          <w:ilvl w:val="0"/>
          <w:numId w:val="0"/>
        </w:numPr>
        <w:ind w:left="1134"/>
      </w:pPr>
    </w:p>
    <w:p w14:paraId="274B1E3F" w14:textId="22A62C7E" w:rsidR="00996482" w:rsidRPr="00CC7D22" w:rsidRDefault="00996482" w:rsidP="00996482">
      <w:pPr>
        <w:pStyle w:val="Style2"/>
      </w:pPr>
      <w:r w:rsidRPr="007D6263">
        <w:t>Annual System Development Funding (SDF)</w:t>
      </w:r>
      <w:r w:rsidR="00DD701C">
        <w:t>:</w:t>
      </w:r>
      <w:r w:rsidRPr="007D6263">
        <w:t xml:space="preserve"> SDF funding will in the first instance be held by the ICB on behalf of the system pending confirmation of how that funding will be used. Funding will be passed to the relevant system partner(s) </w:t>
      </w:r>
      <w:r w:rsidRPr="00CC7D22">
        <w:t xml:space="preserve">as appropriate or incurred directly by the ICB where the ICB is the responsible system partner. </w:t>
      </w:r>
      <w:r w:rsidR="00AD7E17" w:rsidRPr="00CC7D22">
        <w:t xml:space="preserve">Utilisation confirmed at the time of finalising the annual financial plans will be included in plans accordingly. Utilisation not confirmed at the time of finalising the annual financial plans will be held by the ICB on behalf of the system until utilisation plans are confirmed. </w:t>
      </w:r>
    </w:p>
    <w:p w14:paraId="46224814" w14:textId="77777777" w:rsidR="00817D6B" w:rsidRPr="00CC7D22" w:rsidRDefault="00817D6B" w:rsidP="00817D6B">
      <w:pPr>
        <w:pStyle w:val="Style2"/>
        <w:numPr>
          <w:ilvl w:val="0"/>
          <w:numId w:val="0"/>
        </w:numPr>
        <w:ind w:left="1134"/>
      </w:pPr>
    </w:p>
    <w:p w14:paraId="0E417721" w14:textId="49F1D1D2" w:rsidR="00817D6B" w:rsidRPr="00CC7D22" w:rsidRDefault="00AD7E17" w:rsidP="00817D6B">
      <w:pPr>
        <w:pStyle w:val="Style2"/>
      </w:pPr>
      <w:r w:rsidRPr="00CC7D22">
        <w:t xml:space="preserve">Other non-recurrent </w:t>
      </w:r>
      <w:proofErr w:type="gramStart"/>
      <w:r w:rsidRPr="00CC7D22">
        <w:t>allocations;</w:t>
      </w:r>
      <w:proofErr w:type="gramEnd"/>
      <w:r w:rsidRPr="00CC7D22">
        <w:t xml:space="preserve"> any further allocations will be distributed as directed by SFLG and will be passed to the relevant system partner(s) as appropriate or incurred directly by the ICB where the ICB is the responsible system partner. Utilisation confirmed at the time of finalising the annual financial plans will be included in plans accordingly. Utilisation not confirmed at the time of finalising the annual financial plans will be held by the ICB on behalf of the system until utilisation plans are confirmed.</w:t>
      </w:r>
    </w:p>
    <w:p w14:paraId="63D8C66F" w14:textId="77777777" w:rsidR="00817D6B" w:rsidRPr="00CC7D22" w:rsidRDefault="00817D6B" w:rsidP="00817D6B">
      <w:pPr>
        <w:pStyle w:val="Style2"/>
        <w:numPr>
          <w:ilvl w:val="0"/>
          <w:numId w:val="0"/>
        </w:numPr>
        <w:ind w:left="1134"/>
      </w:pPr>
    </w:p>
    <w:p w14:paraId="0556058E" w14:textId="23386627" w:rsidR="00996482" w:rsidRPr="00CC7D22" w:rsidRDefault="00AD7E17" w:rsidP="00996482">
      <w:pPr>
        <w:pStyle w:val="Style2"/>
      </w:pPr>
      <w:r w:rsidRPr="00CC7D22">
        <w:t>Further allocations received after the submission and approval of the annual financial plans will follow the same principles as set out in sections 6.2.1 to 6.2.4 above, with the ICB as the host organisation on behalf of the system. SFLG will be responsible for providing direction for the distribution of non-specific allocations fairly across system partners. Where there are options identified for distribution of allocations that are not unanimously agreed by SFLG members, a recommendation will be made to the ICB Finance &amp; Investment Committee for decision.</w:t>
      </w:r>
    </w:p>
    <w:bookmarkEnd w:id="27"/>
    <w:p w14:paraId="5F6729ED" w14:textId="77777777" w:rsidR="00146EC8" w:rsidRPr="00CC7D22" w:rsidRDefault="00146EC8" w:rsidP="00146EC8">
      <w:pPr>
        <w:pStyle w:val="Style2"/>
        <w:numPr>
          <w:ilvl w:val="0"/>
          <w:numId w:val="0"/>
        </w:numPr>
        <w:ind w:left="1134"/>
      </w:pPr>
    </w:p>
    <w:p w14:paraId="4D16C649" w14:textId="77777777" w:rsidR="00124D95" w:rsidRPr="00CC7D22" w:rsidRDefault="00AD7E17" w:rsidP="00124D95">
      <w:pPr>
        <w:pStyle w:val="Heading3"/>
      </w:pPr>
      <w:bookmarkStart w:id="28" w:name="_Hlk110340770"/>
      <w:bookmarkStart w:id="29" w:name="_Toc130547105"/>
      <w:r w:rsidRPr="00CC7D22">
        <w:t xml:space="preserve">System </w:t>
      </w:r>
      <w:r w:rsidR="00116A11" w:rsidRPr="00CC7D22">
        <w:t xml:space="preserve">Headline Monthly </w:t>
      </w:r>
      <w:r w:rsidRPr="00CC7D22">
        <w:t>Reporting</w:t>
      </w:r>
      <w:bookmarkEnd w:id="29"/>
    </w:p>
    <w:bookmarkEnd w:id="28"/>
    <w:p w14:paraId="5BB758A3" w14:textId="77777777" w:rsidR="00E73FAA" w:rsidRPr="007D6263" w:rsidRDefault="00E73FAA" w:rsidP="00E73FAA">
      <w:pPr>
        <w:pStyle w:val="Style2"/>
        <w:numPr>
          <w:ilvl w:val="0"/>
          <w:numId w:val="0"/>
        </w:numPr>
        <w:ind w:left="1134"/>
      </w:pPr>
    </w:p>
    <w:p w14:paraId="5476F1B4" w14:textId="33D60D74" w:rsidR="00460E7A" w:rsidRPr="007D6263" w:rsidRDefault="00865EB9" w:rsidP="00165CF2">
      <w:pPr>
        <w:pStyle w:val="Style2"/>
      </w:pPr>
      <w:bookmarkStart w:id="30" w:name="_Hlk110340808"/>
      <w:r w:rsidRPr="007D6263">
        <w:t xml:space="preserve">Each individual system partner organisation will continue to report as appropriate within those organisations in line with their organisational governance and policy framework. For the ICB, the ICB </w:t>
      </w:r>
      <w:hyperlink r:id="rId10" w:history="1">
        <w:r w:rsidRPr="006E4AB3">
          <w:rPr>
            <w:rStyle w:val="Hyperlink"/>
          </w:rPr>
          <w:t>Accounting &amp; Financial Management Policy</w:t>
        </w:r>
      </w:hyperlink>
      <w:r w:rsidRPr="007D6263">
        <w:t xml:space="preserve"> sets out the framework for internal budget management of the ICB</w:t>
      </w:r>
      <w:r w:rsidR="009943B1" w:rsidRPr="007D6263">
        <w:t>.</w:t>
      </w:r>
    </w:p>
    <w:p w14:paraId="377B1F6F" w14:textId="77777777" w:rsidR="00865EB9" w:rsidRPr="007D6263" w:rsidRDefault="00865EB9" w:rsidP="00865EB9">
      <w:pPr>
        <w:pStyle w:val="Style2"/>
        <w:numPr>
          <w:ilvl w:val="0"/>
          <w:numId w:val="0"/>
        </w:numPr>
        <w:ind w:left="1134"/>
      </w:pPr>
    </w:p>
    <w:p w14:paraId="0B757269" w14:textId="7DF7D826" w:rsidR="00865EB9" w:rsidRPr="007D6263" w:rsidRDefault="00865EB9" w:rsidP="00165CF2">
      <w:pPr>
        <w:pStyle w:val="Style2"/>
      </w:pPr>
      <w:bookmarkStart w:id="31" w:name="_Hlk110340001"/>
      <w:r w:rsidRPr="007D6263">
        <w:t>System reporting will be developed to meet the needs of both the system leadership and each partner organisation who will be expected to report on both their organisational financial position and the overall system financial position through their relevant governance framework</w:t>
      </w:r>
      <w:bookmarkEnd w:id="31"/>
      <w:r w:rsidRPr="007D6263">
        <w:t>s. This will be updated on an ongoing basis to ensure that key financial reporting, including headline analysis of associated workforce and activity performance, meets the needs of system partners</w:t>
      </w:r>
      <w:r w:rsidR="003B0C64">
        <w:t>.</w:t>
      </w:r>
    </w:p>
    <w:bookmarkEnd w:id="30"/>
    <w:p w14:paraId="4F3F8FA8" w14:textId="77777777" w:rsidR="00460E7A" w:rsidRPr="007D6263" w:rsidRDefault="00460E7A" w:rsidP="00165CF2">
      <w:pPr>
        <w:pStyle w:val="Style2"/>
        <w:numPr>
          <w:ilvl w:val="0"/>
          <w:numId w:val="0"/>
        </w:numPr>
        <w:ind w:left="1134"/>
      </w:pPr>
    </w:p>
    <w:p w14:paraId="01803C90" w14:textId="7E03D273" w:rsidR="00A727D3" w:rsidRPr="007D6263" w:rsidRDefault="009943B1" w:rsidP="00A727D3">
      <w:pPr>
        <w:pStyle w:val="Style2"/>
      </w:pPr>
      <w:r w:rsidRPr="007D6263">
        <w:t>The system reporting will include, but not</w:t>
      </w:r>
      <w:r w:rsidR="002861D7" w:rsidRPr="007D6263">
        <w:t xml:space="preserve"> be</w:t>
      </w:r>
      <w:r w:rsidRPr="007D6263">
        <w:t xml:space="preserve"> limited to, the following key elements:</w:t>
      </w:r>
    </w:p>
    <w:p w14:paraId="1561CEF7" w14:textId="282C1554" w:rsidR="009943B1" w:rsidRPr="007D6263" w:rsidRDefault="009943B1" w:rsidP="009943B1">
      <w:pPr>
        <w:pStyle w:val="ListParagraph"/>
      </w:pPr>
      <w:r w:rsidRPr="007D6263">
        <w:t>System allocation position</w:t>
      </w:r>
      <w:r w:rsidR="003B0C64">
        <w:t>.</w:t>
      </w:r>
    </w:p>
    <w:p w14:paraId="2A1626EE" w14:textId="3E3B042B" w:rsidR="009943B1" w:rsidRPr="007D6263" w:rsidRDefault="009943B1" w:rsidP="009943B1">
      <w:pPr>
        <w:pStyle w:val="ListParagraph"/>
      </w:pPr>
      <w:r w:rsidRPr="007D6263">
        <w:t>Headline income and expenditure (I&amp;E) position, both year to date and forecast</w:t>
      </w:r>
      <w:r w:rsidR="003B0C64">
        <w:t>.</w:t>
      </w:r>
    </w:p>
    <w:p w14:paraId="3282368B" w14:textId="791BB87D" w:rsidR="009943B1" w:rsidRPr="007D6263" w:rsidRDefault="009943B1" w:rsidP="009943B1">
      <w:pPr>
        <w:pStyle w:val="ListParagraph"/>
      </w:pPr>
      <w:r w:rsidRPr="007D6263">
        <w:t>Organisational key headlines (narrative)</w:t>
      </w:r>
      <w:r w:rsidR="003B0C64">
        <w:t>.</w:t>
      </w:r>
    </w:p>
    <w:p w14:paraId="1859E0A4" w14:textId="37818F91" w:rsidR="009943B1" w:rsidRPr="007D6263" w:rsidRDefault="009943B1" w:rsidP="009943B1">
      <w:pPr>
        <w:pStyle w:val="ListParagraph"/>
      </w:pPr>
      <w:r w:rsidRPr="007D6263">
        <w:t>Forecast trend analysis</w:t>
      </w:r>
      <w:r w:rsidR="003B0C64">
        <w:t>.</w:t>
      </w:r>
    </w:p>
    <w:p w14:paraId="273E7BFE" w14:textId="006D86C5" w:rsidR="009943B1" w:rsidRPr="007D6263" w:rsidRDefault="009943B1" w:rsidP="009943B1">
      <w:pPr>
        <w:pStyle w:val="ListParagraph"/>
      </w:pPr>
      <w:r w:rsidRPr="007D6263">
        <w:t>Updates on the system efficiency programme</w:t>
      </w:r>
      <w:r w:rsidR="003B0C64">
        <w:t>.</w:t>
      </w:r>
    </w:p>
    <w:p w14:paraId="0EB9CDC6" w14:textId="04D7E5EC" w:rsidR="009943B1" w:rsidRPr="00CC7D22" w:rsidRDefault="009943B1" w:rsidP="009943B1">
      <w:pPr>
        <w:pStyle w:val="ListParagraph"/>
      </w:pPr>
      <w:r w:rsidRPr="007D6263">
        <w:t xml:space="preserve">Headline </w:t>
      </w:r>
      <w:r w:rsidRPr="00CC7D22">
        <w:t>workforce analysis</w:t>
      </w:r>
      <w:r w:rsidR="003B0C64">
        <w:t>.</w:t>
      </w:r>
    </w:p>
    <w:p w14:paraId="35B94188" w14:textId="699C449B" w:rsidR="009943B1" w:rsidRPr="00CC7D22" w:rsidRDefault="009943B1" w:rsidP="009943B1">
      <w:pPr>
        <w:pStyle w:val="ListParagraph"/>
      </w:pPr>
      <w:r w:rsidRPr="00CC7D22">
        <w:t>Headline activity analysis</w:t>
      </w:r>
      <w:r w:rsidR="003B0C64">
        <w:t>.</w:t>
      </w:r>
    </w:p>
    <w:p w14:paraId="7585363D" w14:textId="71E855CB" w:rsidR="001A6E9E" w:rsidRPr="00CC7D22" w:rsidRDefault="009943B1" w:rsidP="001A6E9E">
      <w:pPr>
        <w:pStyle w:val="ListParagraph"/>
      </w:pPr>
      <w:r w:rsidRPr="00CC7D22">
        <w:t>Risk and opportunities analysis</w:t>
      </w:r>
      <w:r w:rsidR="003B0C64">
        <w:t>.</w:t>
      </w:r>
    </w:p>
    <w:p w14:paraId="6FFE74FD" w14:textId="793034BE" w:rsidR="001A6E9E" w:rsidRPr="00CC7D22" w:rsidRDefault="001A6E9E" w:rsidP="001A6E9E">
      <w:pPr>
        <w:pStyle w:val="ListParagraph"/>
      </w:pPr>
      <w:bookmarkStart w:id="32" w:name="_Hlk110341329"/>
      <w:r w:rsidRPr="00CC7D22">
        <w:t>Reporting on recovery as appropriate</w:t>
      </w:r>
      <w:r w:rsidR="003B0C64">
        <w:t>.</w:t>
      </w:r>
    </w:p>
    <w:bookmarkEnd w:id="32"/>
    <w:p w14:paraId="1D422324" w14:textId="0FDAF504" w:rsidR="009943B1" w:rsidRPr="007D6263" w:rsidRDefault="009943B1" w:rsidP="001A6E9E">
      <w:pPr>
        <w:pStyle w:val="ListParagraph"/>
        <w:numPr>
          <w:ilvl w:val="0"/>
          <w:numId w:val="0"/>
        </w:numPr>
        <w:ind w:left="1474"/>
      </w:pPr>
    </w:p>
    <w:p w14:paraId="43A46920" w14:textId="61C34DE5" w:rsidR="009943B1" w:rsidRPr="007D6263" w:rsidRDefault="009943B1" w:rsidP="00A727D3">
      <w:pPr>
        <w:pStyle w:val="Style2"/>
      </w:pPr>
      <w:r w:rsidRPr="007D6263">
        <w:t xml:space="preserve">The system reporting </w:t>
      </w:r>
      <w:r w:rsidR="00116A11" w:rsidRPr="007D6263">
        <w:t xml:space="preserve">will </w:t>
      </w:r>
      <w:r w:rsidRPr="007D6263">
        <w:t xml:space="preserve">utilise NHSE/I </w:t>
      </w:r>
      <w:proofErr w:type="gramStart"/>
      <w:r w:rsidRPr="007D6263">
        <w:t>reporting</w:t>
      </w:r>
      <w:proofErr w:type="gramEnd"/>
      <w:r w:rsidR="002861D7" w:rsidRPr="007D6263">
        <w:t xml:space="preserve"> </w:t>
      </w:r>
      <w:r w:rsidRPr="007D6263">
        <w:t xml:space="preserve">for the baseline NHS financial positions, ensuring alignment of the reporting </w:t>
      </w:r>
      <w:r w:rsidR="00116A11" w:rsidRPr="007D6263">
        <w:t xml:space="preserve">internally and externally. </w:t>
      </w:r>
    </w:p>
    <w:p w14:paraId="62F661AD" w14:textId="77777777" w:rsidR="00116A11" w:rsidRPr="007D6263" w:rsidRDefault="00116A11" w:rsidP="00116A11">
      <w:pPr>
        <w:pStyle w:val="Style2"/>
        <w:numPr>
          <w:ilvl w:val="0"/>
          <w:numId w:val="0"/>
        </w:numPr>
        <w:ind w:left="1134"/>
      </w:pPr>
    </w:p>
    <w:p w14:paraId="58655ECB" w14:textId="67329D48" w:rsidR="00116A11" w:rsidRPr="007D6263" w:rsidRDefault="00116A11" w:rsidP="00A727D3">
      <w:pPr>
        <w:pStyle w:val="Style2"/>
      </w:pPr>
      <w:bookmarkStart w:id="33" w:name="_Hlk110340892"/>
      <w:r w:rsidRPr="007D6263">
        <w:t>Local Authority positions will be included in the system financial reporting alongside NHS partner organisations</w:t>
      </w:r>
      <w:bookmarkEnd w:id="33"/>
      <w:r w:rsidRPr="007D6263">
        <w:t xml:space="preserve">. </w:t>
      </w:r>
    </w:p>
    <w:p w14:paraId="5C248E9E" w14:textId="77777777" w:rsidR="00A727D3" w:rsidRPr="007D6263" w:rsidRDefault="00A727D3" w:rsidP="00A727D3">
      <w:pPr>
        <w:pStyle w:val="Style2"/>
        <w:numPr>
          <w:ilvl w:val="0"/>
          <w:numId w:val="0"/>
        </w:numPr>
        <w:ind w:left="1134"/>
      </w:pPr>
    </w:p>
    <w:p w14:paraId="2F8781CC" w14:textId="7A1C37AB" w:rsidR="007228E9" w:rsidRPr="007D6263" w:rsidRDefault="00116A11" w:rsidP="00B51336">
      <w:pPr>
        <w:pStyle w:val="Style2"/>
      </w:pPr>
      <w:r w:rsidRPr="007D6263">
        <w:t>System monthly financial reporting will be provided to the following timetable:</w:t>
      </w:r>
    </w:p>
    <w:p w14:paraId="08E574A5" w14:textId="2FF4154F" w:rsidR="00116A11" w:rsidRPr="007D6263" w:rsidRDefault="00116A11" w:rsidP="00116A11">
      <w:pPr>
        <w:pStyle w:val="ListParagraph"/>
      </w:pPr>
      <w:r w:rsidRPr="007D6263">
        <w:t>Draft monthly financial report – NHSE/I submission date for system and trust returns +3 working days.</w:t>
      </w:r>
    </w:p>
    <w:p w14:paraId="1DFE436E" w14:textId="650F4169" w:rsidR="00116A11" w:rsidRPr="007D6263" w:rsidRDefault="00116A11" w:rsidP="00116A11">
      <w:pPr>
        <w:pStyle w:val="ListParagraph"/>
      </w:pPr>
      <w:r w:rsidRPr="007D6263">
        <w:t>Headline information shared with partner organisation finance leads for review and validation – as above</w:t>
      </w:r>
      <w:r w:rsidR="00966974">
        <w:t>.</w:t>
      </w:r>
    </w:p>
    <w:p w14:paraId="1EE503E4" w14:textId="154D3589" w:rsidR="00116A11" w:rsidRPr="007D6263" w:rsidRDefault="00116A11" w:rsidP="00116A11">
      <w:pPr>
        <w:pStyle w:val="ListParagraph"/>
      </w:pPr>
      <w:r w:rsidRPr="007D6263">
        <w:t>Updates from system partners - as above +2 working days</w:t>
      </w:r>
      <w:r w:rsidR="00966974">
        <w:t>.</w:t>
      </w:r>
    </w:p>
    <w:p w14:paraId="4ACA33CC" w14:textId="516A2B57" w:rsidR="00116A11" w:rsidRDefault="00116A11" w:rsidP="00116A11">
      <w:pPr>
        <w:pStyle w:val="ListParagraph"/>
      </w:pPr>
      <w:r w:rsidRPr="007D6263">
        <w:t>Reporting available for distribution – as above + 2 working days.</w:t>
      </w:r>
    </w:p>
    <w:p w14:paraId="7CEF20D0" w14:textId="7CCACF22" w:rsidR="00116A11" w:rsidRPr="007D6263" w:rsidRDefault="00116A11" w:rsidP="00116A11">
      <w:pPr>
        <w:pStyle w:val="ListParagraph"/>
        <w:numPr>
          <w:ilvl w:val="0"/>
          <w:numId w:val="0"/>
        </w:numPr>
        <w:ind w:left="1474"/>
      </w:pPr>
    </w:p>
    <w:p w14:paraId="06CDBDFD" w14:textId="36A02C93" w:rsidR="00116A11" w:rsidRPr="007D6263" w:rsidRDefault="00116A11" w:rsidP="00116A11">
      <w:pPr>
        <w:pStyle w:val="ListParagraph"/>
        <w:numPr>
          <w:ilvl w:val="0"/>
          <w:numId w:val="0"/>
        </w:numPr>
        <w:ind w:left="1134"/>
      </w:pPr>
      <w:r w:rsidRPr="007D6263">
        <w:t xml:space="preserve">As Local Authority partners work to different financial frameworks and timetables, where Local Authority information is not available by the time that the draft financial report is circulated to system partners, the most recent available information will be used and identified accordingly within the reporting. </w:t>
      </w:r>
    </w:p>
    <w:p w14:paraId="5B0042D2" w14:textId="1CBE5BE0" w:rsidR="00116A11" w:rsidRPr="007D6263" w:rsidRDefault="00865EB9" w:rsidP="00116A11">
      <w:pPr>
        <w:pStyle w:val="Style2"/>
      </w:pPr>
      <w:r w:rsidRPr="007D6263">
        <w:t xml:space="preserve">In addition to the monthly reporting made available to all system partners, the source information files will be available to organisation partner nominated finance leads to ensure that any local reporting requirements can, wherever possible, utilise the same information source </w:t>
      </w:r>
      <w:r w:rsidR="00107D1B" w:rsidRPr="007D6263">
        <w:t xml:space="preserve">and thus </w:t>
      </w:r>
      <w:r w:rsidRPr="007D6263">
        <w:t xml:space="preserve">ensure both consistency of reporting and </w:t>
      </w:r>
      <w:r w:rsidR="00107D1B" w:rsidRPr="007D6263">
        <w:t>to avoid duplication of work.</w:t>
      </w:r>
    </w:p>
    <w:p w14:paraId="1E38DFC5" w14:textId="7DA44B67" w:rsidR="001A107D" w:rsidRPr="007D6263" w:rsidRDefault="00116A11" w:rsidP="001A107D">
      <w:pPr>
        <w:pStyle w:val="Heading3"/>
      </w:pPr>
      <w:bookmarkStart w:id="34" w:name="_Toc130547106"/>
      <w:r w:rsidRPr="007D6263">
        <w:t xml:space="preserve">Other System </w:t>
      </w:r>
      <w:r w:rsidR="00076C74" w:rsidRPr="007D6263">
        <w:t>Reporting</w:t>
      </w:r>
      <w:bookmarkEnd w:id="34"/>
    </w:p>
    <w:p w14:paraId="1C48F19F" w14:textId="6C45B8BD" w:rsidR="00076C74" w:rsidRPr="007D6263" w:rsidRDefault="00116A11" w:rsidP="00076C74">
      <w:pPr>
        <w:pStyle w:val="Style2"/>
      </w:pPr>
      <w:r w:rsidRPr="007D6263">
        <w:t>In addition to the standard monthly reporting</w:t>
      </w:r>
      <w:r w:rsidR="00865EB9" w:rsidRPr="007D6263">
        <w:t xml:space="preserve"> set out in </w:t>
      </w:r>
      <w:r w:rsidR="00966974">
        <w:t xml:space="preserve">paragraph </w:t>
      </w:r>
      <w:r w:rsidR="00865EB9" w:rsidRPr="007D6263">
        <w:t>6.3, the following reporting will be available</w:t>
      </w:r>
      <w:r w:rsidR="00076C74" w:rsidRPr="007D6263">
        <w:t>:</w:t>
      </w:r>
    </w:p>
    <w:p w14:paraId="68749A5B" w14:textId="77777777" w:rsidR="002861D7" w:rsidRPr="007D6263" w:rsidRDefault="002861D7" w:rsidP="002861D7">
      <w:pPr>
        <w:pStyle w:val="Style2"/>
        <w:numPr>
          <w:ilvl w:val="0"/>
          <w:numId w:val="0"/>
        </w:numPr>
        <w:ind w:left="1134"/>
      </w:pPr>
    </w:p>
    <w:p w14:paraId="43DA0DC7" w14:textId="1DEAF278" w:rsidR="00107D1B" w:rsidRPr="007D6263" w:rsidRDefault="00076C74" w:rsidP="002861D7">
      <w:pPr>
        <w:pStyle w:val="Style2"/>
        <w:numPr>
          <w:ilvl w:val="4"/>
          <w:numId w:val="16"/>
        </w:numPr>
        <w:ind w:left="1418" w:hanging="284"/>
      </w:pPr>
      <w:r w:rsidRPr="007D6263">
        <w:t>Summary of transformation funding</w:t>
      </w:r>
      <w:r w:rsidR="00107D1B" w:rsidRPr="007D6263">
        <w:t xml:space="preserve"> made available to the system</w:t>
      </w:r>
      <w:r w:rsidR="004A5D9D">
        <w:t>.</w:t>
      </w:r>
    </w:p>
    <w:p w14:paraId="444BFAAA" w14:textId="5964B3BE" w:rsidR="00076C74" w:rsidRPr="007D6263" w:rsidRDefault="00107D1B" w:rsidP="002861D7">
      <w:pPr>
        <w:pStyle w:val="Style2"/>
        <w:numPr>
          <w:ilvl w:val="4"/>
          <w:numId w:val="16"/>
        </w:numPr>
        <w:ind w:left="1418" w:hanging="284"/>
      </w:pPr>
      <w:r w:rsidRPr="007D6263">
        <w:t>Full analysis of system funding allocations</w:t>
      </w:r>
      <w:r w:rsidR="004A5D9D">
        <w:t>.</w:t>
      </w:r>
    </w:p>
    <w:p w14:paraId="326473EF" w14:textId="07506B2D" w:rsidR="008E1CC7" w:rsidRPr="007D6263" w:rsidRDefault="008E1CC7" w:rsidP="002861D7">
      <w:pPr>
        <w:pStyle w:val="Style2"/>
        <w:numPr>
          <w:ilvl w:val="4"/>
          <w:numId w:val="16"/>
        </w:numPr>
        <w:ind w:left="1418" w:hanging="284"/>
      </w:pPr>
      <w:r w:rsidRPr="007D6263">
        <w:t>Service line budget reporting</w:t>
      </w:r>
      <w:r w:rsidR="004A5D9D">
        <w:t>.</w:t>
      </w:r>
    </w:p>
    <w:p w14:paraId="2FA34F28" w14:textId="77777777" w:rsidR="00107D1B" w:rsidRPr="007D6263" w:rsidRDefault="00107D1B" w:rsidP="00107D1B">
      <w:pPr>
        <w:pStyle w:val="Style2"/>
        <w:numPr>
          <w:ilvl w:val="0"/>
          <w:numId w:val="0"/>
        </w:numPr>
        <w:ind w:left="1134"/>
      </w:pPr>
    </w:p>
    <w:p w14:paraId="104C8E18" w14:textId="26738D24" w:rsidR="00107D1B" w:rsidRPr="007D6263" w:rsidRDefault="005024F2" w:rsidP="00107D1B">
      <w:pPr>
        <w:pStyle w:val="Style2"/>
      </w:pPr>
      <w:r w:rsidRPr="007D6263">
        <w:t>Further detail behind transformational funding will be available</w:t>
      </w:r>
      <w:r w:rsidR="00107D1B" w:rsidRPr="007D6263">
        <w:t xml:space="preserve"> to the relevant programme boards / leads.</w:t>
      </w:r>
      <w:r w:rsidRPr="007D6263">
        <w:t xml:space="preserve"> This will be developed during 2022/23 between the System Financial Planning and Reporting Team within the ICB Resources Directorate and the relevant finance business partners. </w:t>
      </w:r>
    </w:p>
    <w:p w14:paraId="0DBFC09A" w14:textId="77777777" w:rsidR="00107D1B" w:rsidRPr="007D6263" w:rsidRDefault="00107D1B" w:rsidP="005024F2">
      <w:pPr>
        <w:pStyle w:val="Style2"/>
        <w:numPr>
          <w:ilvl w:val="0"/>
          <w:numId w:val="0"/>
        </w:numPr>
        <w:ind w:left="1134"/>
      </w:pPr>
    </w:p>
    <w:p w14:paraId="058C7851" w14:textId="54BD8795" w:rsidR="001A2883" w:rsidRPr="007D6263" w:rsidRDefault="008E1CC7" w:rsidP="001A2883">
      <w:pPr>
        <w:pStyle w:val="Style2"/>
      </w:pPr>
      <w:r w:rsidRPr="007D6263">
        <w:t>Service Line Reporting</w:t>
      </w:r>
      <w:r w:rsidR="004A5D9D">
        <w:t>:</w:t>
      </w:r>
      <w:r w:rsidRPr="007D6263">
        <w:t xml:space="preserve"> The ICS </w:t>
      </w:r>
      <w:r w:rsidR="004A5D9D">
        <w:t xml:space="preserve">is </w:t>
      </w:r>
      <w:r w:rsidRPr="007D6263">
        <w:t xml:space="preserve">committed to developing service line reporting to support the Stewardship programme across the system. </w:t>
      </w:r>
      <w:r w:rsidR="004A5D9D">
        <w:t>R</w:t>
      </w:r>
      <w:r w:rsidRPr="007D6263">
        <w:t>eporting to support Stewardship will be developed as an integral part of the programme.</w:t>
      </w:r>
    </w:p>
    <w:p w14:paraId="03671137" w14:textId="77777777" w:rsidR="00F913CD" w:rsidRPr="007D6263" w:rsidRDefault="00F913CD" w:rsidP="006B3E9C">
      <w:pPr>
        <w:pStyle w:val="Heading2"/>
      </w:pPr>
      <w:bookmarkStart w:id="35" w:name="_Toc84611060"/>
      <w:bookmarkStart w:id="36" w:name="_Toc89326550"/>
      <w:bookmarkStart w:id="37" w:name="_Toc130547107"/>
      <w:r w:rsidRPr="007D6263">
        <w:t>Staff Training</w:t>
      </w:r>
      <w:bookmarkEnd w:id="35"/>
      <w:bookmarkEnd w:id="36"/>
      <w:bookmarkEnd w:id="37"/>
    </w:p>
    <w:p w14:paraId="240C110C" w14:textId="646AD2DF" w:rsidR="00F913CD" w:rsidRPr="007D6263" w:rsidRDefault="00860A99" w:rsidP="006B3E9C">
      <w:pPr>
        <w:pStyle w:val="Style1"/>
      </w:pPr>
      <w:r w:rsidRPr="007D6263">
        <w:t>System leaders and executive</w:t>
      </w:r>
      <w:r w:rsidR="00A8252D" w:rsidRPr="007D6263">
        <w:t xml:space="preserve"> managers must ensure that all relevant staff are </w:t>
      </w:r>
      <w:r w:rsidR="00435CC4" w:rsidRPr="007D6263">
        <w:t>aware of the contents of this policy document and the process</w:t>
      </w:r>
      <w:r w:rsidR="003B7052" w:rsidRPr="007D6263">
        <w:t>es required to comply.</w:t>
      </w:r>
    </w:p>
    <w:p w14:paraId="192E30C5" w14:textId="064F3A88" w:rsidR="0060121B" w:rsidRPr="007D6263" w:rsidRDefault="0060121B" w:rsidP="006B3E9C">
      <w:pPr>
        <w:pStyle w:val="Style1"/>
      </w:pPr>
      <w:r w:rsidRPr="007D6263">
        <w:t xml:space="preserve">The </w:t>
      </w:r>
      <w:r w:rsidR="00640B0F">
        <w:t xml:space="preserve">Executive </w:t>
      </w:r>
      <w:r w:rsidR="00D75F22" w:rsidRPr="007D6263">
        <w:t>Director of Resources</w:t>
      </w:r>
      <w:r w:rsidRPr="007D6263">
        <w:t xml:space="preserve"> is responsible for ensuring that appropriate training is given to </w:t>
      </w:r>
      <w:r w:rsidR="00A86484" w:rsidRPr="007D6263">
        <w:t xml:space="preserve">finance staff </w:t>
      </w:r>
      <w:r w:rsidR="00802922" w:rsidRPr="007D6263">
        <w:t>in order that they can fulfil their responsibilities outlined in this policy document.</w:t>
      </w:r>
    </w:p>
    <w:p w14:paraId="7DF6B752" w14:textId="4E0FCEB5" w:rsidR="00F913CD" w:rsidRPr="007D6263" w:rsidRDefault="00F913CD" w:rsidP="006B3E9C">
      <w:pPr>
        <w:pStyle w:val="Heading2"/>
      </w:pPr>
      <w:bookmarkStart w:id="38" w:name="_Toc84611061"/>
      <w:bookmarkStart w:id="39" w:name="_Toc89326551"/>
      <w:bookmarkStart w:id="40" w:name="_Toc130547108"/>
      <w:r w:rsidRPr="007D6263">
        <w:t xml:space="preserve">Arrangements </w:t>
      </w:r>
      <w:r w:rsidR="00165261" w:rsidRPr="007D6263">
        <w:t>for</w:t>
      </w:r>
      <w:r w:rsidRPr="007D6263">
        <w:t xml:space="preserve"> Review</w:t>
      </w:r>
      <w:bookmarkEnd w:id="38"/>
      <w:bookmarkEnd w:id="39"/>
      <w:bookmarkEnd w:id="40"/>
    </w:p>
    <w:p w14:paraId="7CE3CD4E" w14:textId="77777777" w:rsidR="00F913CD" w:rsidRPr="007D6263" w:rsidRDefault="00F913CD" w:rsidP="006B3E9C">
      <w:pPr>
        <w:pStyle w:val="Style1"/>
      </w:pPr>
      <w:r w:rsidRPr="007D6263">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0E7EAECE" w:rsidR="00F913CD" w:rsidRPr="007D6263" w:rsidRDefault="00F913CD" w:rsidP="006B3E9C">
      <w:pPr>
        <w:pStyle w:val="Style1"/>
      </w:pPr>
      <w:r w:rsidRPr="007D6263">
        <w:t>If only minor changes are required, the sponsoring Committee has authority to make these changes without referral to the I</w:t>
      </w:r>
      <w:r w:rsidR="00A86484" w:rsidRPr="007D6263">
        <w:t>CB Boa</w:t>
      </w:r>
      <w:r w:rsidR="00E7082D" w:rsidRPr="007D6263">
        <w:t>rd</w:t>
      </w:r>
      <w:r w:rsidRPr="007D6263">
        <w:t>. If more significant or substantial changes are required, the policy will need to be ratified by the relevant committee before final approval by the I</w:t>
      </w:r>
      <w:r w:rsidR="00E7082D" w:rsidRPr="007D6263">
        <w:t>CB Board</w:t>
      </w:r>
      <w:r w:rsidRPr="007D6263">
        <w:t>.</w:t>
      </w:r>
      <w:bookmarkStart w:id="41" w:name="_Toc84611062"/>
    </w:p>
    <w:p w14:paraId="4D2967FC" w14:textId="1128F45B" w:rsidR="00F913CD" w:rsidRPr="007D6263" w:rsidRDefault="00F913CD" w:rsidP="006B3E9C">
      <w:pPr>
        <w:pStyle w:val="Heading2"/>
      </w:pPr>
      <w:bookmarkStart w:id="42" w:name="_Toc89326552"/>
      <w:bookmarkStart w:id="43" w:name="_Toc130547109"/>
      <w:bookmarkEnd w:id="41"/>
      <w:r w:rsidRPr="007D6263">
        <w:t xml:space="preserve">Associated Policies, Guidance </w:t>
      </w:r>
      <w:r w:rsidR="00165261" w:rsidRPr="007D6263">
        <w:t>and</w:t>
      </w:r>
      <w:r w:rsidRPr="007D6263">
        <w:t xml:space="preserve"> Documents</w:t>
      </w:r>
      <w:bookmarkEnd w:id="42"/>
      <w:bookmarkEnd w:id="43"/>
    </w:p>
    <w:p w14:paraId="7DE6C051" w14:textId="7AA7B17A" w:rsidR="00F913CD" w:rsidRPr="007D6263" w:rsidRDefault="002200D1" w:rsidP="00201DAA">
      <w:pPr>
        <w:pStyle w:val="Heading4"/>
        <w:ind w:left="1134"/>
      </w:pPr>
      <w:hyperlink r:id="rId11" w:history="1">
        <w:r w:rsidR="00F913CD" w:rsidRPr="00640B0F">
          <w:rPr>
            <w:rStyle w:val="Hyperlink"/>
          </w:rPr>
          <w:t>Associated Policies</w:t>
        </w:r>
      </w:hyperlink>
    </w:p>
    <w:p w14:paraId="186CDDB6" w14:textId="33C84264" w:rsidR="00F913CD" w:rsidRPr="007D6263" w:rsidRDefault="00165261" w:rsidP="006B3E9C">
      <w:pPr>
        <w:pStyle w:val="ListParagraph"/>
      </w:pPr>
      <w:r w:rsidRPr="007D6263">
        <w:t>ICB Procurement &amp; Contracting Policy</w:t>
      </w:r>
      <w:r w:rsidR="00134D77">
        <w:t>.</w:t>
      </w:r>
    </w:p>
    <w:p w14:paraId="49A4217F" w14:textId="36F36DCE" w:rsidR="00D23A9A" w:rsidRPr="007D6263" w:rsidRDefault="00C65691" w:rsidP="006B3E9C">
      <w:pPr>
        <w:pStyle w:val="ListParagraph"/>
      </w:pPr>
      <w:r w:rsidRPr="007D6263">
        <w:t xml:space="preserve">ICB </w:t>
      </w:r>
      <w:r w:rsidR="00860A99" w:rsidRPr="007D6263">
        <w:t xml:space="preserve">Accounting </w:t>
      </w:r>
      <w:r w:rsidRPr="007D6263">
        <w:t xml:space="preserve">&amp; Financial </w:t>
      </w:r>
      <w:r w:rsidR="00860A99" w:rsidRPr="007D6263">
        <w:t>Management</w:t>
      </w:r>
      <w:r w:rsidRPr="007D6263">
        <w:t xml:space="preserve"> Policy</w:t>
      </w:r>
      <w:r w:rsidR="00134D77">
        <w:t>.</w:t>
      </w:r>
    </w:p>
    <w:p w14:paraId="23825361" w14:textId="77777777" w:rsidR="00F913CD" w:rsidRPr="007D6263" w:rsidRDefault="00F913CD" w:rsidP="006B3E9C">
      <w:pPr>
        <w:pStyle w:val="Heading2"/>
      </w:pPr>
      <w:bookmarkStart w:id="44" w:name="_Toc89326553"/>
      <w:bookmarkStart w:id="45" w:name="_Toc130547110"/>
      <w:r w:rsidRPr="007D6263">
        <w:t>References</w:t>
      </w:r>
      <w:bookmarkEnd w:id="44"/>
      <w:bookmarkEnd w:id="45"/>
    </w:p>
    <w:p w14:paraId="61DC869E" w14:textId="55EE6DB4" w:rsidR="0027404A" w:rsidRPr="007D6263" w:rsidRDefault="0027404A" w:rsidP="004238B3">
      <w:pPr>
        <w:pStyle w:val="ListParagraph"/>
      </w:pPr>
      <w:r w:rsidRPr="007D6263">
        <w:t>ICB Scheme of Reservation and Delegation</w:t>
      </w:r>
      <w:r w:rsidR="00134D77">
        <w:t>.</w:t>
      </w:r>
    </w:p>
    <w:p w14:paraId="6A4A16F6" w14:textId="0E11A4DD" w:rsidR="0027404A" w:rsidRPr="007D6263" w:rsidRDefault="0027404A" w:rsidP="004238B3">
      <w:pPr>
        <w:pStyle w:val="ListParagraph"/>
      </w:pPr>
      <w:r w:rsidRPr="007D6263">
        <w:t>ICB Standing Financial Instructions</w:t>
      </w:r>
      <w:r w:rsidR="00134D77">
        <w:t>.</w:t>
      </w:r>
    </w:p>
    <w:p w14:paraId="0749B5BB" w14:textId="77777777" w:rsidR="00F913CD" w:rsidRPr="007D6263" w:rsidRDefault="00F913CD" w:rsidP="006B3E9C">
      <w:pPr>
        <w:pStyle w:val="Heading2"/>
      </w:pPr>
      <w:bookmarkStart w:id="46" w:name="_Toc89326554"/>
      <w:bookmarkStart w:id="47" w:name="_Toc130547111"/>
      <w:r w:rsidRPr="007D6263">
        <w:t>Equality Impact Assessment</w:t>
      </w:r>
      <w:bookmarkEnd w:id="46"/>
      <w:bookmarkEnd w:id="47"/>
    </w:p>
    <w:p w14:paraId="31CD75FD" w14:textId="59E2FE89" w:rsidR="00F913CD" w:rsidRPr="007D6263" w:rsidRDefault="00106E35" w:rsidP="006B3E9C">
      <w:pPr>
        <w:pStyle w:val="Style1"/>
      </w:pPr>
      <w:r w:rsidRPr="007D6263">
        <w:t>T</w:t>
      </w:r>
      <w:r w:rsidR="00F913CD" w:rsidRPr="007D6263">
        <w:t xml:space="preserve">he EIA has identified no equality issues with this policy. </w:t>
      </w:r>
    </w:p>
    <w:p w14:paraId="32344773" w14:textId="77777777" w:rsidR="008344D6" w:rsidRPr="007D6263" w:rsidRDefault="00F913CD" w:rsidP="008344D6">
      <w:pPr>
        <w:pStyle w:val="Style1"/>
      </w:pPr>
      <w:r w:rsidRPr="007D6263">
        <w:t>The EIA has been included as Appendix A.</w:t>
      </w:r>
    </w:p>
    <w:p w14:paraId="1AA5C6C5" w14:textId="77777777" w:rsidR="006606C1" w:rsidRPr="007D6263" w:rsidRDefault="008344D6" w:rsidP="003A663C">
      <w:pPr>
        <w:spacing w:before="0" w:after="0"/>
        <w:ind w:left="0"/>
        <w:rPr>
          <w:rFonts w:asciiTheme="majorHAnsi" w:eastAsiaTheme="majorEastAsia" w:hAnsiTheme="majorHAnsi" w:cstheme="majorBidi"/>
          <w:color w:val="001743" w:themeColor="accent1" w:themeShade="7F"/>
        </w:rPr>
      </w:pPr>
      <w:r w:rsidRPr="007D6263">
        <w:br w:type="page"/>
      </w:r>
    </w:p>
    <w:p w14:paraId="64C72BB0" w14:textId="77777777" w:rsidR="006606C1" w:rsidRPr="007D6263" w:rsidRDefault="006606C1" w:rsidP="003A663C">
      <w:pPr>
        <w:pStyle w:val="Heading2"/>
        <w:numPr>
          <w:ilvl w:val="0"/>
          <w:numId w:val="0"/>
        </w:numPr>
      </w:pPr>
      <w:bookmarkStart w:id="48" w:name="_Toc419388298"/>
      <w:bookmarkStart w:id="49" w:name="_Toc47357161"/>
      <w:bookmarkStart w:id="50" w:name="_Toc84611065"/>
      <w:bookmarkStart w:id="51" w:name="_Toc89326555"/>
      <w:bookmarkStart w:id="52" w:name="_Toc130547112"/>
      <w:r w:rsidRPr="007D6263">
        <w:t>Appendix A</w:t>
      </w:r>
      <w:bookmarkEnd w:id="48"/>
      <w:bookmarkEnd w:id="49"/>
      <w:bookmarkEnd w:id="50"/>
      <w:bookmarkEnd w:id="51"/>
      <w:r w:rsidRPr="007D6263">
        <w:t xml:space="preserve"> </w:t>
      </w:r>
      <w:bookmarkStart w:id="53" w:name="_Toc84611066"/>
      <w:bookmarkStart w:id="54" w:name="_Toc89326556"/>
      <w:r w:rsidR="003A663C" w:rsidRPr="007D6263">
        <w:t xml:space="preserve">- </w:t>
      </w:r>
      <w:r w:rsidRPr="007D6263">
        <w:t>Equality Impact Assessment</w:t>
      </w:r>
      <w:bookmarkEnd w:id="52"/>
      <w:bookmarkEnd w:id="53"/>
      <w:bookmarkEnd w:id="54"/>
    </w:p>
    <w:p w14:paraId="47E3DAA6" w14:textId="2A8AAE92" w:rsidR="008344D6" w:rsidRPr="007D6263" w:rsidRDefault="008344D6" w:rsidP="00201DAA">
      <w:pPr>
        <w:pStyle w:val="Heading4"/>
      </w:pPr>
      <w:bookmarkStart w:id="55" w:name="_Toc89326557"/>
      <w:r w:rsidRPr="007D6263">
        <w:t>Assessor’s Name:</w:t>
      </w:r>
      <w:r w:rsidR="00106E35" w:rsidRPr="007D6263">
        <w:t xml:space="preserve"> </w:t>
      </w:r>
      <w:r w:rsidR="00860A99" w:rsidRPr="007D6263">
        <w:rPr>
          <w:b w:val="0"/>
          <w:bCs/>
        </w:rPr>
        <w:t>Jason Skinner</w:t>
      </w:r>
    </w:p>
    <w:p w14:paraId="0B47F8BC" w14:textId="4889CC8A" w:rsidR="008344D6" w:rsidRPr="007D6263" w:rsidRDefault="008344D6" w:rsidP="00201DAA">
      <w:pPr>
        <w:pStyle w:val="Heading4"/>
      </w:pPr>
      <w:r w:rsidRPr="007D6263">
        <w:t>Assessor’s Job Title:</w:t>
      </w:r>
      <w:r w:rsidR="00106E35" w:rsidRPr="007D6263">
        <w:t xml:space="preserve"> </w:t>
      </w:r>
      <w:r w:rsidR="00860A99" w:rsidRPr="007D6263">
        <w:rPr>
          <w:b w:val="0"/>
          <w:bCs/>
        </w:rPr>
        <w:t>Director, Financial Planning and Reporting</w:t>
      </w:r>
    </w:p>
    <w:p w14:paraId="631E0362" w14:textId="33305CE1" w:rsidR="008344D6" w:rsidRPr="007D6263" w:rsidRDefault="008344D6" w:rsidP="00201DAA">
      <w:pPr>
        <w:pStyle w:val="Heading4"/>
      </w:pPr>
      <w:r w:rsidRPr="007D6263">
        <w:t>Date:</w:t>
      </w:r>
      <w:r w:rsidR="00106E35" w:rsidRPr="007D6263">
        <w:t xml:space="preserve"> </w:t>
      </w:r>
      <w:r w:rsidR="00860A99" w:rsidRPr="007D6263">
        <w:rPr>
          <w:b w:val="0"/>
          <w:bCs/>
        </w:rPr>
        <w:t>24</w:t>
      </w:r>
      <w:r w:rsidR="0045718F" w:rsidRPr="007D6263">
        <w:rPr>
          <w:b w:val="0"/>
          <w:bCs/>
        </w:rPr>
        <w:t xml:space="preserve"> May</w:t>
      </w:r>
      <w:r w:rsidR="00106E35" w:rsidRPr="007D6263">
        <w:rPr>
          <w:b w:val="0"/>
          <w:bCs/>
        </w:rPr>
        <w:t xml:space="preserve"> 2022</w:t>
      </w:r>
    </w:p>
    <w:p w14:paraId="1174C48F" w14:textId="77777777" w:rsidR="006606C1" w:rsidRPr="007D6263" w:rsidRDefault="006606C1" w:rsidP="00201DAA">
      <w:pPr>
        <w:pStyle w:val="Heading4"/>
      </w:pPr>
      <w:r w:rsidRPr="007D6263">
        <w:t>Outcomes</w:t>
      </w:r>
      <w:bookmarkEnd w:id="55"/>
      <w:r w:rsidRPr="007D6263">
        <w:t xml:space="preserve"> </w:t>
      </w:r>
    </w:p>
    <w:p w14:paraId="47A56263" w14:textId="77777777" w:rsidR="006606C1" w:rsidRPr="007D6263" w:rsidRDefault="006606C1" w:rsidP="00324D0B">
      <w:pPr>
        <w:rPr>
          <w:b/>
          <w:bCs/>
        </w:rPr>
      </w:pPr>
      <w:r w:rsidRPr="007D6263">
        <w:rPr>
          <w:b/>
          <w:bCs/>
        </w:rPr>
        <w:t>Briefly describe the aim of the policy and state the intended outcomes for staff</w:t>
      </w:r>
    </w:p>
    <w:p w14:paraId="2EBC51E6" w14:textId="38A92FE5" w:rsidR="00B80EAE" w:rsidRPr="007D6263" w:rsidRDefault="000720C8" w:rsidP="00E90CB2">
      <w:r w:rsidRPr="007D6263">
        <w:t xml:space="preserve">The aim of the policy is to set out the </w:t>
      </w:r>
      <w:r w:rsidR="00C6391E" w:rsidRPr="007D6263">
        <w:t xml:space="preserve">requirements </w:t>
      </w:r>
      <w:r w:rsidR="00860A99" w:rsidRPr="007D6263">
        <w:t>for the distribution of system allocations received by the ICB on behalf of the system.</w:t>
      </w:r>
    </w:p>
    <w:p w14:paraId="099EA78B" w14:textId="77777777" w:rsidR="00B80EAE" w:rsidRPr="007D6263" w:rsidRDefault="00B80EAE" w:rsidP="00201DAA">
      <w:pPr>
        <w:pStyle w:val="Heading4"/>
      </w:pPr>
      <w:r w:rsidRPr="007D6263">
        <w:t xml:space="preserve">Evidence </w:t>
      </w:r>
    </w:p>
    <w:p w14:paraId="268E41CF" w14:textId="77777777" w:rsidR="00B80EAE" w:rsidRPr="007D6263" w:rsidRDefault="00B80EAE" w:rsidP="00324D0B">
      <w:pPr>
        <w:rPr>
          <w:b/>
          <w:bCs/>
        </w:rPr>
      </w:pPr>
      <w:r w:rsidRPr="007D6263">
        <w:rPr>
          <w:b/>
          <w:bCs/>
        </w:rPr>
        <w:t>What data/information have you used to assess how this policy might impact on protected groups?</w:t>
      </w:r>
    </w:p>
    <w:p w14:paraId="3A7F7286" w14:textId="2846FDD5" w:rsidR="00B80EAE" w:rsidRPr="007D6263" w:rsidRDefault="006A1B5B" w:rsidP="00E90CB2">
      <w:r w:rsidRPr="007D6263">
        <w:rPr>
          <w:rFonts w:ascii="Arial" w:eastAsia="Times New Roman" w:hAnsi="Arial" w:cs="Arial"/>
          <w:bCs/>
          <w:color w:val="auto"/>
        </w:rPr>
        <w:t>The ICB regularly monitor the make-up of its workforce, including protected groups</w:t>
      </w:r>
    </w:p>
    <w:p w14:paraId="46594DBB" w14:textId="77777777" w:rsidR="00B80EAE" w:rsidRPr="007D6263" w:rsidRDefault="00B80EAE" w:rsidP="00324D0B">
      <w:pPr>
        <w:rPr>
          <w:b/>
          <w:bCs/>
        </w:rPr>
      </w:pPr>
      <w:r w:rsidRPr="007D6263">
        <w:rPr>
          <w:b/>
          <w:bCs/>
        </w:rPr>
        <w:t xml:space="preserve">Who have you consulted with to assess possible impact on protected groups? If you have not consulted other people, please explain why? </w:t>
      </w:r>
    </w:p>
    <w:p w14:paraId="6B07CA9C" w14:textId="0BE83018" w:rsidR="00B80EAE" w:rsidRPr="007D6263" w:rsidRDefault="0092346C" w:rsidP="00E90CB2">
      <w:r w:rsidRPr="007D6263">
        <w:t xml:space="preserve">Policy has been </w:t>
      </w:r>
      <w:r w:rsidR="000A4F3A" w:rsidRPr="007D6263">
        <w:t xml:space="preserve">shared with CCG Deputy CFOs, </w:t>
      </w:r>
      <w:r w:rsidR="002166A1">
        <w:t xml:space="preserve">Executive </w:t>
      </w:r>
      <w:r w:rsidR="00D75F22" w:rsidRPr="007D6263">
        <w:t>Director of Resources</w:t>
      </w:r>
      <w:r w:rsidR="00860A99" w:rsidRPr="007D6263">
        <w:t xml:space="preserve"> and the</w:t>
      </w:r>
      <w:r w:rsidR="006D3D0F" w:rsidRPr="007D6263">
        <w:t xml:space="preserve"> Director of Financial Planning and Reporting</w:t>
      </w:r>
      <w:r w:rsidR="00860A99" w:rsidRPr="007D6263">
        <w:t>.</w:t>
      </w:r>
    </w:p>
    <w:p w14:paraId="24F4AE0C" w14:textId="77777777" w:rsidR="00B80EAE" w:rsidRPr="007D6263" w:rsidRDefault="00B80EAE" w:rsidP="00201DAA">
      <w:pPr>
        <w:pStyle w:val="Heading4"/>
      </w:pPr>
      <w:bookmarkStart w:id="56" w:name="_Toc89326558"/>
      <w:r w:rsidRPr="007D6263">
        <w:t>Analysis of impact on equality</w:t>
      </w:r>
      <w:bookmarkEnd w:id="56"/>
      <w:r w:rsidRPr="007D6263">
        <w:t xml:space="preserve"> </w:t>
      </w:r>
    </w:p>
    <w:p w14:paraId="59C5C113" w14:textId="77777777" w:rsidR="00B80EAE" w:rsidRPr="007D6263" w:rsidRDefault="00B80EAE" w:rsidP="00B80EAE">
      <w:r w:rsidRPr="007D6263">
        <w:t xml:space="preserve">The Public Sector Equality Duty requires us to </w:t>
      </w:r>
      <w:r w:rsidRPr="007D6263">
        <w:rPr>
          <w:b/>
          <w:bCs/>
        </w:rPr>
        <w:t>eliminate</w:t>
      </w:r>
      <w:r w:rsidRPr="007D6263">
        <w:t xml:space="preserve"> discrimination, </w:t>
      </w:r>
      <w:r w:rsidRPr="007D6263">
        <w:rPr>
          <w:b/>
          <w:bCs/>
        </w:rPr>
        <w:t xml:space="preserve">advance </w:t>
      </w:r>
      <w:r w:rsidRPr="007D6263">
        <w:t xml:space="preserve">equality of opportunity and </w:t>
      </w:r>
      <w:r w:rsidRPr="007D6263">
        <w:rPr>
          <w:b/>
          <w:bCs/>
        </w:rPr>
        <w:t>foster</w:t>
      </w:r>
      <w:r w:rsidRPr="007D6263">
        <w:t xml:space="preserve"> good relations with protected groups. Consider how this policy / service will achieve these aims.  </w:t>
      </w:r>
    </w:p>
    <w:p w14:paraId="128CD105" w14:textId="77777777" w:rsidR="00B80EAE" w:rsidRPr="001148C4" w:rsidRDefault="00B80EAE" w:rsidP="00B80EAE">
      <w:r w:rsidRPr="007D6263">
        <w:t>N.B. In some cases it is legal to treat people differently (objective justification).</w:t>
      </w:r>
    </w:p>
    <w:p w14:paraId="3F3B5B7F" w14:textId="77777777" w:rsidR="00E90CB2" w:rsidRDefault="00E90CB2" w:rsidP="002861D7">
      <w:pPr>
        <w:pStyle w:val="ListParagraph"/>
        <w:numPr>
          <w:ilvl w:val="0"/>
          <w:numId w:val="12"/>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p>
    <w:p w14:paraId="6331F731" w14:textId="77777777" w:rsidR="00E90CB2" w:rsidRDefault="00E90CB2" w:rsidP="002861D7">
      <w:pPr>
        <w:pStyle w:val="ListParagraph"/>
        <w:numPr>
          <w:ilvl w:val="0"/>
          <w:numId w:val="12"/>
        </w:numPr>
        <w:adjustRightInd w:val="0"/>
        <w:spacing w:before="160"/>
        <w:contextualSpacing w:val="0"/>
      </w:pPr>
      <w:r w:rsidRPr="001148C4">
        <w:rPr>
          <w:b/>
          <w:bCs/>
        </w:rPr>
        <w:t>Negative outcome</w:t>
      </w:r>
      <w:r w:rsidRPr="00873D77">
        <w:t xml:space="preserve"> – protected group(s) could be disadvantaged or discriminated against</w:t>
      </w:r>
    </w:p>
    <w:p w14:paraId="0EE50DC3" w14:textId="77777777" w:rsidR="00D627A4" w:rsidRDefault="00E90CB2" w:rsidP="002861D7">
      <w:pPr>
        <w:pStyle w:val="ListParagraph"/>
        <w:numPr>
          <w:ilvl w:val="0"/>
          <w:numId w:val="12"/>
        </w:numPr>
        <w:adjustRightInd w:val="0"/>
        <w:spacing w:before="160"/>
        <w:contextualSpacing w:val="0"/>
      </w:pPr>
      <w:r w:rsidRPr="001148C4">
        <w:rPr>
          <w:b/>
          <w:bCs/>
        </w:rPr>
        <w:t>Neutral outcome</w:t>
      </w:r>
      <w:r w:rsidRPr="00873D77">
        <w:t xml:space="preserve"> – there is no effect currently on protected groups</w:t>
      </w:r>
    </w:p>
    <w:p w14:paraId="32364150" w14:textId="232A3D05" w:rsidR="00781F15" w:rsidRDefault="00781F15" w:rsidP="008C4D49">
      <w:pPr>
        <w:spacing w:before="0" w:after="0"/>
        <w:ind w:left="0"/>
      </w:pPr>
      <w:r>
        <w:br w:type="page"/>
      </w:r>
      <w:r w:rsidR="00E90CB2" w:rsidRPr="00873D77">
        <w:t xml:space="preserve">Please tick to show if outcome is likely to be positive, </w:t>
      </w:r>
      <w:proofErr w:type="gramStart"/>
      <w:r w:rsidR="00E90CB2" w:rsidRPr="00873D77">
        <w:t>negative</w:t>
      </w:r>
      <w:proofErr w:type="gramEnd"/>
      <w:r w:rsidR="00E90CB2" w:rsidRPr="00873D77">
        <w:t xml:space="preserve"> or neutral</w:t>
      </w:r>
      <w:r>
        <w:t>. Please fill all boxes, any that aren’t applicable enter N/A.</w:t>
      </w:r>
    </w:p>
    <w:p w14:paraId="6674746D" w14:textId="77777777" w:rsidR="00E90CB2" w:rsidRDefault="00E90CB2" w:rsidP="00781F15">
      <w:pPr>
        <w:ind w:left="0"/>
      </w:pPr>
      <w:r w:rsidRPr="00873D77">
        <w:t xml:space="preserve">Consider direct and indirect discrimination, </w:t>
      </w:r>
      <w:proofErr w:type="gramStart"/>
      <w:r w:rsidRPr="00873D77">
        <w:t>harassment</w:t>
      </w:r>
      <w:proofErr w:type="gramEnd"/>
      <w:r w:rsidRPr="00873D77">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843CF9">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076C74">
            <w:pPr>
              <w:pStyle w:val="NoSpacing"/>
              <w:rPr>
                <w:color w:val="FFFFFF" w:themeColor="background1"/>
              </w:rPr>
            </w:pPr>
            <w:r w:rsidRPr="00615058">
              <w:rPr>
                <w:color w:val="FFFFFF" w:themeColor="background1"/>
              </w:rPr>
              <w:t>Protected</w:t>
            </w:r>
          </w:p>
          <w:p w14:paraId="411AFD7B" w14:textId="77777777" w:rsidR="00E90CB2" w:rsidRPr="00615058" w:rsidRDefault="00E90CB2" w:rsidP="00076C74">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076C74">
            <w:pPr>
              <w:pStyle w:val="NoSpacing"/>
              <w:rPr>
                <w:color w:val="FFFFFF" w:themeColor="background1"/>
              </w:rPr>
            </w:pPr>
            <w:r w:rsidRPr="00615058">
              <w:rPr>
                <w:color w:val="FFFFFF" w:themeColor="background1"/>
              </w:rPr>
              <w:t>Positive</w:t>
            </w:r>
          </w:p>
          <w:p w14:paraId="66CEC2DE" w14:textId="77777777" w:rsidR="00E90CB2" w:rsidRPr="00615058" w:rsidRDefault="00E90CB2" w:rsidP="00076C74">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076C74">
            <w:pPr>
              <w:pStyle w:val="NoSpacing"/>
              <w:rPr>
                <w:color w:val="FFFFFF" w:themeColor="background1"/>
              </w:rPr>
            </w:pPr>
            <w:r w:rsidRPr="00615058">
              <w:rPr>
                <w:color w:val="FFFFFF" w:themeColor="background1"/>
              </w:rPr>
              <w:t>Negative</w:t>
            </w:r>
          </w:p>
          <w:p w14:paraId="73F24AE2" w14:textId="77777777" w:rsidR="00E90CB2" w:rsidRPr="00615058" w:rsidRDefault="00E90CB2" w:rsidP="00076C74">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076C74">
            <w:pPr>
              <w:pStyle w:val="NoSpacing"/>
              <w:rPr>
                <w:color w:val="FFFFFF" w:themeColor="background1"/>
              </w:rPr>
            </w:pPr>
            <w:r w:rsidRPr="00615058">
              <w:rPr>
                <w:color w:val="FFFFFF" w:themeColor="background1"/>
              </w:rPr>
              <w:t>Neutral</w:t>
            </w:r>
          </w:p>
          <w:p w14:paraId="0DEBD95D" w14:textId="77777777" w:rsidR="00E90CB2" w:rsidRPr="00615058" w:rsidRDefault="00E90CB2" w:rsidP="00076C74">
            <w:pPr>
              <w:pStyle w:val="NoSpacing"/>
              <w:rPr>
                <w:color w:val="FFFFFF" w:themeColor="background1"/>
              </w:rPr>
            </w:pPr>
            <w:r w:rsidRPr="00615058">
              <w:rPr>
                <w:color w:val="FFFFFF" w:themeColor="background1"/>
              </w:rPr>
              <w:t>outcome</w:t>
            </w:r>
          </w:p>
        </w:tc>
        <w:tc>
          <w:tcPr>
            <w:tcW w:w="179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076C74">
            <w:pPr>
              <w:pStyle w:val="NoSpacing"/>
              <w:rPr>
                <w:rFonts w:cs="Arial"/>
                <w:color w:val="FFFFFF" w:themeColor="background1"/>
              </w:rPr>
            </w:pPr>
            <w:bookmarkStart w:id="57" w:name="_Toc168389175"/>
            <w:r w:rsidRPr="00615058">
              <w:rPr>
                <w:rFonts w:cs="Arial"/>
                <w:color w:val="FFFFFF" w:themeColor="background1"/>
              </w:rPr>
              <w:t xml:space="preserve">Reason(s) for </w:t>
            </w:r>
            <w:bookmarkEnd w:id="57"/>
            <w:r w:rsidRPr="00615058">
              <w:rPr>
                <w:rFonts w:cs="Arial"/>
                <w:color w:val="FFFFFF" w:themeColor="background1"/>
              </w:rPr>
              <w:t>outcome</w:t>
            </w:r>
          </w:p>
        </w:tc>
      </w:tr>
      <w:tr w:rsidR="00E90CB2" w:rsidRPr="00F26504" w14:paraId="4A48AAFC"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6E92A337" w:rsidR="00E90CB2" w:rsidRPr="00F26504" w:rsidRDefault="00784C95" w:rsidP="00784C95">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E309ECC" w14:textId="7E9172C9" w:rsidR="00E90CB2" w:rsidRPr="00F26504" w:rsidRDefault="00751B62" w:rsidP="003771EC">
            <w:pPr>
              <w:pStyle w:val="NoSpacing"/>
            </w:pPr>
            <w:r>
              <w:t>No impact identified</w:t>
            </w:r>
          </w:p>
        </w:tc>
      </w:tr>
      <w:tr w:rsidR="00E90CB2" w:rsidRPr="00F26504" w14:paraId="575C236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E90CB2" w:rsidRDefault="00E90CB2" w:rsidP="003771EC">
            <w:pPr>
              <w:pStyle w:val="NoSpacing"/>
            </w:pPr>
            <w:r w:rsidRPr="00F26504">
              <w:t>Disability</w:t>
            </w:r>
          </w:p>
          <w:p w14:paraId="5047B485" w14:textId="77777777" w:rsidR="00E90CB2" w:rsidRPr="00F26504" w:rsidRDefault="00E90CB2" w:rsidP="003771EC">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7E94D5B8" w:rsidR="00E90CB2" w:rsidRPr="00F26504" w:rsidRDefault="0033682D" w:rsidP="00284367">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C9DA8A8" w14:textId="33DAB96B"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29F65659"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E90CB2" w:rsidRPr="00F26504" w:rsidRDefault="00E90CB2" w:rsidP="003771EC">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2B5C5E9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08719D2" w14:textId="1A5BFD6A" w:rsidR="00E90CB2" w:rsidRPr="00F26504" w:rsidRDefault="006A794C" w:rsidP="003771EC">
            <w:pPr>
              <w:pStyle w:val="NoSpacing"/>
            </w:pPr>
            <w:r>
              <w:t>No impact identified</w:t>
            </w:r>
          </w:p>
        </w:tc>
      </w:tr>
      <w:tr w:rsidR="00E90CB2" w:rsidRPr="00F26504" w14:paraId="26AAC7DF"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E90CB2" w:rsidRPr="00F26504" w:rsidRDefault="00E90CB2" w:rsidP="003771EC">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3E46893C"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A291F83" w14:textId="045E7ACA" w:rsidR="00E90CB2" w:rsidRPr="00F26504" w:rsidRDefault="006A794C" w:rsidP="003771EC">
            <w:pPr>
              <w:pStyle w:val="NoSpacing"/>
            </w:pPr>
            <w:r>
              <w:t>No impact identified</w:t>
            </w:r>
          </w:p>
        </w:tc>
      </w:tr>
      <w:tr w:rsidR="00E90CB2" w:rsidRPr="00F26504" w14:paraId="760BA9A2"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E90CB2" w:rsidRPr="00F26504" w:rsidRDefault="00E90CB2" w:rsidP="003771EC">
            <w:pPr>
              <w:pStyle w:val="NoSpacing"/>
            </w:pPr>
            <w:r w:rsidRPr="00F26504">
              <w:t xml:space="preserve">Sexual </w:t>
            </w:r>
          </w:p>
          <w:p w14:paraId="41356577" w14:textId="77777777" w:rsidR="00E90CB2" w:rsidRPr="00F26504" w:rsidRDefault="00E90CB2" w:rsidP="003771EC">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39B5B587"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0AADDCC" w14:textId="4F886204" w:rsidR="00E90CB2" w:rsidRPr="00F26504" w:rsidRDefault="006A794C" w:rsidP="003771EC">
            <w:pPr>
              <w:pStyle w:val="NoSpacing"/>
            </w:pPr>
            <w:r>
              <w:t>No impact identified</w:t>
            </w:r>
          </w:p>
        </w:tc>
      </w:tr>
      <w:tr w:rsidR="00E90CB2" w:rsidRPr="00F26504" w14:paraId="499FA40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E90CB2" w:rsidRPr="00F26504" w:rsidRDefault="00E90CB2" w:rsidP="003771EC">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7326B2E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E39C74D" w14:textId="26868D52" w:rsidR="00E90CB2" w:rsidRPr="00F26504" w:rsidRDefault="006A794C" w:rsidP="003771EC">
            <w:pPr>
              <w:pStyle w:val="NoSpacing"/>
            </w:pPr>
            <w:r>
              <w:t>No impact identified</w:t>
            </w:r>
          </w:p>
        </w:tc>
      </w:tr>
      <w:tr w:rsidR="00E90CB2" w:rsidRPr="00F26504" w14:paraId="70D80FD0"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E90CB2" w:rsidRPr="00F26504" w:rsidRDefault="00E90CB2" w:rsidP="003771EC">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1985A450"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26BE90B" w14:textId="2B439C3D"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551CFC98" w14:textId="77777777" w:rsidTr="00843CF9">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E90CB2" w:rsidRPr="00427866" w:rsidRDefault="00E90CB2" w:rsidP="003771EC">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51042063"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6DFB19E3" w14:textId="399A0502" w:rsidR="00E90CB2" w:rsidRPr="00F26504" w:rsidRDefault="000F1ABF" w:rsidP="003771EC">
            <w:pPr>
              <w:pStyle w:val="NoSpacing"/>
            </w:pPr>
            <w:r>
              <w:t>No impact identified</w:t>
            </w:r>
          </w:p>
        </w:tc>
      </w:tr>
      <w:tr w:rsidR="00E90CB2" w:rsidRPr="00F26504" w14:paraId="79074D22" w14:textId="77777777" w:rsidTr="00EB44FF">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E90CB2" w:rsidRPr="00427866" w:rsidRDefault="00E90CB2" w:rsidP="003771EC">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207D64AB"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103C773" w14:textId="31B21BE6" w:rsidR="00E90CB2" w:rsidRPr="00F26504" w:rsidRDefault="000F1ABF" w:rsidP="003771EC">
            <w:pPr>
              <w:pStyle w:val="NoSpacing"/>
            </w:pPr>
            <w:r>
              <w:t>No impact identified</w:t>
            </w:r>
          </w:p>
        </w:tc>
      </w:tr>
    </w:tbl>
    <w:p w14:paraId="7B528381" w14:textId="67CE1695" w:rsidR="00D9038F" w:rsidRPr="00182901" w:rsidRDefault="00781F15" w:rsidP="00DF1477">
      <w:pPr>
        <w:spacing w:before="0" w:after="0"/>
        <w:ind w:left="0"/>
      </w:pPr>
      <w:bookmarkStart w:id="58" w:name="_Toc89326559"/>
      <w:r>
        <w:br w:type="page"/>
      </w:r>
      <w:r w:rsidR="00D9038F" w:rsidRPr="00873D77">
        <w:t xml:space="preserve">Monitoring </w:t>
      </w:r>
      <w:r w:rsidR="00D9038F" w:rsidRPr="00D9038F">
        <w:t>Outcomes</w:t>
      </w:r>
      <w:bookmarkEnd w:id="58"/>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0968DD" w:rsidRDefault="00D9038F" w:rsidP="00741D9B">
      <w:pPr>
        <w:ind w:left="0"/>
        <w:rPr>
          <w:b/>
          <w:bCs/>
        </w:rPr>
      </w:pPr>
      <w:r w:rsidRPr="000968DD">
        <w:rPr>
          <w:b/>
          <w:bCs/>
        </w:rPr>
        <w:t>What methods will you use to monitor outcomes on protected groups?</w:t>
      </w:r>
    </w:p>
    <w:p w14:paraId="1C4ADBC1" w14:textId="24AF6192" w:rsidR="00D9038F" w:rsidRPr="00873D77" w:rsidRDefault="0028471F" w:rsidP="00741D9B">
      <w:pPr>
        <w:ind w:left="0"/>
      </w:pPr>
      <w:r>
        <w:t>Regular review of policy.</w:t>
      </w:r>
    </w:p>
    <w:p w14:paraId="7EDD3208" w14:textId="77777777" w:rsidR="00D9038F" w:rsidRPr="00873D77" w:rsidRDefault="00D9038F" w:rsidP="00201DAA">
      <w:pPr>
        <w:pStyle w:val="Heading4"/>
      </w:pPr>
      <w:bookmarkStart w:id="59" w:name="_Toc89326560"/>
      <w:r w:rsidRPr="00D9038F">
        <w:t>Review</w:t>
      </w:r>
      <w:bookmarkEnd w:id="59"/>
    </w:p>
    <w:p w14:paraId="06D56295" w14:textId="77777777" w:rsidR="00D9038F" w:rsidRPr="000968DD" w:rsidRDefault="00D9038F" w:rsidP="00741D9B">
      <w:pPr>
        <w:ind w:left="0"/>
        <w:rPr>
          <w:b/>
          <w:bCs/>
        </w:rPr>
      </w:pPr>
      <w:r w:rsidRPr="000968DD">
        <w:rPr>
          <w:b/>
          <w:bCs/>
        </w:rPr>
        <w:t xml:space="preserve">How often will you review this policy / service? </w:t>
      </w:r>
      <w:r w:rsidRPr="000968DD">
        <w:rPr>
          <w:b/>
          <w:bCs/>
        </w:rPr>
        <w:br/>
        <w:t>(Minimum every three years)</w:t>
      </w:r>
    </w:p>
    <w:p w14:paraId="4333A367" w14:textId="0B95C205" w:rsidR="00D9038F" w:rsidRPr="00873D77" w:rsidRDefault="00096152" w:rsidP="00741D9B">
      <w:pPr>
        <w:ind w:left="0"/>
      </w:pPr>
      <w:r w:rsidRPr="00071E3C">
        <w:rPr>
          <w:rFonts w:eastAsia="Times New Roman" w:cs="Arial"/>
          <w:bCs/>
        </w:rPr>
        <w:t xml:space="preserve">Every 2 years as a minimum and earlier if there are any significant changes in legislation, </w:t>
      </w:r>
      <w:proofErr w:type="gramStart"/>
      <w:r w:rsidRPr="00071E3C">
        <w:rPr>
          <w:rFonts w:eastAsia="Times New Roman" w:cs="Arial"/>
          <w:bCs/>
        </w:rPr>
        <w:t>policy</w:t>
      </w:r>
      <w:proofErr w:type="gramEnd"/>
      <w:r w:rsidRPr="00071E3C">
        <w:rPr>
          <w:rFonts w:eastAsia="Times New Roman" w:cs="Arial"/>
          <w:bCs/>
        </w:rPr>
        <w:t xml:space="preserve"> or good practice</w:t>
      </w:r>
      <w:r>
        <w:rPr>
          <w:rFonts w:eastAsia="Times New Roman" w:cs="Arial"/>
          <w:bCs/>
        </w:rPr>
        <w:t>.</w:t>
      </w:r>
    </w:p>
    <w:p w14:paraId="2F1085E1" w14:textId="77777777" w:rsidR="00D9038F" w:rsidRPr="000968DD" w:rsidRDefault="00D9038F" w:rsidP="00741D9B">
      <w:pPr>
        <w:ind w:left="0"/>
        <w:rPr>
          <w:b/>
          <w:bCs/>
        </w:rPr>
      </w:pPr>
      <w:r w:rsidRPr="000968DD">
        <w:rPr>
          <w:b/>
          <w:bCs/>
        </w:rPr>
        <w:t>If a review process is not in place, what plans do you have to establish one?</w:t>
      </w:r>
    </w:p>
    <w:p w14:paraId="38614A76" w14:textId="666B14E4" w:rsidR="00201DAA" w:rsidRPr="00FD2B5D" w:rsidRDefault="00096152" w:rsidP="00DF1477">
      <w:pPr>
        <w:ind w:left="0"/>
      </w:pPr>
      <w:r>
        <w:t>N/A</w:t>
      </w:r>
    </w:p>
    <w:sectPr w:rsidR="00201DAA" w:rsidRPr="00FD2B5D" w:rsidSect="009C523D">
      <w:headerReference w:type="default" r:id="rId12"/>
      <w:footerReference w:type="default" r:id="rId13"/>
      <w:headerReference w:type="first" r:id="rId14"/>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D5B1" w14:textId="77777777" w:rsidR="002200D1" w:rsidRDefault="002200D1" w:rsidP="00EB783D">
      <w:pPr>
        <w:spacing w:before="0" w:after="0"/>
      </w:pPr>
      <w:r>
        <w:separator/>
      </w:r>
    </w:p>
  </w:endnote>
  <w:endnote w:type="continuationSeparator" w:id="0">
    <w:p w14:paraId="612D72D8" w14:textId="77777777" w:rsidR="002200D1" w:rsidRDefault="002200D1" w:rsidP="00EB783D">
      <w:pPr>
        <w:spacing w:before="0" w:after="0"/>
      </w:pPr>
      <w:r>
        <w:continuationSeparator/>
      </w:r>
    </w:p>
  </w:endnote>
  <w:endnote w:type="continuationNotice" w:id="1">
    <w:p w14:paraId="1A0A52BA" w14:textId="77777777" w:rsidR="002200D1" w:rsidRDefault="002200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643DDA41" w:rsidR="00076C74" w:rsidRPr="00A91472" w:rsidRDefault="002200D1"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076C74">
          <w:t>Accounting &amp; Financial Management V</w:t>
        </w:r>
        <w:r w:rsidR="003D028D">
          <w:t>1.0</w:t>
        </w:r>
      </w:sdtContent>
    </w:sdt>
    <w:r w:rsidR="00076C74" w:rsidRPr="00C1239F">
      <w:tab/>
    </w:r>
    <w:r w:rsidR="00076C74" w:rsidRPr="00C1239F">
      <w:tab/>
    </w:r>
    <w:r w:rsidR="00076C74" w:rsidRPr="00C90341">
      <w:t xml:space="preserve">Page </w:t>
    </w:r>
    <w:r w:rsidR="00076C74" w:rsidRPr="00C90341">
      <w:fldChar w:fldCharType="begin"/>
    </w:r>
    <w:r w:rsidR="00076C74" w:rsidRPr="00C90341">
      <w:instrText xml:space="preserve"> PAGE </w:instrText>
    </w:r>
    <w:r w:rsidR="00076C74" w:rsidRPr="00C90341">
      <w:fldChar w:fldCharType="separate"/>
    </w:r>
    <w:r w:rsidR="00076C74">
      <w:t>2</w:t>
    </w:r>
    <w:r w:rsidR="00076C74" w:rsidRPr="00C90341">
      <w:fldChar w:fldCharType="end"/>
    </w:r>
    <w:r w:rsidR="00076C74" w:rsidRPr="00C90341">
      <w:t xml:space="preserve"> of </w:t>
    </w:r>
    <w:fldSimple w:instr=" NUMPAGES ">
      <w:r w:rsidR="00076C74">
        <w:t>11</w:t>
      </w:r>
    </w:fldSimple>
  </w:p>
  <w:p w14:paraId="387B9B1B" w14:textId="77777777" w:rsidR="00076C74" w:rsidRDefault="0007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A0D8" w14:textId="77777777" w:rsidR="002200D1" w:rsidRDefault="002200D1" w:rsidP="00EB783D">
      <w:pPr>
        <w:spacing w:before="0" w:after="0"/>
      </w:pPr>
      <w:r>
        <w:separator/>
      </w:r>
    </w:p>
  </w:footnote>
  <w:footnote w:type="continuationSeparator" w:id="0">
    <w:p w14:paraId="5C507310" w14:textId="77777777" w:rsidR="002200D1" w:rsidRDefault="002200D1" w:rsidP="00EB783D">
      <w:pPr>
        <w:spacing w:before="0" w:after="0"/>
      </w:pPr>
      <w:r>
        <w:continuationSeparator/>
      </w:r>
    </w:p>
  </w:footnote>
  <w:footnote w:type="continuationNotice" w:id="1">
    <w:p w14:paraId="61099B9B" w14:textId="77777777" w:rsidR="002200D1" w:rsidRDefault="002200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2EAD9718" w:rsidR="00076C74" w:rsidRDefault="00076C74"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7777777" w:rsidR="00076C74" w:rsidRDefault="00076C74">
    <w:pPr>
      <w:pStyle w:val="Header"/>
    </w:pPr>
    <w:r>
      <w:rPr>
        <w:noProof/>
      </w:rPr>
      <w:drawing>
        <wp:anchor distT="0" distB="0" distL="114300" distR="114300" simplePos="0" relativeHeight="251658241" behindDoc="0" locked="0" layoutInCell="1" allowOverlap="1" wp14:anchorId="7F360A1C" wp14:editId="572EDBA4">
          <wp:simplePos x="0" y="0"/>
          <wp:positionH relativeFrom="column">
            <wp:posOffset>5086838</wp:posOffset>
          </wp:positionH>
          <wp:positionV relativeFrom="paragraph">
            <wp:posOffset>-35170</wp:posOffset>
          </wp:positionV>
          <wp:extent cx="889000" cy="355600"/>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89000"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AD0C01" wp14:editId="78B24BA4">
          <wp:simplePos x="0" y="0"/>
          <wp:positionH relativeFrom="column">
            <wp:posOffset>-271145</wp:posOffset>
          </wp:positionH>
          <wp:positionV relativeFrom="paragraph">
            <wp:posOffset>-29845</wp:posOffset>
          </wp:positionV>
          <wp:extent cx="2784475" cy="655955"/>
          <wp:effectExtent l="0" t="0" r="3175"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84475" cy="6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F6D7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65820"/>
    <w:multiLevelType w:val="hybridMultilevel"/>
    <w:tmpl w:val="3A98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1276"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F639A7"/>
    <w:multiLevelType w:val="multilevel"/>
    <w:tmpl w:val="E3C226C0"/>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b w:val="0"/>
        <w:bCs/>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B78F4"/>
    <w:multiLevelType w:val="hybridMultilevel"/>
    <w:tmpl w:val="758CF924"/>
    <w:lvl w:ilvl="0" w:tplc="79181E08">
      <w:start w:val="23"/>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343233"/>
    <w:multiLevelType w:val="multilevel"/>
    <w:tmpl w:val="03FAEBF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b w:val="0"/>
        <w:bCs/>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047B85"/>
    <w:multiLevelType w:val="multilevel"/>
    <w:tmpl w:val="EE84C99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b w:val="0"/>
        <w:bCs/>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966690"/>
    <w:multiLevelType w:val="multilevel"/>
    <w:tmpl w:val="C20CE742"/>
    <w:lvl w:ilvl="0">
      <w:start w:val="1"/>
      <w:numFmt w:val="bullet"/>
      <w:lvlText w:val=""/>
      <w:lvlJc w:val="left"/>
      <w:pPr>
        <w:ind w:left="2268" w:hanging="1134"/>
      </w:pPr>
      <w:rPr>
        <w:rFonts w:ascii="Symbol" w:hAnsi="Symbol" w:hint="default"/>
      </w:rPr>
    </w:lvl>
    <w:lvl w:ilvl="1">
      <w:start w:val="1"/>
      <w:numFmt w:val="decimal"/>
      <w:lvlText w:val="%1.%2."/>
      <w:lvlJc w:val="left"/>
      <w:pPr>
        <w:ind w:left="2268" w:hanging="1134"/>
      </w:pPr>
      <w:rPr>
        <w:rFonts w:hint="default"/>
        <w:b w:val="0"/>
        <w:bCs/>
      </w:rPr>
    </w:lvl>
    <w:lvl w:ilvl="2">
      <w:start w:val="1"/>
      <w:numFmt w:val="bullet"/>
      <w:lvlText w:val=""/>
      <w:lvlJc w:val="left"/>
      <w:pPr>
        <w:ind w:left="2268" w:hanging="1134"/>
      </w:pPr>
      <w:rPr>
        <w:rFonts w:ascii="Symbol" w:hAnsi="Symbol" w:hint="default"/>
      </w:rPr>
    </w:lvl>
    <w:lvl w:ilvl="3">
      <w:start w:val="1"/>
      <w:numFmt w:val="decimal"/>
      <w:lvlText w:val="%1.%2.%3.%4."/>
      <w:lvlJc w:val="left"/>
      <w:pPr>
        <w:ind w:left="2268" w:hanging="1134"/>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6"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3764C28"/>
    <w:multiLevelType w:val="hybridMultilevel"/>
    <w:tmpl w:val="09F2CE74"/>
    <w:lvl w:ilvl="0" w:tplc="074643BE">
      <w:start w:val="1"/>
      <w:numFmt w:val="bullet"/>
      <w:pStyle w:val="ListParagraph"/>
      <w:lvlText w:val=""/>
      <w:lvlJc w:val="left"/>
      <w:pPr>
        <w:ind w:left="1474" w:hanging="34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578401">
    <w:abstractNumId w:val="0"/>
  </w:num>
  <w:num w:numId="2" w16cid:durableId="307365043">
    <w:abstractNumId w:val="8"/>
  </w:num>
  <w:num w:numId="3" w16cid:durableId="1020856866">
    <w:abstractNumId w:val="12"/>
  </w:num>
  <w:num w:numId="4" w16cid:durableId="611010427">
    <w:abstractNumId w:val="14"/>
  </w:num>
  <w:num w:numId="5" w16cid:durableId="1132821413">
    <w:abstractNumId w:val="6"/>
  </w:num>
  <w:num w:numId="6" w16cid:durableId="16851625">
    <w:abstractNumId w:val="11"/>
  </w:num>
  <w:num w:numId="7" w16cid:durableId="483858960">
    <w:abstractNumId w:val="13"/>
  </w:num>
  <w:num w:numId="8" w16cid:durableId="291643112">
    <w:abstractNumId w:val="7"/>
  </w:num>
  <w:num w:numId="9" w16cid:durableId="1579708587">
    <w:abstractNumId w:val="17"/>
  </w:num>
  <w:num w:numId="10" w16cid:durableId="280190782">
    <w:abstractNumId w:val="2"/>
  </w:num>
  <w:num w:numId="11" w16cid:durableId="990137478">
    <w:abstractNumId w:val="9"/>
  </w:num>
  <w:num w:numId="12" w16cid:durableId="1043675575">
    <w:abstractNumId w:val="16"/>
  </w:num>
  <w:num w:numId="13" w16cid:durableId="141041057">
    <w:abstractNumId w:val="1"/>
  </w:num>
  <w:num w:numId="14" w16cid:durableId="1602370420">
    <w:abstractNumId w:val="3"/>
  </w:num>
  <w:num w:numId="15" w16cid:durableId="1352032855">
    <w:abstractNumId w:val="15"/>
  </w:num>
  <w:num w:numId="16" w16cid:durableId="2126650351">
    <w:abstractNumId w:val="4"/>
  </w:num>
  <w:num w:numId="17" w16cid:durableId="2073038980">
    <w:abstractNumId w:val="10"/>
  </w:num>
  <w:num w:numId="18" w16cid:durableId="226260037">
    <w:abstractNumId w:val="5"/>
  </w:num>
  <w:num w:numId="19" w16cid:durableId="1884125190">
    <w:abstractNumId w:val="17"/>
  </w:num>
  <w:num w:numId="20" w16cid:durableId="113444946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1ADD"/>
    <w:rsid w:val="00001F22"/>
    <w:rsid w:val="000024EC"/>
    <w:rsid w:val="00002E64"/>
    <w:rsid w:val="00003263"/>
    <w:rsid w:val="00003F41"/>
    <w:rsid w:val="000058D4"/>
    <w:rsid w:val="00005E44"/>
    <w:rsid w:val="00007FA6"/>
    <w:rsid w:val="0001017A"/>
    <w:rsid w:val="00010602"/>
    <w:rsid w:val="00010F79"/>
    <w:rsid w:val="000209B2"/>
    <w:rsid w:val="0002602F"/>
    <w:rsid w:val="0002717C"/>
    <w:rsid w:val="00030BDB"/>
    <w:rsid w:val="00030E46"/>
    <w:rsid w:val="00032882"/>
    <w:rsid w:val="0003303F"/>
    <w:rsid w:val="00033ADA"/>
    <w:rsid w:val="000407B3"/>
    <w:rsid w:val="000431D5"/>
    <w:rsid w:val="00043F81"/>
    <w:rsid w:val="00045D49"/>
    <w:rsid w:val="00046196"/>
    <w:rsid w:val="00046C25"/>
    <w:rsid w:val="00046E8A"/>
    <w:rsid w:val="0004725E"/>
    <w:rsid w:val="00047A8F"/>
    <w:rsid w:val="0005076C"/>
    <w:rsid w:val="00053CDD"/>
    <w:rsid w:val="00055A03"/>
    <w:rsid w:val="00057AFA"/>
    <w:rsid w:val="00061BE9"/>
    <w:rsid w:val="00063420"/>
    <w:rsid w:val="000665B0"/>
    <w:rsid w:val="00066B9E"/>
    <w:rsid w:val="000706F1"/>
    <w:rsid w:val="000715F2"/>
    <w:rsid w:val="00071D2B"/>
    <w:rsid w:val="000720C8"/>
    <w:rsid w:val="00073146"/>
    <w:rsid w:val="0007335F"/>
    <w:rsid w:val="000744C7"/>
    <w:rsid w:val="00076C74"/>
    <w:rsid w:val="0008121B"/>
    <w:rsid w:val="00084E58"/>
    <w:rsid w:val="000879CE"/>
    <w:rsid w:val="000900E2"/>
    <w:rsid w:val="00091A51"/>
    <w:rsid w:val="00093404"/>
    <w:rsid w:val="00094FB7"/>
    <w:rsid w:val="00095793"/>
    <w:rsid w:val="00096152"/>
    <w:rsid w:val="000968DD"/>
    <w:rsid w:val="00096A96"/>
    <w:rsid w:val="000971D5"/>
    <w:rsid w:val="000972A0"/>
    <w:rsid w:val="000A0465"/>
    <w:rsid w:val="000A14BA"/>
    <w:rsid w:val="000A1894"/>
    <w:rsid w:val="000A4F3A"/>
    <w:rsid w:val="000A6701"/>
    <w:rsid w:val="000B0F99"/>
    <w:rsid w:val="000B2A56"/>
    <w:rsid w:val="000B659F"/>
    <w:rsid w:val="000B7512"/>
    <w:rsid w:val="000C10C2"/>
    <w:rsid w:val="000C1679"/>
    <w:rsid w:val="000C2972"/>
    <w:rsid w:val="000C2C76"/>
    <w:rsid w:val="000C5BF6"/>
    <w:rsid w:val="000D180E"/>
    <w:rsid w:val="000D2D6D"/>
    <w:rsid w:val="000D2EF4"/>
    <w:rsid w:val="000D5E50"/>
    <w:rsid w:val="000E02B1"/>
    <w:rsid w:val="000E1727"/>
    <w:rsid w:val="000E1926"/>
    <w:rsid w:val="000E6162"/>
    <w:rsid w:val="000E7EB7"/>
    <w:rsid w:val="000F0FE0"/>
    <w:rsid w:val="000F1ABF"/>
    <w:rsid w:val="000F49B1"/>
    <w:rsid w:val="000F560D"/>
    <w:rsid w:val="000F713A"/>
    <w:rsid w:val="00100EDD"/>
    <w:rsid w:val="001013F0"/>
    <w:rsid w:val="00102684"/>
    <w:rsid w:val="00103DE4"/>
    <w:rsid w:val="00105569"/>
    <w:rsid w:val="00105B6C"/>
    <w:rsid w:val="00106189"/>
    <w:rsid w:val="00106E35"/>
    <w:rsid w:val="00107D1B"/>
    <w:rsid w:val="00111A11"/>
    <w:rsid w:val="001146E3"/>
    <w:rsid w:val="00114A3A"/>
    <w:rsid w:val="00116A11"/>
    <w:rsid w:val="00116F59"/>
    <w:rsid w:val="001170EA"/>
    <w:rsid w:val="0011749E"/>
    <w:rsid w:val="0011796C"/>
    <w:rsid w:val="00120B2D"/>
    <w:rsid w:val="00122242"/>
    <w:rsid w:val="00122A70"/>
    <w:rsid w:val="00124D95"/>
    <w:rsid w:val="00134D77"/>
    <w:rsid w:val="001372BC"/>
    <w:rsid w:val="00137B4C"/>
    <w:rsid w:val="00141D3F"/>
    <w:rsid w:val="0014308E"/>
    <w:rsid w:val="00145A2E"/>
    <w:rsid w:val="00145E54"/>
    <w:rsid w:val="00146EC8"/>
    <w:rsid w:val="00150CA4"/>
    <w:rsid w:val="001516D8"/>
    <w:rsid w:val="001534B0"/>
    <w:rsid w:val="001538C4"/>
    <w:rsid w:val="00161C11"/>
    <w:rsid w:val="00163A14"/>
    <w:rsid w:val="00163D4F"/>
    <w:rsid w:val="00165236"/>
    <w:rsid w:val="00165261"/>
    <w:rsid w:val="00165CF2"/>
    <w:rsid w:val="00167E9C"/>
    <w:rsid w:val="0017238D"/>
    <w:rsid w:val="00172BC1"/>
    <w:rsid w:val="0017483A"/>
    <w:rsid w:val="00177611"/>
    <w:rsid w:val="00177841"/>
    <w:rsid w:val="001807D5"/>
    <w:rsid w:val="00181135"/>
    <w:rsid w:val="00182901"/>
    <w:rsid w:val="0018348A"/>
    <w:rsid w:val="00184E2D"/>
    <w:rsid w:val="00186694"/>
    <w:rsid w:val="001869F2"/>
    <w:rsid w:val="00187C1A"/>
    <w:rsid w:val="00193DEA"/>
    <w:rsid w:val="001946F0"/>
    <w:rsid w:val="00195AF3"/>
    <w:rsid w:val="001964B0"/>
    <w:rsid w:val="001967E7"/>
    <w:rsid w:val="00197160"/>
    <w:rsid w:val="00197744"/>
    <w:rsid w:val="001A0504"/>
    <w:rsid w:val="001A107D"/>
    <w:rsid w:val="001A129D"/>
    <w:rsid w:val="001A2883"/>
    <w:rsid w:val="001A2CB0"/>
    <w:rsid w:val="001A6E9E"/>
    <w:rsid w:val="001B0252"/>
    <w:rsid w:val="001B214F"/>
    <w:rsid w:val="001B3395"/>
    <w:rsid w:val="001B3BA7"/>
    <w:rsid w:val="001B4A0D"/>
    <w:rsid w:val="001C20FF"/>
    <w:rsid w:val="001C399A"/>
    <w:rsid w:val="001D2701"/>
    <w:rsid w:val="001D274B"/>
    <w:rsid w:val="001D6563"/>
    <w:rsid w:val="001D6CD1"/>
    <w:rsid w:val="001D79F8"/>
    <w:rsid w:val="001E1524"/>
    <w:rsid w:val="001E2785"/>
    <w:rsid w:val="001E2D0C"/>
    <w:rsid w:val="001E33DA"/>
    <w:rsid w:val="001E615A"/>
    <w:rsid w:val="001F0F28"/>
    <w:rsid w:val="001F146B"/>
    <w:rsid w:val="001F437A"/>
    <w:rsid w:val="001F4BCE"/>
    <w:rsid w:val="001F6A5D"/>
    <w:rsid w:val="001F6C03"/>
    <w:rsid w:val="001F764A"/>
    <w:rsid w:val="002009C6"/>
    <w:rsid w:val="00201DAA"/>
    <w:rsid w:val="00203D55"/>
    <w:rsid w:val="00203D99"/>
    <w:rsid w:val="002110C0"/>
    <w:rsid w:val="00213F80"/>
    <w:rsid w:val="002144E8"/>
    <w:rsid w:val="00215E75"/>
    <w:rsid w:val="00216044"/>
    <w:rsid w:val="002166A1"/>
    <w:rsid w:val="002200D1"/>
    <w:rsid w:val="0022168C"/>
    <w:rsid w:val="00223997"/>
    <w:rsid w:val="0022470E"/>
    <w:rsid w:val="002248D8"/>
    <w:rsid w:val="0022528F"/>
    <w:rsid w:val="00225A25"/>
    <w:rsid w:val="00225AB9"/>
    <w:rsid w:val="00230F4A"/>
    <w:rsid w:val="002312A2"/>
    <w:rsid w:val="002315FF"/>
    <w:rsid w:val="00232539"/>
    <w:rsid w:val="0023310B"/>
    <w:rsid w:val="00233182"/>
    <w:rsid w:val="0023620A"/>
    <w:rsid w:val="00237B50"/>
    <w:rsid w:val="002400B0"/>
    <w:rsid w:val="00241068"/>
    <w:rsid w:val="00241631"/>
    <w:rsid w:val="002426C1"/>
    <w:rsid w:val="00242951"/>
    <w:rsid w:val="00243626"/>
    <w:rsid w:val="0024442E"/>
    <w:rsid w:val="00245C81"/>
    <w:rsid w:val="00246DAE"/>
    <w:rsid w:val="00250FB0"/>
    <w:rsid w:val="0025112B"/>
    <w:rsid w:val="0025373A"/>
    <w:rsid w:val="00254FFE"/>
    <w:rsid w:val="00255BCC"/>
    <w:rsid w:val="002562EA"/>
    <w:rsid w:val="00257B80"/>
    <w:rsid w:val="0026105D"/>
    <w:rsid w:val="00262375"/>
    <w:rsid w:val="00267A04"/>
    <w:rsid w:val="002715C0"/>
    <w:rsid w:val="00271DEE"/>
    <w:rsid w:val="0027404A"/>
    <w:rsid w:val="002759C7"/>
    <w:rsid w:val="00276066"/>
    <w:rsid w:val="002817DB"/>
    <w:rsid w:val="00281CCC"/>
    <w:rsid w:val="0028278B"/>
    <w:rsid w:val="00283467"/>
    <w:rsid w:val="00284367"/>
    <w:rsid w:val="0028471F"/>
    <w:rsid w:val="002847EE"/>
    <w:rsid w:val="002861D7"/>
    <w:rsid w:val="00286AA7"/>
    <w:rsid w:val="00291672"/>
    <w:rsid w:val="00291AE5"/>
    <w:rsid w:val="00295E28"/>
    <w:rsid w:val="00295EA6"/>
    <w:rsid w:val="0029605A"/>
    <w:rsid w:val="00296EBE"/>
    <w:rsid w:val="00296EEC"/>
    <w:rsid w:val="00297119"/>
    <w:rsid w:val="002A5211"/>
    <w:rsid w:val="002A58B0"/>
    <w:rsid w:val="002A6790"/>
    <w:rsid w:val="002A6EE4"/>
    <w:rsid w:val="002B03C0"/>
    <w:rsid w:val="002B1A80"/>
    <w:rsid w:val="002B237C"/>
    <w:rsid w:val="002B26AF"/>
    <w:rsid w:val="002B5647"/>
    <w:rsid w:val="002B7E56"/>
    <w:rsid w:val="002C0258"/>
    <w:rsid w:val="002C0468"/>
    <w:rsid w:val="002C0F54"/>
    <w:rsid w:val="002C1CF4"/>
    <w:rsid w:val="002C3B72"/>
    <w:rsid w:val="002C3FD1"/>
    <w:rsid w:val="002C53A1"/>
    <w:rsid w:val="002C7527"/>
    <w:rsid w:val="002C7A2A"/>
    <w:rsid w:val="002D1C4B"/>
    <w:rsid w:val="002D1D65"/>
    <w:rsid w:val="002D2BBD"/>
    <w:rsid w:val="002D2FF5"/>
    <w:rsid w:val="002D457F"/>
    <w:rsid w:val="002D715B"/>
    <w:rsid w:val="002E049E"/>
    <w:rsid w:val="002E4AF6"/>
    <w:rsid w:val="002E54FD"/>
    <w:rsid w:val="002E70C9"/>
    <w:rsid w:val="002E7C5D"/>
    <w:rsid w:val="002F16BE"/>
    <w:rsid w:val="002F1EE2"/>
    <w:rsid w:val="002F21DC"/>
    <w:rsid w:val="002F7CFC"/>
    <w:rsid w:val="003005AC"/>
    <w:rsid w:val="0030171D"/>
    <w:rsid w:val="003021FD"/>
    <w:rsid w:val="00302775"/>
    <w:rsid w:val="00303FF5"/>
    <w:rsid w:val="003051CC"/>
    <w:rsid w:val="00306576"/>
    <w:rsid w:val="00310849"/>
    <w:rsid w:val="00315106"/>
    <w:rsid w:val="003154ED"/>
    <w:rsid w:val="003155D4"/>
    <w:rsid w:val="00323D3C"/>
    <w:rsid w:val="003242D5"/>
    <w:rsid w:val="003247C8"/>
    <w:rsid w:val="00324D0B"/>
    <w:rsid w:val="00325CBB"/>
    <w:rsid w:val="0032613A"/>
    <w:rsid w:val="00331F09"/>
    <w:rsid w:val="0033682D"/>
    <w:rsid w:val="00337A9E"/>
    <w:rsid w:val="00340A9A"/>
    <w:rsid w:val="0034188A"/>
    <w:rsid w:val="00341D4D"/>
    <w:rsid w:val="0034379C"/>
    <w:rsid w:val="00343A4F"/>
    <w:rsid w:val="00350A9D"/>
    <w:rsid w:val="00350CD2"/>
    <w:rsid w:val="00352243"/>
    <w:rsid w:val="003525C7"/>
    <w:rsid w:val="00353211"/>
    <w:rsid w:val="00354DF5"/>
    <w:rsid w:val="00357C8D"/>
    <w:rsid w:val="0036105B"/>
    <w:rsid w:val="00362BEF"/>
    <w:rsid w:val="00371B1A"/>
    <w:rsid w:val="003730B8"/>
    <w:rsid w:val="003737B7"/>
    <w:rsid w:val="00373D42"/>
    <w:rsid w:val="00373E43"/>
    <w:rsid w:val="00374C45"/>
    <w:rsid w:val="00375DF6"/>
    <w:rsid w:val="00375FAF"/>
    <w:rsid w:val="00376970"/>
    <w:rsid w:val="003771EC"/>
    <w:rsid w:val="00377593"/>
    <w:rsid w:val="00377EAA"/>
    <w:rsid w:val="00381D46"/>
    <w:rsid w:val="0038292E"/>
    <w:rsid w:val="00382A89"/>
    <w:rsid w:val="00384731"/>
    <w:rsid w:val="00386C53"/>
    <w:rsid w:val="003902FF"/>
    <w:rsid w:val="00392FD9"/>
    <w:rsid w:val="00394EF6"/>
    <w:rsid w:val="00395EBC"/>
    <w:rsid w:val="00397567"/>
    <w:rsid w:val="003976E7"/>
    <w:rsid w:val="003A0076"/>
    <w:rsid w:val="003A27E0"/>
    <w:rsid w:val="003A3A05"/>
    <w:rsid w:val="003A4D99"/>
    <w:rsid w:val="003A5670"/>
    <w:rsid w:val="003A5B3B"/>
    <w:rsid w:val="003A663C"/>
    <w:rsid w:val="003A7BF6"/>
    <w:rsid w:val="003B0C64"/>
    <w:rsid w:val="003B179A"/>
    <w:rsid w:val="003B28BF"/>
    <w:rsid w:val="003B445C"/>
    <w:rsid w:val="003B4640"/>
    <w:rsid w:val="003B607F"/>
    <w:rsid w:val="003B7052"/>
    <w:rsid w:val="003C0EE2"/>
    <w:rsid w:val="003C121E"/>
    <w:rsid w:val="003C1B56"/>
    <w:rsid w:val="003C24AA"/>
    <w:rsid w:val="003C2EAA"/>
    <w:rsid w:val="003C337A"/>
    <w:rsid w:val="003C3723"/>
    <w:rsid w:val="003C3DD3"/>
    <w:rsid w:val="003C45CF"/>
    <w:rsid w:val="003C4B56"/>
    <w:rsid w:val="003C6732"/>
    <w:rsid w:val="003C6E42"/>
    <w:rsid w:val="003C7C2C"/>
    <w:rsid w:val="003D028D"/>
    <w:rsid w:val="003D2BD6"/>
    <w:rsid w:val="003D2EB4"/>
    <w:rsid w:val="003D5B97"/>
    <w:rsid w:val="003D77CB"/>
    <w:rsid w:val="003D77F5"/>
    <w:rsid w:val="003D7DE1"/>
    <w:rsid w:val="003E5744"/>
    <w:rsid w:val="003F04D0"/>
    <w:rsid w:val="003F26BA"/>
    <w:rsid w:val="003F534A"/>
    <w:rsid w:val="003F5F0B"/>
    <w:rsid w:val="00400E06"/>
    <w:rsid w:val="00404CF1"/>
    <w:rsid w:val="00406A45"/>
    <w:rsid w:val="0040716E"/>
    <w:rsid w:val="00411091"/>
    <w:rsid w:val="004130ED"/>
    <w:rsid w:val="00415057"/>
    <w:rsid w:val="004157B2"/>
    <w:rsid w:val="00421D2D"/>
    <w:rsid w:val="00422069"/>
    <w:rsid w:val="004238B3"/>
    <w:rsid w:val="00427A24"/>
    <w:rsid w:val="00430532"/>
    <w:rsid w:val="00430DC6"/>
    <w:rsid w:val="004325DA"/>
    <w:rsid w:val="004329C9"/>
    <w:rsid w:val="00433F14"/>
    <w:rsid w:val="00434682"/>
    <w:rsid w:val="00435CC4"/>
    <w:rsid w:val="0043650D"/>
    <w:rsid w:val="00440AE1"/>
    <w:rsid w:val="00440B5C"/>
    <w:rsid w:val="00441321"/>
    <w:rsid w:val="004443A7"/>
    <w:rsid w:val="00444746"/>
    <w:rsid w:val="00446AFA"/>
    <w:rsid w:val="00452C4C"/>
    <w:rsid w:val="0045718F"/>
    <w:rsid w:val="004579B2"/>
    <w:rsid w:val="00457CFD"/>
    <w:rsid w:val="00460E7A"/>
    <w:rsid w:val="00466784"/>
    <w:rsid w:val="004726B4"/>
    <w:rsid w:val="004731D5"/>
    <w:rsid w:val="0047357D"/>
    <w:rsid w:val="0048196E"/>
    <w:rsid w:val="004840B2"/>
    <w:rsid w:val="00485149"/>
    <w:rsid w:val="0048548B"/>
    <w:rsid w:val="004926D7"/>
    <w:rsid w:val="0049454D"/>
    <w:rsid w:val="004953DE"/>
    <w:rsid w:val="00495F06"/>
    <w:rsid w:val="004A05DA"/>
    <w:rsid w:val="004A0C3D"/>
    <w:rsid w:val="004A1ADD"/>
    <w:rsid w:val="004A235E"/>
    <w:rsid w:val="004A474F"/>
    <w:rsid w:val="004A4C30"/>
    <w:rsid w:val="004A50F7"/>
    <w:rsid w:val="004A5D9D"/>
    <w:rsid w:val="004A5EA6"/>
    <w:rsid w:val="004A60A0"/>
    <w:rsid w:val="004A6BDA"/>
    <w:rsid w:val="004B2CA6"/>
    <w:rsid w:val="004B5A53"/>
    <w:rsid w:val="004B6D4D"/>
    <w:rsid w:val="004B6F99"/>
    <w:rsid w:val="004B750C"/>
    <w:rsid w:val="004B7E60"/>
    <w:rsid w:val="004C266D"/>
    <w:rsid w:val="004C5D93"/>
    <w:rsid w:val="004C7FEC"/>
    <w:rsid w:val="004D187D"/>
    <w:rsid w:val="004D23CE"/>
    <w:rsid w:val="004D49F5"/>
    <w:rsid w:val="004D6169"/>
    <w:rsid w:val="004D66D3"/>
    <w:rsid w:val="004E0FB3"/>
    <w:rsid w:val="004E10F8"/>
    <w:rsid w:val="004E146C"/>
    <w:rsid w:val="004E2520"/>
    <w:rsid w:val="004F2DBC"/>
    <w:rsid w:val="004F3C7A"/>
    <w:rsid w:val="004F46FC"/>
    <w:rsid w:val="005024F2"/>
    <w:rsid w:val="00511EA0"/>
    <w:rsid w:val="00512AE2"/>
    <w:rsid w:val="00512CC4"/>
    <w:rsid w:val="00514102"/>
    <w:rsid w:val="00514203"/>
    <w:rsid w:val="00520790"/>
    <w:rsid w:val="005211CA"/>
    <w:rsid w:val="00521C3A"/>
    <w:rsid w:val="00525A26"/>
    <w:rsid w:val="005271EA"/>
    <w:rsid w:val="00527848"/>
    <w:rsid w:val="005304FB"/>
    <w:rsid w:val="005334E4"/>
    <w:rsid w:val="005339DA"/>
    <w:rsid w:val="00535E4D"/>
    <w:rsid w:val="00537133"/>
    <w:rsid w:val="0054019D"/>
    <w:rsid w:val="00541AD2"/>
    <w:rsid w:val="00541B79"/>
    <w:rsid w:val="005423A5"/>
    <w:rsid w:val="005440EA"/>
    <w:rsid w:val="00544FA6"/>
    <w:rsid w:val="00546A28"/>
    <w:rsid w:val="00547CEB"/>
    <w:rsid w:val="00547F68"/>
    <w:rsid w:val="005518CB"/>
    <w:rsid w:val="0055455F"/>
    <w:rsid w:val="0055485E"/>
    <w:rsid w:val="0055581B"/>
    <w:rsid w:val="00555C80"/>
    <w:rsid w:val="00557899"/>
    <w:rsid w:val="00557B0D"/>
    <w:rsid w:val="0056017B"/>
    <w:rsid w:val="005613FE"/>
    <w:rsid w:val="00561815"/>
    <w:rsid w:val="00562866"/>
    <w:rsid w:val="0056408F"/>
    <w:rsid w:val="00565ACD"/>
    <w:rsid w:val="00565E47"/>
    <w:rsid w:val="00567904"/>
    <w:rsid w:val="005700A2"/>
    <w:rsid w:val="00571AA4"/>
    <w:rsid w:val="00573AC4"/>
    <w:rsid w:val="005758B7"/>
    <w:rsid w:val="005806EF"/>
    <w:rsid w:val="00584D39"/>
    <w:rsid w:val="00585A61"/>
    <w:rsid w:val="00595454"/>
    <w:rsid w:val="005955BE"/>
    <w:rsid w:val="005957FB"/>
    <w:rsid w:val="005959F0"/>
    <w:rsid w:val="00597878"/>
    <w:rsid w:val="005A0DE5"/>
    <w:rsid w:val="005A19A3"/>
    <w:rsid w:val="005A20F8"/>
    <w:rsid w:val="005A3998"/>
    <w:rsid w:val="005A54F9"/>
    <w:rsid w:val="005A5F06"/>
    <w:rsid w:val="005A720B"/>
    <w:rsid w:val="005B219C"/>
    <w:rsid w:val="005B2A07"/>
    <w:rsid w:val="005B31E1"/>
    <w:rsid w:val="005B3EB2"/>
    <w:rsid w:val="005B5FCF"/>
    <w:rsid w:val="005B6286"/>
    <w:rsid w:val="005B66A3"/>
    <w:rsid w:val="005B6F2B"/>
    <w:rsid w:val="005B6FA2"/>
    <w:rsid w:val="005C081A"/>
    <w:rsid w:val="005C737B"/>
    <w:rsid w:val="005C73CA"/>
    <w:rsid w:val="005D1763"/>
    <w:rsid w:val="005D1E99"/>
    <w:rsid w:val="005D4CFC"/>
    <w:rsid w:val="005D6825"/>
    <w:rsid w:val="005D697A"/>
    <w:rsid w:val="005D763F"/>
    <w:rsid w:val="005E2010"/>
    <w:rsid w:val="005E4016"/>
    <w:rsid w:val="005E4EE2"/>
    <w:rsid w:val="005E6C40"/>
    <w:rsid w:val="005E7AE0"/>
    <w:rsid w:val="005E7CD2"/>
    <w:rsid w:val="005F01AA"/>
    <w:rsid w:val="005F32B5"/>
    <w:rsid w:val="005F4CED"/>
    <w:rsid w:val="005F6E15"/>
    <w:rsid w:val="00600F69"/>
    <w:rsid w:val="0060121B"/>
    <w:rsid w:val="006018A1"/>
    <w:rsid w:val="006050E4"/>
    <w:rsid w:val="006071C1"/>
    <w:rsid w:val="006071D1"/>
    <w:rsid w:val="00610177"/>
    <w:rsid w:val="006134A1"/>
    <w:rsid w:val="00613567"/>
    <w:rsid w:val="00614AA4"/>
    <w:rsid w:val="00617CA3"/>
    <w:rsid w:val="00617F86"/>
    <w:rsid w:val="006226B7"/>
    <w:rsid w:val="00623E2A"/>
    <w:rsid w:val="00624255"/>
    <w:rsid w:val="006305E0"/>
    <w:rsid w:val="0063085D"/>
    <w:rsid w:val="00631E75"/>
    <w:rsid w:val="006338E0"/>
    <w:rsid w:val="00633C6C"/>
    <w:rsid w:val="00634B60"/>
    <w:rsid w:val="00640B0F"/>
    <w:rsid w:val="00640D18"/>
    <w:rsid w:val="006410E2"/>
    <w:rsid w:val="00642AAB"/>
    <w:rsid w:val="0064352A"/>
    <w:rsid w:val="0064353D"/>
    <w:rsid w:val="00643C53"/>
    <w:rsid w:val="00643DFC"/>
    <w:rsid w:val="006454BD"/>
    <w:rsid w:val="00646030"/>
    <w:rsid w:val="0064645B"/>
    <w:rsid w:val="00646C71"/>
    <w:rsid w:val="00646D90"/>
    <w:rsid w:val="00650212"/>
    <w:rsid w:val="0065027D"/>
    <w:rsid w:val="0065064F"/>
    <w:rsid w:val="00650BD6"/>
    <w:rsid w:val="00654B09"/>
    <w:rsid w:val="00655FCF"/>
    <w:rsid w:val="006606C1"/>
    <w:rsid w:val="00660D37"/>
    <w:rsid w:val="00660D93"/>
    <w:rsid w:val="00664B84"/>
    <w:rsid w:val="00665756"/>
    <w:rsid w:val="00667322"/>
    <w:rsid w:val="006678DB"/>
    <w:rsid w:val="00673D32"/>
    <w:rsid w:val="00674AB3"/>
    <w:rsid w:val="00675FC6"/>
    <w:rsid w:val="00676FB5"/>
    <w:rsid w:val="0067772D"/>
    <w:rsid w:val="00682077"/>
    <w:rsid w:val="006825B0"/>
    <w:rsid w:val="0068544B"/>
    <w:rsid w:val="00685AA7"/>
    <w:rsid w:val="00686429"/>
    <w:rsid w:val="0068694C"/>
    <w:rsid w:val="00687B6D"/>
    <w:rsid w:val="0069333A"/>
    <w:rsid w:val="00695A4D"/>
    <w:rsid w:val="00695E2C"/>
    <w:rsid w:val="00696081"/>
    <w:rsid w:val="00696B08"/>
    <w:rsid w:val="00696F1F"/>
    <w:rsid w:val="006A001B"/>
    <w:rsid w:val="006A1B5B"/>
    <w:rsid w:val="006A33EB"/>
    <w:rsid w:val="006A3B30"/>
    <w:rsid w:val="006A4966"/>
    <w:rsid w:val="006A6AAE"/>
    <w:rsid w:val="006A6E6C"/>
    <w:rsid w:val="006A794C"/>
    <w:rsid w:val="006A7EE3"/>
    <w:rsid w:val="006B17DF"/>
    <w:rsid w:val="006B2118"/>
    <w:rsid w:val="006B3E9C"/>
    <w:rsid w:val="006B4052"/>
    <w:rsid w:val="006B4A7B"/>
    <w:rsid w:val="006B5107"/>
    <w:rsid w:val="006B58F1"/>
    <w:rsid w:val="006B669B"/>
    <w:rsid w:val="006B7E7C"/>
    <w:rsid w:val="006C0489"/>
    <w:rsid w:val="006C0FBE"/>
    <w:rsid w:val="006C3917"/>
    <w:rsid w:val="006C44BC"/>
    <w:rsid w:val="006C4EEE"/>
    <w:rsid w:val="006C6281"/>
    <w:rsid w:val="006C719B"/>
    <w:rsid w:val="006C7CA6"/>
    <w:rsid w:val="006D29A5"/>
    <w:rsid w:val="006D3D0F"/>
    <w:rsid w:val="006D5E86"/>
    <w:rsid w:val="006D5F96"/>
    <w:rsid w:val="006D6E16"/>
    <w:rsid w:val="006E131D"/>
    <w:rsid w:val="006E16E0"/>
    <w:rsid w:val="006E4AB3"/>
    <w:rsid w:val="006E555C"/>
    <w:rsid w:val="006E72EE"/>
    <w:rsid w:val="006F560E"/>
    <w:rsid w:val="0070490C"/>
    <w:rsid w:val="007051AA"/>
    <w:rsid w:val="00705CF8"/>
    <w:rsid w:val="00706434"/>
    <w:rsid w:val="00706774"/>
    <w:rsid w:val="00710321"/>
    <w:rsid w:val="00710B12"/>
    <w:rsid w:val="00711731"/>
    <w:rsid w:val="00713845"/>
    <w:rsid w:val="00714609"/>
    <w:rsid w:val="007164F2"/>
    <w:rsid w:val="00716B2A"/>
    <w:rsid w:val="00716D9A"/>
    <w:rsid w:val="007228E9"/>
    <w:rsid w:val="0072544F"/>
    <w:rsid w:val="007262CB"/>
    <w:rsid w:val="007274E5"/>
    <w:rsid w:val="00731FC8"/>
    <w:rsid w:val="00731FEE"/>
    <w:rsid w:val="00732AFE"/>
    <w:rsid w:val="007331B5"/>
    <w:rsid w:val="00740726"/>
    <w:rsid w:val="00741BEE"/>
    <w:rsid w:val="00741D9B"/>
    <w:rsid w:val="007452BE"/>
    <w:rsid w:val="0074585B"/>
    <w:rsid w:val="00745C61"/>
    <w:rsid w:val="00750C8C"/>
    <w:rsid w:val="00751B62"/>
    <w:rsid w:val="00751C36"/>
    <w:rsid w:val="00752B9A"/>
    <w:rsid w:val="00753609"/>
    <w:rsid w:val="00757DFC"/>
    <w:rsid w:val="007629B1"/>
    <w:rsid w:val="007634B7"/>
    <w:rsid w:val="00763C21"/>
    <w:rsid w:val="00763F72"/>
    <w:rsid w:val="007651E5"/>
    <w:rsid w:val="00766091"/>
    <w:rsid w:val="00766C88"/>
    <w:rsid w:val="00767DCB"/>
    <w:rsid w:val="00770847"/>
    <w:rsid w:val="007729BD"/>
    <w:rsid w:val="00772D5F"/>
    <w:rsid w:val="00773951"/>
    <w:rsid w:val="00773C97"/>
    <w:rsid w:val="00774EC0"/>
    <w:rsid w:val="00774FD2"/>
    <w:rsid w:val="00775400"/>
    <w:rsid w:val="007804F7"/>
    <w:rsid w:val="00781F15"/>
    <w:rsid w:val="007835DF"/>
    <w:rsid w:val="00783A55"/>
    <w:rsid w:val="00784C95"/>
    <w:rsid w:val="00785524"/>
    <w:rsid w:val="00786285"/>
    <w:rsid w:val="00790EBC"/>
    <w:rsid w:val="00792A7E"/>
    <w:rsid w:val="00793B3E"/>
    <w:rsid w:val="00793E73"/>
    <w:rsid w:val="00794E70"/>
    <w:rsid w:val="00795D04"/>
    <w:rsid w:val="00796946"/>
    <w:rsid w:val="00796A0C"/>
    <w:rsid w:val="00796A28"/>
    <w:rsid w:val="00797196"/>
    <w:rsid w:val="007A2B3E"/>
    <w:rsid w:val="007A7B12"/>
    <w:rsid w:val="007A7BC1"/>
    <w:rsid w:val="007A7CDF"/>
    <w:rsid w:val="007B022F"/>
    <w:rsid w:val="007B0B3D"/>
    <w:rsid w:val="007B1D00"/>
    <w:rsid w:val="007B26CD"/>
    <w:rsid w:val="007B2842"/>
    <w:rsid w:val="007B437E"/>
    <w:rsid w:val="007B48AE"/>
    <w:rsid w:val="007B4BDD"/>
    <w:rsid w:val="007B7AA8"/>
    <w:rsid w:val="007C05EA"/>
    <w:rsid w:val="007C1597"/>
    <w:rsid w:val="007C196D"/>
    <w:rsid w:val="007C1F78"/>
    <w:rsid w:val="007C4105"/>
    <w:rsid w:val="007C4720"/>
    <w:rsid w:val="007C47B1"/>
    <w:rsid w:val="007C4DC2"/>
    <w:rsid w:val="007C6167"/>
    <w:rsid w:val="007D03F5"/>
    <w:rsid w:val="007D0D00"/>
    <w:rsid w:val="007D47D5"/>
    <w:rsid w:val="007D5498"/>
    <w:rsid w:val="007D6263"/>
    <w:rsid w:val="007E437E"/>
    <w:rsid w:val="007E5811"/>
    <w:rsid w:val="007E5A70"/>
    <w:rsid w:val="007F04FF"/>
    <w:rsid w:val="007F06D3"/>
    <w:rsid w:val="007F3C92"/>
    <w:rsid w:val="007F519C"/>
    <w:rsid w:val="007F6186"/>
    <w:rsid w:val="007F6CD7"/>
    <w:rsid w:val="007F7BE0"/>
    <w:rsid w:val="00802922"/>
    <w:rsid w:val="00803790"/>
    <w:rsid w:val="0080684A"/>
    <w:rsid w:val="00807929"/>
    <w:rsid w:val="008105E0"/>
    <w:rsid w:val="00810F97"/>
    <w:rsid w:val="00811649"/>
    <w:rsid w:val="00812A62"/>
    <w:rsid w:val="00814E12"/>
    <w:rsid w:val="00815D55"/>
    <w:rsid w:val="00817D6B"/>
    <w:rsid w:val="008235E7"/>
    <w:rsid w:val="008239C5"/>
    <w:rsid w:val="00825E3F"/>
    <w:rsid w:val="00826D33"/>
    <w:rsid w:val="0082792D"/>
    <w:rsid w:val="00830BD7"/>
    <w:rsid w:val="00830EEF"/>
    <w:rsid w:val="008344D6"/>
    <w:rsid w:val="00834A93"/>
    <w:rsid w:val="00835912"/>
    <w:rsid w:val="00840392"/>
    <w:rsid w:val="0084146B"/>
    <w:rsid w:val="00843CF9"/>
    <w:rsid w:val="00844D34"/>
    <w:rsid w:val="00847383"/>
    <w:rsid w:val="008507F0"/>
    <w:rsid w:val="0085143B"/>
    <w:rsid w:val="00851AD1"/>
    <w:rsid w:val="00852D3B"/>
    <w:rsid w:val="00853391"/>
    <w:rsid w:val="008556FD"/>
    <w:rsid w:val="008559C2"/>
    <w:rsid w:val="00855F9A"/>
    <w:rsid w:val="008569A7"/>
    <w:rsid w:val="00857CDF"/>
    <w:rsid w:val="00860A99"/>
    <w:rsid w:val="00865EB9"/>
    <w:rsid w:val="00866083"/>
    <w:rsid w:val="008703B1"/>
    <w:rsid w:val="008745D0"/>
    <w:rsid w:val="00874756"/>
    <w:rsid w:val="00875C4D"/>
    <w:rsid w:val="008844F1"/>
    <w:rsid w:val="00884982"/>
    <w:rsid w:val="0088684E"/>
    <w:rsid w:val="008944D1"/>
    <w:rsid w:val="00894F3D"/>
    <w:rsid w:val="008961DC"/>
    <w:rsid w:val="00896FF0"/>
    <w:rsid w:val="00897159"/>
    <w:rsid w:val="008A0DC1"/>
    <w:rsid w:val="008A10A7"/>
    <w:rsid w:val="008A157E"/>
    <w:rsid w:val="008A1B9B"/>
    <w:rsid w:val="008A2086"/>
    <w:rsid w:val="008A617E"/>
    <w:rsid w:val="008A6C91"/>
    <w:rsid w:val="008B4888"/>
    <w:rsid w:val="008B547F"/>
    <w:rsid w:val="008B6EC9"/>
    <w:rsid w:val="008B79EF"/>
    <w:rsid w:val="008B7B1E"/>
    <w:rsid w:val="008C12EE"/>
    <w:rsid w:val="008C447C"/>
    <w:rsid w:val="008C4D49"/>
    <w:rsid w:val="008C6122"/>
    <w:rsid w:val="008C7819"/>
    <w:rsid w:val="008D034C"/>
    <w:rsid w:val="008D0711"/>
    <w:rsid w:val="008D08B0"/>
    <w:rsid w:val="008D0B48"/>
    <w:rsid w:val="008D20C6"/>
    <w:rsid w:val="008D2F7C"/>
    <w:rsid w:val="008D4EA0"/>
    <w:rsid w:val="008E1CC7"/>
    <w:rsid w:val="008E2C0A"/>
    <w:rsid w:val="008E385E"/>
    <w:rsid w:val="008E4397"/>
    <w:rsid w:val="008E4A2A"/>
    <w:rsid w:val="008E6543"/>
    <w:rsid w:val="008E7B3E"/>
    <w:rsid w:val="008F1984"/>
    <w:rsid w:val="008F1E52"/>
    <w:rsid w:val="008F2266"/>
    <w:rsid w:val="008F2BA5"/>
    <w:rsid w:val="008F467F"/>
    <w:rsid w:val="008F6928"/>
    <w:rsid w:val="008F74BC"/>
    <w:rsid w:val="00901FEF"/>
    <w:rsid w:val="009049D6"/>
    <w:rsid w:val="00906618"/>
    <w:rsid w:val="009102C2"/>
    <w:rsid w:val="00911C7E"/>
    <w:rsid w:val="00912D3C"/>
    <w:rsid w:val="00913733"/>
    <w:rsid w:val="009140A9"/>
    <w:rsid w:val="0091580E"/>
    <w:rsid w:val="0091583B"/>
    <w:rsid w:val="00916AB9"/>
    <w:rsid w:val="00917224"/>
    <w:rsid w:val="009177B0"/>
    <w:rsid w:val="00917EB0"/>
    <w:rsid w:val="00920550"/>
    <w:rsid w:val="0092164C"/>
    <w:rsid w:val="00922405"/>
    <w:rsid w:val="0092346C"/>
    <w:rsid w:val="00926BF1"/>
    <w:rsid w:val="0092743C"/>
    <w:rsid w:val="00927F01"/>
    <w:rsid w:val="009305D7"/>
    <w:rsid w:val="00930D98"/>
    <w:rsid w:val="00933126"/>
    <w:rsid w:val="009342EE"/>
    <w:rsid w:val="009368D7"/>
    <w:rsid w:val="0093785F"/>
    <w:rsid w:val="0093794F"/>
    <w:rsid w:val="0094014E"/>
    <w:rsid w:val="009412A4"/>
    <w:rsid w:val="00941359"/>
    <w:rsid w:val="009431B0"/>
    <w:rsid w:val="00943200"/>
    <w:rsid w:val="00947840"/>
    <w:rsid w:val="00954445"/>
    <w:rsid w:val="009624D8"/>
    <w:rsid w:val="0096475D"/>
    <w:rsid w:val="00964903"/>
    <w:rsid w:val="00964DC8"/>
    <w:rsid w:val="00965066"/>
    <w:rsid w:val="0096584F"/>
    <w:rsid w:val="0096627D"/>
    <w:rsid w:val="00966974"/>
    <w:rsid w:val="009669DA"/>
    <w:rsid w:val="00967546"/>
    <w:rsid w:val="009729B0"/>
    <w:rsid w:val="00976355"/>
    <w:rsid w:val="009801CE"/>
    <w:rsid w:val="00982CCF"/>
    <w:rsid w:val="00984471"/>
    <w:rsid w:val="009848BC"/>
    <w:rsid w:val="00986AD7"/>
    <w:rsid w:val="009943B1"/>
    <w:rsid w:val="00994917"/>
    <w:rsid w:val="0099597C"/>
    <w:rsid w:val="00996482"/>
    <w:rsid w:val="009A1688"/>
    <w:rsid w:val="009A367C"/>
    <w:rsid w:val="009A5A97"/>
    <w:rsid w:val="009A62CD"/>
    <w:rsid w:val="009A7716"/>
    <w:rsid w:val="009B07B3"/>
    <w:rsid w:val="009B07BF"/>
    <w:rsid w:val="009B1324"/>
    <w:rsid w:val="009B2E5B"/>
    <w:rsid w:val="009B3A0A"/>
    <w:rsid w:val="009B4071"/>
    <w:rsid w:val="009B6056"/>
    <w:rsid w:val="009B63D5"/>
    <w:rsid w:val="009B696C"/>
    <w:rsid w:val="009B6A96"/>
    <w:rsid w:val="009C101A"/>
    <w:rsid w:val="009C245B"/>
    <w:rsid w:val="009C248E"/>
    <w:rsid w:val="009C2BC5"/>
    <w:rsid w:val="009C3180"/>
    <w:rsid w:val="009C3E1C"/>
    <w:rsid w:val="009C495D"/>
    <w:rsid w:val="009C4EAC"/>
    <w:rsid w:val="009C506B"/>
    <w:rsid w:val="009C523D"/>
    <w:rsid w:val="009C55BF"/>
    <w:rsid w:val="009C73CA"/>
    <w:rsid w:val="009C7447"/>
    <w:rsid w:val="009D0CDA"/>
    <w:rsid w:val="009D1227"/>
    <w:rsid w:val="009D4151"/>
    <w:rsid w:val="009D530F"/>
    <w:rsid w:val="009D5605"/>
    <w:rsid w:val="009D5A91"/>
    <w:rsid w:val="009D5E94"/>
    <w:rsid w:val="009D63BC"/>
    <w:rsid w:val="009D69DB"/>
    <w:rsid w:val="009E073A"/>
    <w:rsid w:val="009E091A"/>
    <w:rsid w:val="009E2966"/>
    <w:rsid w:val="009E29BA"/>
    <w:rsid w:val="009E3A07"/>
    <w:rsid w:val="009E4396"/>
    <w:rsid w:val="009E577E"/>
    <w:rsid w:val="009E69FE"/>
    <w:rsid w:val="009E79EF"/>
    <w:rsid w:val="009F0C16"/>
    <w:rsid w:val="009F3B23"/>
    <w:rsid w:val="009F46DD"/>
    <w:rsid w:val="009F584D"/>
    <w:rsid w:val="009F5B63"/>
    <w:rsid w:val="009F76DB"/>
    <w:rsid w:val="00A018BB"/>
    <w:rsid w:val="00A038B0"/>
    <w:rsid w:val="00A055B7"/>
    <w:rsid w:val="00A06152"/>
    <w:rsid w:val="00A07A5E"/>
    <w:rsid w:val="00A07CB2"/>
    <w:rsid w:val="00A07FE6"/>
    <w:rsid w:val="00A1299D"/>
    <w:rsid w:val="00A12BCD"/>
    <w:rsid w:val="00A138E7"/>
    <w:rsid w:val="00A16E5D"/>
    <w:rsid w:val="00A17D35"/>
    <w:rsid w:val="00A17F77"/>
    <w:rsid w:val="00A20511"/>
    <w:rsid w:val="00A22406"/>
    <w:rsid w:val="00A23003"/>
    <w:rsid w:val="00A23CFA"/>
    <w:rsid w:val="00A2489F"/>
    <w:rsid w:val="00A25D1D"/>
    <w:rsid w:val="00A3390E"/>
    <w:rsid w:val="00A353C8"/>
    <w:rsid w:val="00A355AC"/>
    <w:rsid w:val="00A36E57"/>
    <w:rsid w:val="00A43795"/>
    <w:rsid w:val="00A43891"/>
    <w:rsid w:val="00A47E50"/>
    <w:rsid w:val="00A51735"/>
    <w:rsid w:val="00A54CC9"/>
    <w:rsid w:val="00A54E8D"/>
    <w:rsid w:val="00A55E34"/>
    <w:rsid w:val="00A56A5D"/>
    <w:rsid w:val="00A603F0"/>
    <w:rsid w:val="00A61B92"/>
    <w:rsid w:val="00A624AC"/>
    <w:rsid w:val="00A65A56"/>
    <w:rsid w:val="00A6641E"/>
    <w:rsid w:val="00A66A55"/>
    <w:rsid w:val="00A67A16"/>
    <w:rsid w:val="00A70A4D"/>
    <w:rsid w:val="00A71CD0"/>
    <w:rsid w:val="00A727D3"/>
    <w:rsid w:val="00A740FC"/>
    <w:rsid w:val="00A7704E"/>
    <w:rsid w:val="00A82455"/>
    <w:rsid w:val="00A8252D"/>
    <w:rsid w:val="00A82A20"/>
    <w:rsid w:val="00A86484"/>
    <w:rsid w:val="00A87010"/>
    <w:rsid w:val="00A87C2D"/>
    <w:rsid w:val="00A90339"/>
    <w:rsid w:val="00A91416"/>
    <w:rsid w:val="00A91548"/>
    <w:rsid w:val="00A91E66"/>
    <w:rsid w:val="00A92D1D"/>
    <w:rsid w:val="00A941D5"/>
    <w:rsid w:val="00A96370"/>
    <w:rsid w:val="00AA10A6"/>
    <w:rsid w:val="00AA1B6F"/>
    <w:rsid w:val="00AA2232"/>
    <w:rsid w:val="00AA4367"/>
    <w:rsid w:val="00AA436B"/>
    <w:rsid w:val="00AA5A57"/>
    <w:rsid w:val="00AB29D4"/>
    <w:rsid w:val="00AB31A9"/>
    <w:rsid w:val="00AB3B40"/>
    <w:rsid w:val="00AB3F7E"/>
    <w:rsid w:val="00AB5530"/>
    <w:rsid w:val="00AB76C4"/>
    <w:rsid w:val="00AC0E06"/>
    <w:rsid w:val="00AC1E14"/>
    <w:rsid w:val="00AC2AD2"/>
    <w:rsid w:val="00AC34A9"/>
    <w:rsid w:val="00AC7449"/>
    <w:rsid w:val="00AD176A"/>
    <w:rsid w:val="00AD397C"/>
    <w:rsid w:val="00AD3A30"/>
    <w:rsid w:val="00AD485D"/>
    <w:rsid w:val="00AD5064"/>
    <w:rsid w:val="00AD5C40"/>
    <w:rsid w:val="00AD7E17"/>
    <w:rsid w:val="00AD7F1A"/>
    <w:rsid w:val="00AE0664"/>
    <w:rsid w:val="00AE3317"/>
    <w:rsid w:val="00AE5624"/>
    <w:rsid w:val="00AF2263"/>
    <w:rsid w:val="00AF2329"/>
    <w:rsid w:val="00AF2842"/>
    <w:rsid w:val="00AF7D8A"/>
    <w:rsid w:val="00B003BE"/>
    <w:rsid w:val="00B01224"/>
    <w:rsid w:val="00B04478"/>
    <w:rsid w:val="00B044AD"/>
    <w:rsid w:val="00B047A2"/>
    <w:rsid w:val="00B0583D"/>
    <w:rsid w:val="00B05F32"/>
    <w:rsid w:val="00B06394"/>
    <w:rsid w:val="00B104B0"/>
    <w:rsid w:val="00B11C39"/>
    <w:rsid w:val="00B17B4E"/>
    <w:rsid w:val="00B20455"/>
    <w:rsid w:val="00B21761"/>
    <w:rsid w:val="00B218EE"/>
    <w:rsid w:val="00B22217"/>
    <w:rsid w:val="00B22A1A"/>
    <w:rsid w:val="00B23DC5"/>
    <w:rsid w:val="00B23EDC"/>
    <w:rsid w:val="00B24CE3"/>
    <w:rsid w:val="00B25B7D"/>
    <w:rsid w:val="00B27363"/>
    <w:rsid w:val="00B273C4"/>
    <w:rsid w:val="00B303FD"/>
    <w:rsid w:val="00B31CD9"/>
    <w:rsid w:val="00B32706"/>
    <w:rsid w:val="00B33D4E"/>
    <w:rsid w:val="00B34483"/>
    <w:rsid w:val="00B3515F"/>
    <w:rsid w:val="00B3619C"/>
    <w:rsid w:val="00B36EFC"/>
    <w:rsid w:val="00B415D7"/>
    <w:rsid w:val="00B4201D"/>
    <w:rsid w:val="00B420E7"/>
    <w:rsid w:val="00B43129"/>
    <w:rsid w:val="00B51336"/>
    <w:rsid w:val="00B52EAD"/>
    <w:rsid w:val="00B53DE2"/>
    <w:rsid w:val="00B53EAB"/>
    <w:rsid w:val="00B54013"/>
    <w:rsid w:val="00B540C8"/>
    <w:rsid w:val="00B54272"/>
    <w:rsid w:val="00B546D8"/>
    <w:rsid w:val="00B5689C"/>
    <w:rsid w:val="00B575F8"/>
    <w:rsid w:val="00B57FFC"/>
    <w:rsid w:val="00B61F13"/>
    <w:rsid w:val="00B62047"/>
    <w:rsid w:val="00B625AA"/>
    <w:rsid w:val="00B62A31"/>
    <w:rsid w:val="00B6592A"/>
    <w:rsid w:val="00B6627A"/>
    <w:rsid w:val="00B72175"/>
    <w:rsid w:val="00B72476"/>
    <w:rsid w:val="00B72F0B"/>
    <w:rsid w:val="00B74953"/>
    <w:rsid w:val="00B76004"/>
    <w:rsid w:val="00B760C5"/>
    <w:rsid w:val="00B80EAE"/>
    <w:rsid w:val="00B81297"/>
    <w:rsid w:val="00B81856"/>
    <w:rsid w:val="00B833D7"/>
    <w:rsid w:val="00B85FC4"/>
    <w:rsid w:val="00B906FB"/>
    <w:rsid w:val="00B90E8A"/>
    <w:rsid w:val="00B913D3"/>
    <w:rsid w:val="00B94DDD"/>
    <w:rsid w:val="00B95EB6"/>
    <w:rsid w:val="00BA085B"/>
    <w:rsid w:val="00BA373D"/>
    <w:rsid w:val="00BA597E"/>
    <w:rsid w:val="00BA5C44"/>
    <w:rsid w:val="00BA7012"/>
    <w:rsid w:val="00BA7336"/>
    <w:rsid w:val="00BB0ABB"/>
    <w:rsid w:val="00BB1651"/>
    <w:rsid w:val="00BB215F"/>
    <w:rsid w:val="00BB362F"/>
    <w:rsid w:val="00BB6E07"/>
    <w:rsid w:val="00BB77DF"/>
    <w:rsid w:val="00BC081F"/>
    <w:rsid w:val="00BC6324"/>
    <w:rsid w:val="00BC77F0"/>
    <w:rsid w:val="00BE1230"/>
    <w:rsid w:val="00BE1AB2"/>
    <w:rsid w:val="00BE2933"/>
    <w:rsid w:val="00BE2F1C"/>
    <w:rsid w:val="00BE4BEB"/>
    <w:rsid w:val="00BE6EAD"/>
    <w:rsid w:val="00BF285B"/>
    <w:rsid w:val="00BF60B4"/>
    <w:rsid w:val="00BF6814"/>
    <w:rsid w:val="00C02752"/>
    <w:rsid w:val="00C02E8F"/>
    <w:rsid w:val="00C06E5F"/>
    <w:rsid w:val="00C11345"/>
    <w:rsid w:val="00C1230E"/>
    <w:rsid w:val="00C13430"/>
    <w:rsid w:val="00C13C71"/>
    <w:rsid w:val="00C1471A"/>
    <w:rsid w:val="00C15A22"/>
    <w:rsid w:val="00C16756"/>
    <w:rsid w:val="00C16A24"/>
    <w:rsid w:val="00C16C06"/>
    <w:rsid w:val="00C1708F"/>
    <w:rsid w:val="00C20B95"/>
    <w:rsid w:val="00C21147"/>
    <w:rsid w:val="00C22E5F"/>
    <w:rsid w:val="00C23616"/>
    <w:rsid w:val="00C247DF"/>
    <w:rsid w:val="00C31806"/>
    <w:rsid w:val="00C33070"/>
    <w:rsid w:val="00C3360A"/>
    <w:rsid w:val="00C348F1"/>
    <w:rsid w:val="00C358D0"/>
    <w:rsid w:val="00C4088C"/>
    <w:rsid w:val="00C40CCD"/>
    <w:rsid w:val="00C41CA8"/>
    <w:rsid w:val="00C4377B"/>
    <w:rsid w:val="00C46835"/>
    <w:rsid w:val="00C501A5"/>
    <w:rsid w:val="00C51DD7"/>
    <w:rsid w:val="00C5227E"/>
    <w:rsid w:val="00C54F13"/>
    <w:rsid w:val="00C57198"/>
    <w:rsid w:val="00C6391E"/>
    <w:rsid w:val="00C65691"/>
    <w:rsid w:val="00C6603E"/>
    <w:rsid w:val="00C71305"/>
    <w:rsid w:val="00C72B24"/>
    <w:rsid w:val="00C76ACB"/>
    <w:rsid w:val="00C76D58"/>
    <w:rsid w:val="00C80F43"/>
    <w:rsid w:val="00C819CD"/>
    <w:rsid w:val="00C83DCA"/>
    <w:rsid w:val="00C8518F"/>
    <w:rsid w:val="00C85F11"/>
    <w:rsid w:val="00C8645E"/>
    <w:rsid w:val="00C8757C"/>
    <w:rsid w:val="00C87967"/>
    <w:rsid w:val="00C91BF8"/>
    <w:rsid w:val="00C93877"/>
    <w:rsid w:val="00C93A6F"/>
    <w:rsid w:val="00C93F64"/>
    <w:rsid w:val="00C9692B"/>
    <w:rsid w:val="00C97540"/>
    <w:rsid w:val="00CA0BD6"/>
    <w:rsid w:val="00CA277D"/>
    <w:rsid w:val="00CA2B94"/>
    <w:rsid w:val="00CA440A"/>
    <w:rsid w:val="00CA4933"/>
    <w:rsid w:val="00CA4AB7"/>
    <w:rsid w:val="00CA5103"/>
    <w:rsid w:val="00CA52DB"/>
    <w:rsid w:val="00CA7615"/>
    <w:rsid w:val="00CB1F08"/>
    <w:rsid w:val="00CB26F6"/>
    <w:rsid w:val="00CB761A"/>
    <w:rsid w:val="00CC034E"/>
    <w:rsid w:val="00CC1C19"/>
    <w:rsid w:val="00CC1EC3"/>
    <w:rsid w:val="00CC2531"/>
    <w:rsid w:val="00CC55A4"/>
    <w:rsid w:val="00CC6BDC"/>
    <w:rsid w:val="00CC71AE"/>
    <w:rsid w:val="00CC7D22"/>
    <w:rsid w:val="00CD091A"/>
    <w:rsid w:val="00CD45C5"/>
    <w:rsid w:val="00CD5A3F"/>
    <w:rsid w:val="00CD7942"/>
    <w:rsid w:val="00CD7B63"/>
    <w:rsid w:val="00CD7CEB"/>
    <w:rsid w:val="00CE1528"/>
    <w:rsid w:val="00CE4198"/>
    <w:rsid w:val="00CE658C"/>
    <w:rsid w:val="00CE7426"/>
    <w:rsid w:val="00CF0BB3"/>
    <w:rsid w:val="00CF184B"/>
    <w:rsid w:val="00CF2AD6"/>
    <w:rsid w:val="00CF31A3"/>
    <w:rsid w:val="00CF4384"/>
    <w:rsid w:val="00CF4E30"/>
    <w:rsid w:val="00CF6776"/>
    <w:rsid w:val="00CF7037"/>
    <w:rsid w:val="00CF77C2"/>
    <w:rsid w:val="00D0044A"/>
    <w:rsid w:val="00D011E6"/>
    <w:rsid w:val="00D0219C"/>
    <w:rsid w:val="00D04A41"/>
    <w:rsid w:val="00D05208"/>
    <w:rsid w:val="00D05302"/>
    <w:rsid w:val="00D05F49"/>
    <w:rsid w:val="00D06822"/>
    <w:rsid w:val="00D11189"/>
    <w:rsid w:val="00D132B7"/>
    <w:rsid w:val="00D1333E"/>
    <w:rsid w:val="00D13ACF"/>
    <w:rsid w:val="00D14220"/>
    <w:rsid w:val="00D14997"/>
    <w:rsid w:val="00D153AB"/>
    <w:rsid w:val="00D16E47"/>
    <w:rsid w:val="00D20FB4"/>
    <w:rsid w:val="00D220B0"/>
    <w:rsid w:val="00D229D9"/>
    <w:rsid w:val="00D22EAA"/>
    <w:rsid w:val="00D23A9A"/>
    <w:rsid w:val="00D26A25"/>
    <w:rsid w:val="00D306C0"/>
    <w:rsid w:val="00D30AA2"/>
    <w:rsid w:val="00D30FF5"/>
    <w:rsid w:val="00D34536"/>
    <w:rsid w:val="00D34DC9"/>
    <w:rsid w:val="00D420D0"/>
    <w:rsid w:val="00D4439A"/>
    <w:rsid w:val="00D47237"/>
    <w:rsid w:val="00D5259C"/>
    <w:rsid w:val="00D53BBB"/>
    <w:rsid w:val="00D54CCA"/>
    <w:rsid w:val="00D56619"/>
    <w:rsid w:val="00D56D86"/>
    <w:rsid w:val="00D61AFA"/>
    <w:rsid w:val="00D627A4"/>
    <w:rsid w:val="00D63DCA"/>
    <w:rsid w:val="00D71065"/>
    <w:rsid w:val="00D72DFA"/>
    <w:rsid w:val="00D7551C"/>
    <w:rsid w:val="00D75F22"/>
    <w:rsid w:val="00D769BE"/>
    <w:rsid w:val="00D86F74"/>
    <w:rsid w:val="00D86FE8"/>
    <w:rsid w:val="00D87FED"/>
    <w:rsid w:val="00D9038F"/>
    <w:rsid w:val="00D91C55"/>
    <w:rsid w:val="00D946CA"/>
    <w:rsid w:val="00DA0780"/>
    <w:rsid w:val="00DA1C30"/>
    <w:rsid w:val="00DA2242"/>
    <w:rsid w:val="00DA2CB2"/>
    <w:rsid w:val="00DA2EB4"/>
    <w:rsid w:val="00DA35F6"/>
    <w:rsid w:val="00DA40EF"/>
    <w:rsid w:val="00DA440C"/>
    <w:rsid w:val="00DA5F07"/>
    <w:rsid w:val="00DA69EF"/>
    <w:rsid w:val="00DB2283"/>
    <w:rsid w:val="00DB43EE"/>
    <w:rsid w:val="00DB46D1"/>
    <w:rsid w:val="00DB4D30"/>
    <w:rsid w:val="00DB733D"/>
    <w:rsid w:val="00DB7AC0"/>
    <w:rsid w:val="00DB7C62"/>
    <w:rsid w:val="00DC1E77"/>
    <w:rsid w:val="00DC241B"/>
    <w:rsid w:val="00DC59C7"/>
    <w:rsid w:val="00DD06D3"/>
    <w:rsid w:val="00DD218B"/>
    <w:rsid w:val="00DD3AD7"/>
    <w:rsid w:val="00DD4E44"/>
    <w:rsid w:val="00DD59E8"/>
    <w:rsid w:val="00DD63B3"/>
    <w:rsid w:val="00DD701C"/>
    <w:rsid w:val="00DD7B4B"/>
    <w:rsid w:val="00DE2A3A"/>
    <w:rsid w:val="00DE331B"/>
    <w:rsid w:val="00DE3EFB"/>
    <w:rsid w:val="00DE41D2"/>
    <w:rsid w:val="00DE479C"/>
    <w:rsid w:val="00DE58EB"/>
    <w:rsid w:val="00DE647A"/>
    <w:rsid w:val="00DE6F8E"/>
    <w:rsid w:val="00DF1477"/>
    <w:rsid w:val="00DF20EE"/>
    <w:rsid w:val="00DF408F"/>
    <w:rsid w:val="00DF4112"/>
    <w:rsid w:val="00DF48FA"/>
    <w:rsid w:val="00DF5B77"/>
    <w:rsid w:val="00DF6C0D"/>
    <w:rsid w:val="00DF73B3"/>
    <w:rsid w:val="00DF73F5"/>
    <w:rsid w:val="00E00365"/>
    <w:rsid w:val="00E020E0"/>
    <w:rsid w:val="00E02E1B"/>
    <w:rsid w:val="00E057B6"/>
    <w:rsid w:val="00E0628A"/>
    <w:rsid w:val="00E12BB2"/>
    <w:rsid w:val="00E12D51"/>
    <w:rsid w:val="00E13423"/>
    <w:rsid w:val="00E13D35"/>
    <w:rsid w:val="00E178A3"/>
    <w:rsid w:val="00E22F5F"/>
    <w:rsid w:val="00E23D89"/>
    <w:rsid w:val="00E26484"/>
    <w:rsid w:val="00E277DF"/>
    <w:rsid w:val="00E279E7"/>
    <w:rsid w:val="00E33121"/>
    <w:rsid w:val="00E346B7"/>
    <w:rsid w:val="00E353D2"/>
    <w:rsid w:val="00E3604D"/>
    <w:rsid w:val="00E37EC1"/>
    <w:rsid w:val="00E37FB0"/>
    <w:rsid w:val="00E41940"/>
    <w:rsid w:val="00E41B62"/>
    <w:rsid w:val="00E448D3"/>
    <w:rsid w:val="00E4494C"/>
    <w:rsid w:val="00E44B22"/>
    <w:rsid w:val="00E4579E"/>
    <w:rsid w:val="00E47A97"/>
    <w:rsid w:val="00E560B2"/>
    <w:rsid w:val="00E5718B"/>
    <w:rsid w:val="00E62B2E"/>
    <w:rsid w:val="00E636AA"/>
    <w:rsid w:val="00E6505D"/>
    <w:rsid w:val="00E6614A"/>
    <w:rsid w:val="00E66B38"/>
    <w:rsid w:val="00E676F7"/>
    <w:rsid w:val="00E7021F"/>
    <w:rsid w:val="00E70722"/>
    <w:rsid w:val="00E7082D"/>
    <w:rsid w:val="00E71B58"/>
    <w:rsid w:val="00E72F72"/>
    <w:rsid w:val="00E73CDA"/>
    <w:rsid w:val="00E73D2B"/>
    <w:rsid w:val="00E73DB7"/>
    <w:rsid w:val="00E73FAA"/>
    <w:rsid w:val="00E7455D"/>
    <w:rsid w:val="00E76C1A"/>
    <w:rsid w:val="00E80181"/>
    <w:rsid w:val="00E81C35"/>
    <w:rsid w:val="00E82995"/>
    <w:rsid w:val="00E842EA"/>
    <w:rsid w:val="00E84AE8"/>
    <w:rsid w:val="00E85901"/>
    <w:rsid w:val="00E87D8C"/>
    <w:rsid w:val="00E90CB2"/>
    <w:rsid w:val="00E94E9A"/>
    <w:rsid w:val="00E965C0"/>
    <w:rsid w:val="00E96F32"/>
    <w:rsid w:val="00E972AA"/>
    <w:rsid w:val="00E97603"/>
    <w:rsid w:val="00EA1B0E"/>
    <w:rsid w:val="00EA1C60"/>
    <w:rsid w:val="00EA2148"/>
    <w:rsid w:val="00EB05D0"/>
    <w:rsid w:val="00EB0EDB"/>
    <w:rsid w:val="00EB273B"/>
    <w:rsid w:val="00EB3F6F"/>
    <w:rsid w:val="00EB3F99"/>
    <w:rsid w:val="00EB44FF"/>
    <w:rsid w:val="00EB562A"/>
    <w:rsid w:val="00EB5C90"/>
    <w:rsid w:val="00EB5CD5"/>
    <w:rsid w:val="00EB6C0C"/>
    <w:rsid w:val="00EB783D"/>
    <w:rsid w:val="00EC277F"/>
    <w:rsid w:val="00EC5F89"/>
    <w:rsid w:val="00ED062E"/>
    <w:rsid w:val="00ED2F50"/>
    <w:rsid w:val="00ED33E3"/>
    <w:rsid w:val="00EE0034"/>
    <w:rsid w:val="00EE06DF"/>
    <w:rsid w:val="00EE30CD"/>
    <w:rsid w:val="00EE49D9"/>
    <w:rsid w:val="00EE4D94"/>
    <w:rsid w:val="00EE66C1"/>
    <w:rsid w:val="00EE75C8"/>
    <w:rsid w:val="00EF08F4"/>
    <w:rsid w:val="00EF403B"/>
    <w:rsid w:val="00EF447A"/>
    <w:rsid w:val="00EF4F09"/>
    <w:rsid w:val="00EF6EC5"/>
    <w:rsid w:val="00EF7DE9"/>
    <w:rsid w:val="00F0106D"/>
    <w:rsid w:val="00F04506"/>
    <w:rsid w:val="00F07A91"/>
    <w:rsid w:val="00F12067"/>
    <w:rsid w:val="00F14EA5"/>
    <w:rsid w:val="00F14F7D"/>
    <w:rsid w:val="00F164ED"/>
    <w:rsid w:val="00F20FEF"/>
    <w:rsid w:val="00F27514"/>
    <w:rsid w:val="00F3198E"/>
    <w:rsid w:val="00F35639"/>
    <w:rsid w:val="00F35FA4"/>
    <w:rsid w:val="00F36578"/>
    <w:rsid w:val="00F37A09"/>
    <w:rsid w:val="00F42886"/>
    <w:rsid w:val="00F439BF"/>
    <w:rsid w:val="00F459CC"/>
    <w:rsid w:val="00F51CD4"/>
    <w:rsid w:val="00F54180"/>
    <w:rsid w:val="00F55FAB"/>
    <w:rsid w:val="00F57389"/>
    <w:rsid w:val="00F579EC"/>
    <w:rsid w:val="00F609F4"/>
    <w:rsid w:val="00F6564E"/>
    <w:rsid w:val="00F66581"/>
    <w:rsid w:val="00F670D7"/>
    <w:rsid w:val="00F677B7"/>
    <w:rsid w:val="00F67982"/>
    <w:rsid w:val="00F73112"/>
    <w:rsid w:val="00F74F8A"/>
    <w:rsid w:val="00F75773"/>
    <w:rsid w:val="00F773DC"/>
    <w:rsid w:val="00F837E1"/>
    <w:rsid w:val="00F83CA3"/>
    <w:rsid w:val="00F83D4A"/>
    <w:rsid w:val="00F8519E"/>
    <w:rsid w:val="00F85EEF"/>
    <w:rsid w:val="00F86D3D"/>
    <w:rsid w:val="00F86ED4"/>
    <w:rsid w:val="00F902DE"/>
    <w:rsid w:val="00F90F4A"/>
    <w:rsid w:val="00F913CD"/>
    <w:rsid w:val="00F9170C"/>
    <w:rsid w:val="00F918BD"/>
    <w:rsid w:val="00F920C6"/>
    <w:rsid w:val="00F929CF"/>
    <w:rsid w:val="00F9446F"/>
    <w:rsid w:val="00F94746"/>
    <w:rsid w:val="00F95DC7"/>
    <w:rsid w:val="00FA0AB6"/>
    <w:rsid w:val="00FA16A1"/>
    <w:rsid w:val="00FA78B1"/>
    <w:rsid w:val="00FB1C20"/>
    <w:rsid w:val="00FB2061"/>
    <w:rsid w:val="00FB257D"/>
    <w:rsid w:val="00FB25C5"/>
    <w:rsid w:val="00FB34B9"/>
    <w:rsid w:val="00FB3C48"/>
    <w:rsid w:val="00FB5D60"/>
    <w:rsid w:val="00FB73A5"/>
    <w:rsid w:val="00FC0394"/>
    <w:rsid w:val="00FC09ED"/>
    <w:rsid w:val="00FC16E9"/>
    <w:rsid w:val="00FC2D8B"/>
    <w:rsid w:val="00FC7298"/>
    <w:rsid w:val="00FC7C60"/>
    <w:rsid w:val="00FC7E0C"/>
    <w:rsid w:val="00FD0D38"/>
    <w:rsid w:val="00FD0F7E"/>
    <w:rsid w:val="00FD2B5D"/>
    <w:rsid w:val="00FD3A69"/>
    <w:rsid w:val="00FD6589"/>
    <w:rsid w:val="00FE23B5"/>
    <w:rsid w:val="00FE57D5"/>
    <w:rsid w:val="00FF000F"/>
    <w:rsid w:val="00FF2684"/>
    <w:rsid w:val="00FF4993"/>
    <w:rsid w:val="00FF5794"/>
    <w:rsid w:val="00FF5839"/>
    <w:rsid w:val="00FF609D"/>
    <w:rsid w:val="00FF6637"/>
    <w:rsid w:val="00FF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3"/>
      </w:numPr>
    </w:pPr>
  </w:style>
  <w:style w:type="numbering" w:customStyle="1" w:styleId="CurrentList2">
    <w:name w:val="Current List2"/>
    <w:uiPriority w:val="99"/>
    <w:rsid w:val="00254FFE"/>
    <w:pPr>
      <w:numPr>
        <w:numId w:val="4"/>
      </w:numPr>
    </w:pPr>
  </w:style>
  <w:style w:type="numbering" w:customStyle="1" w:styleId="CurrentList3">
    <w:name w:val="Current List3"/>
    <w:uiPriority w:val="99"/>
    <w:rsid w:val="00254FFE"/>
    <w:pPr>
      <w:numPr>
        <w:numId w:val="5"/>
      </w:numPr>
    </w:pPr>
  </w:style>
  <w:style w:type="numbering" w:customStyle="1" w:styleId="CurrentList4">
    <w:name w:val="Current List4"/>
    <w:uiPriority w:val="99"/>
    <w:rsid w:val="00B31CD9"/>
    <w:pPr>
      <w:numPr>
        <w:numId w:val="6"/>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7"/>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9"/>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8"/>
      </w:numPr>
    </w:pPr>
  </w:style>
  <w:style w:type="numbering" w:customStyle="1" w:styleId="CurrentList7">
    <w:name w:val="Current List7"/>
    <w:uiPriority w:val="99"/>
    <w:rsid w:val="006B3E9C"/>
    <w:pPr>
      <w:numPr>
        <w:numId w:val="10"/>
      </w:numPr>
    </w:pPr>
  </w:style>
  <w:style w:type="numbering" w:customStyle="1" w:styleId="CurrentList8">
    <w:name w:val="Current List8"/>
    <w:uiPriority w:val="99"/>
    <w:rsid w:val="006B3E9C"/>
    <w:pPr>
      <w:numPr>
        <w:numId w:val="11"/>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customStyle="1" w:styleId="Heading1Numbered">
    <w:name w:val="Heading 1 Numbered"/>
    <w:basedOn w:val="Heading1"/>
    <w:next w:val="BodyText"/>
    <w:uiPriority w:val="9"/>
    <w:qFormat/>
    <w:rsid w:val="00803790"/>
    <w:pPr>
      <w:numPr>
        <w:numId w:val="14"/>
      </w:numPr>
      <w:spacing w:before="300" w:after="600" w:line="780" w:lineRule="exact"/>
      <w:contextualSpacing/>
    </w:pPr>
    <w:rPr>
      <w:rFonts w:ascii="Arial" w:hAnsi="Arial"/>
      <w:b w:val="0"/>
      <w:color w:val="005EB8"/>
      <w:sz w:val="72"/>
    </w:rPr>
  </w:style>
  <w:style w:type="paragraph" w:customStyle="1" w:styleId="Heading2Numbered">
    <w:name w:val="Heading 2 Numbered"/>
    <w:basedOn w:val="Heading2"/>
    <w:next w:val="BodyText"/>
    <w:uiPriority w:val="9"/>
    <w:qFormat/>
    <w:rsid w:val="00803790"/>
    <w:pPr>
      <w:numPr>
        <w:ilvl w:val="1"/>
        <w:numId w:val="14"/>
      </w:numPr>
      <w:spacing w:before="60" w:after="280"/>
    </w:pPr>
    <w:rPr>
      <w:rFonts w:ascii="Arial" w:hAnsi="Arial"/>
      <w:b w:val="0"/>
      <w:color w:val="005EB8"/>
      <w:sz w:val="36"/>
    </w:rPr>
  </w:style>
  <w:style w:type="paragraph" w:customStyle="1" w:styleId="Heading3Numbered">
    <w:name w:val="Heading 3 Numbered"/>
    <w:basedOn w:val="Heading3"/>
    <w:next w:val="BodyText"/>
    <w:uiPriority w:val="9"/>
    <w:qFormat/>
    <w:rsid w:val="00803790"/>
    <w:pPr>
      <w:numPr>
        <w:ilvl w:val="2"/>
        <w:numId w:val="14"/>
      </w:numPr>
      <w:spacing w:before="300"/>
      <w:ind w:left="0"/>
    </w:pPr>
    <w:rPr>
      <w:rFonts w:ascii="Arial" w:hAnsi="Arial"/>
      <w:b w:val="0"/>
      <w:color w:val="231F20"/>
    </w:rPr>
  </w:style>
  <w:style w:type="numbering" w:customStyle="1" w:styleId="NHSHeadings">
    <w:name w:val="NHS Headings"/>
    <w:basedOn w:val="NoList"/>
    <w:uiPriority w:val="99"/>
    <w:rsid w:val="00803790"/>
    <w:pPr>
      <w:numPr>
        <w:numId w:val="14"/>
      </w:numPr>
    </w:pPr>
  </w:style>
  <w:style w:type="paragraph" w:styleId="ListBullet">
    <w:name w:val="List Bullet"/>
    <w:basedOn w:val="Normal"/>
    <w:uiPriority w:val="99"/>
    <w:unhideWhenUsed/>
    <w:rsid w:val="00947840"/>
    <w:pPr>
      <w:numPr>
        <w:numId w:val="1"/>
      </w:numPr>
      <w:contextualSpacing/>
    </w:pPr>
  </w:style>
  <w:style w:type="character" w:styleId="UnresolvedMention">
    <w:name w:val="Unresolved Mention"/>
    <w:basedOn w:val="DefaultParagraphFont"/>
    <w:uiPriority w:val="99"/>
    <w:semiHidden/>
    <w:unhideWhenUsed/>
    <w:rsid w:val="006E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dandsouthessex.ics.nhs.uk/publications/?publications_category=icb-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idandsouthessex.ics.nhs.uk/publications/?publications_category=icb-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0" ma:contentTypeDescription="Create a new document." ma:contentTypeScope="" ma:versionID="a714732fab45f2ad4eb1d7d671c98bca">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4e31a7abcf2463825c6716df18018986"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B3113668-004E-4074-8E87-C7B52A86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9292A-81DA-4E47-8DF5-789E04001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144</TotalTime>
  <Pages>1</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Accounting &amp; Financial Management V0.3</vt:lpstr>
    </vt:vector>
  </TitlesOfParts>
  <Manager/>
  <Company/>
  <LinksUpToDate>false</LinksUpToDate>
  <CharactersWithSpaces>23872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&amp; Financial Management V1.0</dc:title>
  <dc:subject/>
  <dc:creator>Adams Nicola (07G) Thurrock CCG</dc:creator>
  <cp:keywords/>
  <dc:description/>
  <cp:lastModifiedBy>O'CONNOR, Sara (NHS MID AND SOUTH ESSEX ICB - 06Q)</cp:lastModifiedBy>
  <cp:revision>53</cp:revision>
  <cp:lastPrinted>2021-12-03T14:01:00Z</cp:lastPrinted>
  <dcterms:created xsi:type="dcterms:W3CDTF">2022-07-26T16:01:00Z</dcterms:created>
  <dcterms:modified xsi:type="dcterms:W3CDTF">2023-03-24T10:44:00Z</dcterms:modified>
  <cp:category/>
</cp:coreProperties>
</file>